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charts/colors7.xml" ContentType="application/vnd.ms-office.chartcolorstyle+xml"/>
  <Override PartName="/word/charts/colors8.xml" ContentType="application/vnd.ms-office.chartcolorstyle+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olors5.xml" ContentType="application/vnd.ms-office.chartcolorstyle+xml"/>
  <Override PartName="/word/charts/style8.xml" ContentType="application/vnd.ms-office.chartstyle+xml"/>
  <Override PartName="/word/charts/colors6.xml" ContentType="application/vnd.ms-office.chartcolorstyle+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style7.xml" ContentType="application/vnd.ms-office.chartstyle+xml"/>
  <Override PartName="/word/charts/colors4.xml" ContentType="application/vnd.ms-office.chartcolorstyle+xml"/>
  <Override PartName="/word/charts/style6.xml" ContentType="application/vnd.ms-office.chartstyl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charts/style5.xml" ContentType="application/vnd.ms-office.chartstyle+xml"/>
  <Override PartName="/word/charts/colors2.xml" ContentType="application/vnd.ms-office.chartcolorstyle+xml"/>
  <Override PartName="/word/charts/style4.xml" ContentType="application/vnd.ms-office.chartstyle+xml"/>
  <Override PartName="/word/charts/colors1.xml" ContentType="application/vnd.ms-office.chartcolorsty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Override PartName="/word/charts/style2.xml" ContentType="application/vnd.ms-office.chartstyle+xml"/>
  <Override PartName="/word/charts/style1.xml" ContentType="application/vnd.ms-office.chartstyle+xml"/>
  <Override PartName="/word/people.xml" ContentType="application/vnd.openxmlformats-officedocument.wordprocessingml.people+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7E" w:rsidRDefault="002B567E" w:rsidP="002B567E">
      <w:pPr>
        <w:spacing w:before="240" w:after="240"/>
        <w:jc w:val="center"/>
        <w:rPr>
          <w:rFonts w:eastAsia="Calibri"/>
          <w:b/>
          <w:sz w:val="36"/>
          <w:szCs w:val="36"/>
        </w:rPr>
      </w:pPr>
    </w:p>
    <w:p w:rsidR="002B567E" w:rsidRDefault="002B567E" w:rsidP="002B567E">
      <w:pPr>
        <w:spacing w:before="240" w:after="240"/>
        <w:jc w:val="center"/>
        <w:rPr>
          <w:rFonts w:eastAsia="Calibri"/>
          <w:b/>
          <w:sz w:val="36"/>
          <w:szCs w:val="36"/>
        </w:rPr>
      </w:pPr>
    </w:p>
    <w:p w:rsidR="002B567E" w:rsidRDefault="00D3580A" w:rsidP="002B567E">
      <w:pPr>
        <w:spacing w:before="240" w:after="240"/>
        <w:jc w:val="center"/>
        <w:rPr>
          <w:rFonts w:eastAsia="Calibri"/>
          <w:b/>
          <w:sz w:val="36"/>
          <w:szCs w:val="36"/>
        </w:rPr>
      </w:pPr>
      <w:r>
        <w:rPr>
          <w:rFonts w:eastAsia="Calibri"/>
          <w:b/>
          <w:noProof/>
          <w:sz w:val="36"/>
          <w:szCs w:val="36"/>
          <w:lang w:eastAsia="lv-LV"/>
        </w:rPr>
        <w:drawing>
          <wp:inline distT="0" distB="0" distL="0" distR="0">
            <wp:extent cx="2390775" cy="26955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390775" cy="2695575"/>
                    </a:xfrm>
                    <a:prstGeom prst="rect">
                      <a:avLst/>
                    </a:prstGeom>
                    <a:noFill/>
                    <a:ln w="9525">
                      <a:noFill/>
                      <a:miter lim="800000"/>
                      <a:headEnd/>
                      <a:tailEnd/>
                    </a:ln>
                  </pic:spPr>
                </pic:pic>
              </a:graphicData>
            </a:graphic>
          </wp:inline>
        </w:drawing>
      </w:r>
    </w:p>
    <w:p w:rsidR="002B567E" w:rsidRDefault="002B567E" w:rsidP="00F14A97">
      <w:pPr>
        <w:spacing w:before="240" w:after="240"/>
        <w:rPr>
          <w:rFonts w:eastAsia="Calibri"/>
          <w:b/>
          <w:sz w:val="36"/>
          <w:szCs w:val="36"/>
        </w:rPr>
      </w:pPr>
    </w:p>
    <w:p w:rsidR="002B567E" w:rsidRPr="00762944" w:rsidRDefault="00F14A97" w:rsidP="002B567E">
      <w:pPr>
        <w:spacing w:before="240" w:after="240"/>
        <w:jc w:val="center"/>
        <w:rPr>
          <w:rFonts w:eastAsia="Calibri"/>
          <w:b/>
          <w:sz w:val="36"/>
          <w:szCs w:val="36"/>
        </w:rPr>
      </w:pPr>
      <w:r>
        <w:rPr>
          <w:rFonts w:eastAsia="Calibri"/>
          <w:b/>
          <w:sz w:val="36"/>
          <w:szCs w:val="36"/>
        </w:rPr>
        <w:t>S</w:t>
      </w:r>
      <w:r w:rsidR="002B567E" w:rsidRPr="00F010A1">
        <w:rPr>
          <w:rFonts w:eastAsia="Calibri"/>
          <w:b/>
          <w:sz w:val="36"/>
          <w:szCs w:val="36"/>
        </w:rPr>
        <w:t>pecifiskā atbalsta mērķa</w:t>
      </w:r>
    </w:p>
    <w:p w:rsidR="002B567E" w:rsidRPr="00F010A1" w:rsidRDefault="002B567E" w:rsidP="002B567E">
      <w:pPr>
        <w:spacing w:before="240" w:after="240"/>
        <w:jc w:val="center"/>
        <w:rPr>
          <w:rFonts w:eastAsia="Calibri"/>
          <w:b/>
          <w:sz w:val="36"/>
          <w:szCs w:val="36"/>
        </w:rPr>
      </w:pPr>
      <w:r>
        <w:rPr>
          <w:rFonts w:eastAsia="Calibri"/>
          <w:b/>
          <w:sz w:val="36"/>
          <w:szCs w:val="36"/>
        </w:rPr>
        <w:t xml:space="preserve">8.1.4. </w:t>
      </w:r>
      <w:r w:rsidR="00C9130B">
        <w:rPr>
          <w:rFonts w:eastAsia="Calibri"/>
          <w:b/>
          <w:sz w:val="36"/>
          <w:szCs w:val="36"/>
        </w:rPr>
        <w:t>„</w:t>
      </w:r>
      <w:r>
        <w:rPr>
          <w:rFonts w:eastAsia="Calibri"/>
          <w:b/>
          <w:sz w:val="36"/>
          <w:szCs w:val="36"/>
        </w:rPr>
        <w:t xml:space="preserve">Uzlabot pirmā līmeņa profesionālās augstākās izglītības STEM, tajā skaitā </w:t>
      </w:r>
      <w:bookmarkStart w:id="0" w:name="OLE_LINK1"/>
      <w:r>
        <w:rPr>
          <w:rFonts w:eastAsia="Calibri"/>
          <w:b/>
          <w:sz w:val="36"/>
          <w:szCs w:val="36"/>
        </w:rPr>
        <w:t>medicīnas un radošās industrijas</w:t>
      </w:r>
      <w:bookmarkEnd w:id="0"/>
      <w:r>
        <w:rPr>
          <w:rFonts w:eastAsia="Calibri"/>
          <w:b/>
          <w:sz w:val="36"/>
          <w:szCs w:val="36"/>
        </w:rPr>
        <w:t>, studiju mācību vidi</w:t>
      </w:r>
      <w:r w:rsidR="009F616F">
        <w:rPr>
          <w:rFonts w:eastAsia="Calibri"/>
          <w:b/>
          <w:sz w:val="36"/>
          <w:szCs w:val="36"/>
        </w:rPr>
        <w:t xml:space="preserve"> koledžās</w:t>
      </w:r>
      <w:r w:rsidRPr="00F010A1">
        <w:rPr>
          <w:rFonts w:eastAsia="Calibri"/>
          <w:b/>
          <w:sz w:val="36"/>
          <w:szCs w:val="36"/>
        </w:rPr>
        <w:t>”</w:t>
      </w:r>
    </w:p>
    <w:p w:rsidR="00C9130B" w:rsidRDefault="00C9130B" w:rsidP="0022485B">
      <w:pPr>
        <w:spacing w:before="240" w:after="240"/>
        <w:jc w:val="center"/>
        <w:rPr>
          <w:rFonts w:eastAsia="Calibri"/>
          <w:b/>
          <w:sz w:val="36"/>
          <w:szCs w:val="36"/>
        </w:rPr>
      </w:pPr>
      <w:r>
        <w:rPr>
          <w:rFonts w:eastAsia="Calibri"/>
          <w:b/>
          <w:sz w:val="36"/>
          <w:szCs w:val="36"/>
        </w:rPr>
        <w:t xml:space="preserve">PAPLAŠINĀTAIS </w:t>
      </w:r>
    </w:p>
    <w:p w:rsidR="002B567E" w:rsidRPr="00F010A1" w:rsidRDefault="002B567E" w:rsidP="0022485B">
      <w:pPr>
        <w:spacing w:before="240" w:after="240"/>
        <w:jc w:val="center"/>
        <w:rPr>
          <w:rFonts w:eastAsia="Calibri"/>
          <w:b/>
          <w:sz w:val="28"/>
          <w:szCs w:val="28"/>
        </w:rPr>
      </w:pPr>
      <w:r w:rsidRPr="00F010A1">
        <w:rPr>
          <w:rFonts w:eastAsia="Calibri"/>
          <w:b/>
          <w:sz w:val="36"/>
          <w:szCs w:val="36"/>
        </w:rPr>
        <w:t>SĀKOTNĒJAIS NOVĒRTĒJUMS</w:t>
      </w:r>
    </w:p>
    <w:p w:rsidR="00F14A97" w:rsidRDefault="00F14A97" w:rsidP="00F14A97">
      <w:pPr>
        <w:pStyle w:val="Heading1"/>
        <w:spacing w:before="0"/>
        <w:rPr>
          <w:rFonts w:eastAsia="Calibri"/>
          <w:b w:val="0"/>
          <w:szCs w:val="28"/>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F14A97" w:rsidRPr="00F14A97" w:rsidRDefault="00F14A97" w:rsidP="00F14A97">
      <w:pPr>
        <w:rPr>
          <w:rFonts w:eastAsia="Calibri"/>
          <w:lang w:eastAsia="zh-TW"/>
        </w:rPr>
      </w:pPr>
    </w:p>
    <w:p w:rsidR="00DD21C3" w:rsidRDefault="00DD21C3" w:rsidP="00132479">
      <w:pPr>
        <w:jc w:val="center"/>
      </w:pPr>
    </w:p>
    <w:p w:rsidR="00DD21C3" w:rsidRDefault="00DD21C3" w:rsidP="00132479">
      <w:pPr>
        <w:jc w:val="center"/>
      </w:pPr>
    </w:p>
    <w:p w:rsidR="00EE7E61" w:rsidRDefault="00F14A97" w:rsidP="00DD21C3">
      <w:pPr>
        <w:jc w:val="center"/>
        <w:rPr>
          <w:rFonts w:ascii="Cambria" w:eastAsia="SimSun" w:hAnsi="Cambria"/>
          <w:color w:val="365F91"/>
          <w:sz w:val="32"/>
          <w:szCs w:val="32"/>
          <w:lang w:eastAsia="zh-TW"/>
        </w:rPr>
      </w:pPr>
      <w:r w:rsidRPr="00132479">
        <w:t>Rīga, 201</w:t>
      </w:r>
      <w:r w:rsidR="008D6FCC">
        <w:t>6</w:t>
      </w:r>
      <w:r w:rsidR="002B567E" w:rsidRPr="00F14A97">
        <w:br w:type="page"/>
      </w:r>
      <w:bookmarkStart w:id="1" w:name="_Toc405391211"/>
    </w:p>
    <w:sdt>
      <w:sdtPr>
        <w:rPr>
          <w:b w:val="0"/>
          <w:bCs w:val="0"/>
          <w:noProof/>
          <w:color w:val="auto"/>
          <w:sz w:val="24"/>
          <w:szCs w:val="24"/>
          <w:lang w:val="lv-LV"/>
        </w:rPr>
        <w:id w:val="9053988"/>
        <w:docPartObj>
          <w:docPartGallery w:val="Table of Contents"/>
          <w:docPartUnique/>
        </w:docPartObj>
      </w:sdtPr>
      <w:sdtContent>
        <w:p w:rsidR="00EE7E61" w:rsidRPr="00420175" w:rsidRDefault="00EE7E61" w:rsidP="00EE7E61">
          <w:pPr>
            <w:pStyle w:val="TOCHeading"/>
            <w:jc w:val="center"/>
            <w:rPr>
              <w:sz w:val="24"/>
              <w:szCs w:val="24"/>
            </w:rPr>
          </w:pPr>
          <w:proofErr w:type="spellStart"/>
          <w:r w:rsidRPr="00420175">
            <w:t>Saturs</w:t>
          </w:r>
          <w:proofErr w:type="spellEnd"/>
        </w:p>
        <w:p w:rsidR="00420175" w:rsidRPr="00420175" w:rsidRDefault="00BE3FB9">
          <w:pPr>
            <w:pStyle w:val="TOC1"/>
            <w:rPr>
              <w:rFonts w:eastAsiaTheme="minorEastAsia"/>
              <w:sz w:val="22"/>
              <w:szCs w:val="22"/>
              <w:lang w:eastAsia="lv-LV"/>
            </w:rPr>
          </w:pPr>
          <w:r w:rsidRPr="00420175">
            <w:fldChar w:fldCharType="begin"/>
          </w:r>
          <w:r w:rsidR="00EE7E61" w:rsidRPr="00420175">
            <w:instrText xml:space="preserve"> TOC \o "1-3" \h \z \u </w:instrText>
          </w:r>
          <w:r w:rsidRPr="00420175">
            <w:fldChar w:fldCharType="separate"/>
          </w:r>
          <w:hyperlink w:anchor="_Toc445290184" w:history="1">
            <w:r w:rsidR="00420175" w:rsidRPr="00420175">
              <w:rPr>
                <w:rStyle w:val="Hyperlink"/>
                <w:b/>
              </w:rPr>
              <w:t>Koledžu nosaukumu saīsinājumi</w:t>
            </w:r>
            <w:r w:rsidR="00420175" w:rsidRPr="00420175">
              <w:rPr>
                <w:webHidden/>
              </w:rPr>
              <w:tab/>
            </w:r>
            <w:r w:rsidRPr="00420175">
              <w:rPr>
                <w:webHidden/>
              </w:rPr>
              <w:fldChar w:fldCharType="begin"/>
            </w:r>
            <w:r w:rsidR="00420175" w:rsidRPr="00420175">
              <w:rPr>
                <w:webHidden/>
              </w:rPr>
              <w:instrText xml:space="preserve"> PAGEREF _Toc445290184 \h </w:instrText>
            </w:r>
            <w:r w:rsidRPr="00420175">
              <w:rPr>
                <w:webHidden/>
              </w:rPr>
            </w:r>
            <w:r w:rsidRPr="00420175">
              <w:rPr>
                <w:webHidden/>
              </w:rPr>
              <w:fldChar w:fldCharType="separate"/>
            </w:r>
            <w:r w:rsidR="00244ABF">
              <w:rPr>
                <w:webHidden/>
              </w:rPr>
              <w:t>4</w:t>
            </w:r>
            <w:r w:rsidRPr="00420175">
              <w:rPr>
                <w:webHidden/>
              </w:rPr>
              <w:fldChar w:fldCharType="end"/>
            </w:r>
          </w:hyperlink>
        </w:p>
        <w:p w:rsidR="00420175" w:rsidRPr="00420175" w:rsidRDefault="00BE3FB9">
          <w:pPr>
            <w:pStyle w:val="TOC1"/>
            <w:rPr>
              <w:rFonts w:eastAsiaTheme="minorEastAsia"/>
              <w:sz w:val="22"/>
              <w:szCs w:val="22"/>
              <w:lang w:eastAsia="lv-LV"/>
            </w:rPr>
          </w:pPr>
          <w:hyperlink w:anchor="_Toc445290185" w:history="1">
            <w:r w:rsidR="00420175" w:rsidRPr="00420175">
              <w:rPr>
                <w:rStyle w:val="Hyperlink"/>
                <w:b/>
              </w:rPr>
              <w:t>Ievads</w:t>
            </w:r>
            <w:r w:rsidR="00420175" w:rsidRPr="00420175">
              <w:rPr>
                <w:webHidden/>
              </w:rPr>
              <w:tab/>
            </w:r>
            <w:r w:rsidRPr="00420175">
              <w:rPr>
                <w:webHidden/>
              </w:rPr>
              <w:fldChar w:fldCharType="begin"/>
            </w:r>
            <w:r w:rsidR="00420175" w:rsidRPr="00420175">
              <w:rPr>
                <w:webHidden/>
              </w:rPr>
              <w:instrText xml:space="preserve"> PAGEREF _Toc445290185 \h </w:instrText>
            </w:r>
            <w:r w:rsidRPr="00420175">
              <w:rPr>
                <w:webHidden/>
              </w:rPr>
            </w:r>
            <w:r w:rsidRPr="00420175">
              <w:rPr>
                <w:webHidden/>
              </w:rPr>
              <w:fldChar w:fldCharType="separate"/>
            </w:r>
            <w:r w:rsidR="00244ABF">
              <w:rPr>
                <w:webHidden/>
              </w:rPr>
              <w:t>5</w:t>
            </w:r>
            <w:r w:rsidRPr="00420175">
              <w:rPr>
                <w:webHidden/>
              </w:rPr>
              <w:fldChar w:fldCharType="end"/>
            </w:r>
          </w:hyperlink>
        </w:p>
        <w:p w:rsidR="00420175" w:rsidRPr="00420175" w:rsidRDefault="00BE3FB9">
          <w:pPr>
            <w:pStyle w:val="TOC1"/>
            <w:rPr>
              <w:rFonts w:eastAsiaTheme="minorEastAsia"/>
              <w:sz w:val="22"/>
              <w:szCs w:val="22"/>
              <w:lang w:eastAsia="lv-LV"/>
            </w:rPr>
          </w:pPr>
          <w:hyperlink w:anchor="_Toc445290186" w:history="1">
            <w:r w:rsidR="00420175" w:rsidRPr="00420175">
              <w:rPr>
                <w:rStyle w:val="Hyperlink"/>
                <w:b/>
              </w:rPr>
              <w:t>1. Esošās sociāli ekonomiskās situācijas apraksts un vajadzību analīze</w:t>
            </w:r>
            <w:r w:rsidR="00420175" w:rsidRPr="00420175">
              <w:rPr>
                <w:webHidden/>
              </w:rPr>
              <w:tab/>
            </w:r>
            <w:r w:rsidRPr="00420175">
              <w:rPr>
                <w:webHidden/>
              </w:rPr>
              <w:fldChar w:fldCharType="begin"/>
            </w:r>
            <w:r w:rsidR="00420175" w:rsidRPr="00420175">
              <w:rPr>
                <w:webHidden/>
              </w:rPr>
              <w:instrText xml:space="preserve"> PAGEREF _Toc445290186 \h </w:instrText>
            </w:r>
            <w:r w:rsidRPr="00420175">
              <w:rPr>
                <w:webHidden/>
              </w:rPr>
            </w:r>
            <w:r w:rsidRPr="00420175">
              <w:rPr>
                <w:webHidden/>
              </w:rPr>
              <w:fldChar w:fldCharType="separate"/>
            </w:r>
            <w:r w:rsidR="00244ABF">
              <w:rPr>
                <w:webHidden/>
              </w:rPr>
              <w:t>7</w:t>
            </w:r>
            <w:r w:rsidRPr="00420175">
              <w:rPr>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187" w:history="1">
            <w:r w:rsidR="00420175" w:rsidRPr="00420175">
              <w:rPr>
                <w:rStyle w:val="Hyperlink"/>
                <w:rFonts w:ascii="Times New Roman" w:hAnsi="Times New Roman"/>
                <w:noProof/>
              </w:rPr>
              <w:t xml:space="preserve">1.1. </w:t>
            </w:r>
            <w:r w:rsidR="00420175" w:rsidRPr="00420175">
              <w:rPr>
                <w:rStyle w:val="Hyperlink"/>
                <w:rFonts w:ascii="Times New Roman" w:eastAsia="Calibri" w:hAnsi="Times New Roman"/>
                <w:noProof/>
              </w:rPr>
              <w:t>Koledžu vispārīgs raksturojums un tajās studējošo skaita izmaiņas</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_Toc445290187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7</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188" w:history="1">
            <w:r w:rsidR="00420175" w:rsidRPr="00420175">
              <w:rPr>
                <w:rStyle w:val="Hyperlink"/>
                <w:rFonts w:ascii="Times New Roman" w:hAnsi="Times New Roman"/>
                <w:noProof/>
              </w:rPr>
              <w:t>1.2. Koledžu reģionālais izvietojums un to piedāvāto programmu atbilstība reģiona attīstības vajadzībām</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_Toc445290188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10</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189" w:history="1">
            <w:r w:rsidR="00420175" w:rsidRPr="00420175">
              <w:rPr>
                <w:rStyle w:val="Hyperlink"/>
                <w:rFonts w:ascii="Times New Roman" w:hAnsi="Times New Roman"/>
                <w:noProof/>
              </w:rPr>
              <w:t>1.3. Darba tirgus prognozes kontekstā ar augstākās izglītības piedāvājumu</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_Toc445290189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17</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190" w:history="1">
            <w:r w:rsidR="00420175" w:rsidRPr="00420175">
              <w:rPr>
                <w:rStyle w:val="Hyperlink"/>
                <w:rFonts w:ascii="Times New Roman" w:hAnsi="Times New Roman"/>
                <w:noProof/>
                <w:lang w:eastAsia="lv-LV"/>
              </w:rPr>
              <w:t>1.4. Koledžās studējošo skaits STEM jomā</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_Toc445290190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23</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191" w:history="1">
            <w:r w:rsidR="00420175" w:rsidRPr="00420175">
              <w:rPr>
                <w:rStyle w:val="Hyperlink"/>
                <w:rFonts w:ascii="Times New Roman" w:hAnsi="Times New Roman"/>
                <w:noProof/>
                <w:lang w:eastAsia="lv-LV"/>
              </w:rPr>
              <w:t>1.5. Koledžās īstenoto STEM studiju programmu raksturojums</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_Toc445290191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27</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192" w:history="1">
            <w:r w:rsidR="00420175" w:rsidRPr="00420175">
              <w:rPr>
                <w:rStyle w:val="Hyperlink"/>
                <w:rFonts w:ascii="Times New Roman" w:hAnsi="Times New Roman"/>
                <w:noProof/>
              </w:rPr>
              <w:t>1.6. 8.1.4. SAM sasaiste ar uzsāktajām reformām augstākās izglītības jomā</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_Toc445290192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30</w:t>
            </w:r>
            <w:r w:rsidRPr="00420175">
              <w:rPr>
                <w:rFonts w:ascii="Times New Roman" w:hAnsi="Times New Roman"/>
                <w:noProof/>
                <w:webHidden/>
              </w:rPr>
              <w:fldChar w:fldCharType="end"/>
            </w:r>
          </w:hyperlink>
        </w:p>
        <w:p w:rsidR="00420175" w:rsidRPr="00420175" w:rsidRDefault="00BE3FB9">
          <w:pPr>
            <w:pStyle w:val="TOC1"/>
            <w:rPr>
              <w:rFonts w:eastAsiaTheme="minorEastAsia"/>
              <w:sz w:val="22"/>
              <w:szCs w:val="22"/>
              <w:lang w:eastAsia="lv-LV"/>
            </w:rPr>
          </w:pPr>
          <w:hyperlink w:anchor="_Toc445290193" w:history="1">
            <w:r w:rsidR="00420175" w:rsidRPr="00420175">
              <w:rPr>
                <w:rStyle w:val="Hyperlink"/>
                <w:b/>
              </w:rPr>
              <w:t>2. Apraksts un analīze par līdzīgiem investīciju ieviešanas mehānismiem 2007. – 2013. gada plānošanas periodā</w:t>
            </w:r>
            <w:r w:rsidR="00420175" w:rsidRPr="00420175">
              <w:rPr>
                <w:webHidden/>
              </w:rPr>
              <w:tab/>
            </w:r>
            <w:r w:rsidRPr="00420175">
              <w:rPr>
                <w:webHidden/>
              </w:rPr>
              <w:fldChar w:fldCharType="begin"/>
            </w:r>
            <w:r w:rsidR="00420175" w:rsidRPr="00420175">
              <w:rPr>
                <w:webHidden/>
              </w:rPr>
              <w:instrText xml:space="preserve"> PAGEREF _Toc445290193 \h </w:instrText>
            </w:r>
            <w:r w:rsidRPr="00420175">
              <w:rPr>
                <w:webHidden/>
              </w:rPr>
            </w:r>
            <w:r w:rsidRPr="00420175">
              <w:rPr>
                <w:webHidden/>
              </w:rPr>
              <w:fldChar w:fldCharType="separate"/>
            </w:r>
            <w:r w:rsidR="00244ABF">
              <w:rPr>
                <w:webHidden/>
              </w:rPr>
              <w:t>36</w:t>
            </w:r>
            <w:r w:rsidRPr="00420175">
              <w:rPr>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194" w:history="1">
            <w:r w:rsidR="00420175" w:rsidRPr="00420175">
              <w:rPr>
                <w:rStyle w:val="Hyperlink"/>
                <w:rFonts w:ascii="Times New Roman" w:hAnsi="Times New Roman"/>
                <w:noProof/>
              </w:rPr>
              <w:t>2.1. ERAF investīcijas koledžu infrastruktūrā 2007.-2013.gada plānošanas periodā</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_Toc445290194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36</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195" w:history="1">
            <w:r w:rsidR="00420175" w:rsidRPr="00420175">
              <w:rPr>
                <w:rStyle w:val="Hyperlink"/>
                <w:rFonts w:ascii="Times New Roman" w:hAnsi="Times New Roman"/>
                <w:noProof/>
              </w:rPr>
              <w:t>2.2. KPFI investīcijas koledžu infrastruktūrā 2007.-2013.gada plānošanas periodā</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_Toc445290195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46</w:t>
            </w:r>
            <w:r w:rsidRPr="00420175">
              <w:rPr>
                <w:rFonts w:ascii="Times New Roman" w:hAnsi="Times New Roman"/>
                <w:noProof/>
                <w:webHidden/>
              </w:rPr>
              <w:fldChar w:fldCharType="end"/>
            </w:r>
          </w:hyperlink>
        </w:p>
        <w:p w:rsidR="00420175" w:rsidRPr="00420175" w:rsidRDefault="00BE3FB9">
          <w:pPr>
            <w:pStyle w:val="TOC3"/>
            <w:tabs>
              <w:tab w:val="right" w:leader="dot" w:pos="8637"/>
            </w:tabs>
            <w:rPr>
              <w:rFonts w:ascii="Times New Roman" w:eastAsiaTheme="minorEastAsia" w:hAnsi="Times New Roman"/>
              <w:noProof/>
              <w:lang w:val="lv-LV" w:eastAsia="lv-LV"/>
            </w:rPr>
          </w:pPr>
          <w:hyperlink w:anchor="_Toc445290196" w:history="1">
            <w:r w:rsidR="00420175" w:rsidRPr="00420175">
              <w:rPr>
                <w:rStyle w:val="Hyperlink"/>
                <w:rFonts w:ascii="Times New Roman" w:hAnsi="Times New Roman"/>
                <w:noProof/>
              </w:rPr>
              <w:t>2.2.1. Projektu atklātais konkurss “Energoefektivitātes paaugstināšana augstākās izglītības iestāžu ēkās”</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_Toc445290196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46</w:t>
            </w:r>
            <w:r w:rsidRPr="00420175">
              <w:rPr>
                <w:rFonts w:ascii="Times New Roman" w:hAnsi="Times New Roman"/>
                <w:noProof/>
                <w:webHidden/>
              </w:rPr>
              <w:fldChar w:fldCharType="end"/>
            </w:r>
          </w:hyperlink>
        </w:p>
        <w:p w:rsidR="00420175" w:rsidRPr="00420175" w:rsidRDefault="00BE3FB9">
          <w:pPr>
            <w:pStyle w:val="TOC3"/>
            <w:tabs>
              <w:tab w:val="right" w:leader="dot" w:pos="8637"/>
            </w:tabs>
            <w:rPr>
              <w:rFonts w:ascii="Times New Roman" w:eastAsiaTheme="minorEastAsia" w:hAnsi="Times New Roman"/>
              <w:noProof/>
              <w:lang w:val="lv-LV" w:eastAsia="lv-LV"/>
            </w:rPr>
          </w:pPr>
          <w:hyperlink w:anchor="_Toc445290197" w:history="1">
            <w:r w:rsidR="00420175" w:rsidRPr="00420175">
              <w:rPr>
                <w:rStyle w:val="Hyperlink"/>
                <w:rFonts w:ascii="Times New Roman" w:hAnsi="Times New Roman"/>
                <w:noProof/>
              </w:rPr>
              <w:t>2.2.2. Projektu atklātais konkurss „Atjaunojamo energoresursu izmantošana siltumnīcefekta gāzu emisiju samazināšanai”</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_Toc445290197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47</w:t>
            </w:r>
            <w:r w:rsidRPr="00420175">
              <w:rPr>
                <w:rFonts w:ascii="Times New Roman" w:hAnsi="Times New Roman"/>
                <w:noProof/>
                <w:webHidden/>
              </w:rPr>
              <w:fldChar w:fldCharType="end"/>
            </w:r>
          </w:hyperlink>
        </w:p>
        <w:p w:rsidR="00420175" w:rsidRPr="00420175" w:rsidRDefault="00BE3FB9">
          <w:pPr>
            <w:pStyle w:val="TOC3"/>
            <w:tabs>
              <w:tab w:val="right" w:leader="dot" w:pos="8637"/>
            </w:tabs>
            <w:rPr>
              <w:rFonts w:ascii="Times New Roman" w:eastAsiaTheme="minorEastAsia" w:hAnsi="Times New Roman"/>
              <w:noProof/>
              <w:lang w:val="lv-LV" w:eastAsia="lv-LV"/>
            </w:rPr>
          </w:pPr>
          <w:hyperlink w:anchor="_Toc445290198" w:history="1">
            <w:r w:rsidR="00420175" w:rsidRPr="00420175">
              <w:rPr>
                <w:rStyle w:val="Hyperlink"/>
                <w:rFonts w:ascii="Times New Roman" w:hAnsi="Times New Roman"/>
                <w:noProof/>
              </w:rPr>
              <w:t>2.2.3. Projektu atklātais konkurss “Kompleksi risinājumi siltumnīcefekta gāzu emisijas samazināšanai”</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_Toc445290198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47</w:t>
            </w:r>
            <w:r w:rsidRPr="00420175">
              <w:rPr>
                <w:rFonts w:ascii="Times New Roman" w:hAnsi="Times New Roman"/>
                <w:noProof/>
                <w:webHidden/>
              </w:rPr>
              <w:fldChar w:fldCharType="end"/>
            </w:r>
          </w:hyperlink>
        </w:p>
        <w:p w:rsidR="00420175" w:rsidRPr="00420175" w:rsidRDefault="00BE3FB9">
          <w:pPr>
            <w:pStyle w:val="TOC3"/>
            <w:tabs>
              <w:tab w:val="right" w:leader="dot" w:pos="8637"/>
            </w:tabs>
            <w:rPr>
              <w:rFonts w:ascii="Times New Roman" w:eastAsiaTheme="minorEastAsia" w:hAnsi="Times New Roman"/>
              <w:noProof/>
              <w:lang w:val="lv-LV" w:eastAsia="lv-LV"/>
            </w:rPr>
          </w:pPr>
          <w:hyperlink w:anchor="_Toc445290199" w:history="1">
            <w:r w:rsidR="00420175" w:rsidRPr="00420175">
              <w:rPr>
                <w:rStyle w:val="Hyperlink"/>
                <w:rFonts w:ascii="Times New Roman" w:hAnsi="Times New Roman"/>
                <w:noProof/>
              </w:rPr>
              <w:t>2.2.4. Projektu atklātais konkurss “Kompleksi risinājumi siltumnīcefekta gāzu emisijas samazināšanai valsts un pašvaldību profesionālās izglītības iestāžu ēkās”</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_Toc445290199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47</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200" w:history="1">
            <w:r w:rsidR="00420175" w:rsidRPr="00420175">
              <w:rPr>
                <w:rStyle w:val="Hyperlink"/>
                <w:rFonts w:ascii="Times New Roman" w:hAnsi="Times New Roman"/>
                <w:noProof/>
              </w:rPr>
              <w:t>2.3. Citu finanšu instrumentu investīcijas koledžu infrastruktūrā 2007.-2013.gada plānošanas periodā</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_Toc445290200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48</w:t>
            </w:r>
            <w:r w:rsidRPr="00420175">
              <w:rPr>
                <w:rFonts w:ascii="Times New Roman" w:hAnsi="Times New Roman"/>
                <w:noProof/>
                <w:webHidden/>
              </w:rPr>
              <w:fldChar w:fldCharType="end"/>
            </w:r>
          </w:hyperlink>
        </w:p>
        <w:p w:rsidR="00420175" w:rsidRPr="00420175" w:rsidRDefault="00BE3FB9">
          <w:pPr>
            <w:pStyle w:val="TOC3"/>
            <w:tabs>
              <w:tab w:val="right" w:leader="dot" w:pos="8637"/>
            </w:tabs>
            <w:rPr>
              <w:rFonts w:ascii="Times New Roman" w:eastAsiaTheme="minorEastAsia" w:hAnsi="Times New Roman"/>
              <w:noProof/>
              <w:lang w:val="lv-LV" w:eastAsia="lv-LV"/>
            </w:rPr>
          </w:pPr>
          <w:hyperlink w:anchor="_Toc445290201" w:history="1">
            <w:r w:rsidR="00420175" w:rsidRPr="00420175">
              <w:rPr>
                <w:rStyle w:val="Hyperlink"/>
                <w:rFonts w:ascii="Times New Roman" w:hAnsi="Times New Roman"/>
                <w:noProof/>
              </w:rPr>
              <w:t>2.3.1. Igaunijas – Latvijas – Krievijas pārrobežu sadarbības programma</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_Toc445290201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48</w:t>
            </w:r>
            <w:r w:rsidRPr="00420175">
              <w:rPr>
                <w:rFonts w:ascii="Times New Roman" w:hAnsi="Times New Roman"/>
                <w:noProof/>
                <w:webHidden/>
              </w:rPr>
              <w:fldChar w:fldCharType="end"/>
            </w:r>
          </w:hyperlink>
        </w:p>
        <w:p w:rsidR="00420175" w:rsidRPr="00420175" w:rsidRDefault="00BE3FB9">
          <w:pPr>
            <w:pStyle w:val="TOC3"/>
            <w:tabs>
              <w:tab w:val="right" w:leader="dot" w:pos="8637"/>
            </w:tabs>
            <w:rPr>
              <w:rFonts w:ascii="Times New Roman" w:eastAsiaTheme="minorEastAsia" w:hAnsi="Times New Roman"/>
              <w:noProof/>
              <w:lang w:val="lv-LV" w:eastAsia="lv-LV"/>
            </w:rPr>
          </w:pPr>
          <w:hyperlink w:anchor="_Toc445290202" w:history="1">
            <w:r w:rsidR="00420175" w:rsidRPr="00420175">
              <w:rPr>
                <w:rStyle w:val="Hyperlink"/>
                <w:rFonts w:ascii="Times New Roman" w:hAnsi="Times New Roman"/>
                <w:noProof/>
              </w:rPr>
              <w:t>2.3.2. Latvijas – Lietuvas pārrobežu sadarbības programma</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_Toc445290202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49</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203" w:history="1">
            <w:r w:rsidR="00420175" w:rsidRPr="00420175">
              <w:rPr>
                <w:rStyle w:val="Hyperlink"/>
                <w:rFonts w:ascii="Times New Roman" w:hAnsi="Times New Roman"/>
                <w:noProof/>
              </w:rPr>
              <w:t>2.4. Valsts budžeta ieguldījumi koledžu infrastruktūrā 2007.-2013.gada plānošanas periodā</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_Toc445290203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51</w:t>
            </w:r>
            <w:r w:rsidRPr="00420175">
              <w:rPr>
                <w:rFonts w:ascii="Times New Roman" w:hAnsi="Times New Roman"/>
                <w:noProof/>
                <w:webHidden/>
              </w:rPr>
              <w:fldChar w:fldCharType="end"/>
            </w:r>
          </w:hyperlink>
        </w:p>
        <w:p w:rsidR="00420175" w:rsidRPr="00420175" w:rsidRDefault="00BE3FB9">
          <w:pPr>
            <w:pStyle w:val="TOC1"/>
            <w:rPr>
              <w:rFonts w:eastAsiaTheme="minorEastAsia"/>
              <w:sz w:val="22"/>
              <w:szCs w:val="22"/>
              <w:lang w:eastAsia="lv-LV"/>
            </w:rPr>
          </w:pPr>
          <w:hyperlink w:anchor="_Toc445290204" w:history="1">
            <w:r w:rsidR="00420175" w:rsidRPr="00420175">
              <w:rPr>
                <w:rStyle w:val="Hyperlink"/>
                <w:b/>
              </w:rPr>
              <w:t>3. Secinājumi par ieviešanas mehānismu 2007. – 2013. gada plānošanas periodā un nepieciešamajām izmaiņām 2014. – 2020. gada periodā kontekstā</w:t>
            </w:r>
            <w:r w:rsidR="00420175" w:rsidRPr="00420175">
              <w:rPr>
                <w:webHidden/>
              </w:rPr>
              <w:tab/>
            </w:r>
            <w:r w:rsidRPr="00420175">
              <w:rPr>
                <w:webHidden/>
              </w:rPr>
              <w:fldChar w:fldCharType="begin"/>
            </w:r>
            <w:r w:rsidR="00420175" w:rsidRPr="00420175">
              <w:rPr>
                <w:webHidden/>
              </w:rPr>
              <w:instrText xml:space="preserve"> PAGEREF _Toc445290204 \h </w:instrText>
            </w:r>
            <w:r w:rsidRPr="00420175">
              <w:rPr>
                <w:webHidden/>
              </w:rPr>
            </w:r>
            <w:r w:rsidRPr="00420175">
              <w:rPr>
                <w:webHidden/>
              </w:rPr>
              <w:fldChar w:fldCharType="separate"/>
            </w:r>
            <w:r w:rsidR="00244ABF">
              <w:rPr>
                <w:webHidden/>
              </w:rPr>
              <w:t>52</w:t>
            </w:r>
            <w:r w:rsidRPr="00420175">
              <w:rPr>
                <w:webHidden/>
              </w:rPr>
              <w:fldChar w:fldCharType="end"/>
            </w:r>
          </w:hyperlink>
        </w:p>
        <w:p w:rsidR="00420175" w:rsidRPr="00420175" w:rsidRDefault="00BE3FB9">
          <w:pPr>
            <w:pStyle w:val="TOC1"/>
            <w:rPr>
              <w:rFonts w:eastAsiaTheme="minorEastAsia"/>
              <w:sz w:val="22"/>
              <w:szCs w:val="22"/>
              <w:lang w:eastAsia="lv-LV"/>
            </w:rPr>
          </w:pPr>
          <w:hyperlink w:anchor="_Toc445290205" w:history="1">
            <w:r w:rsidR="00420175" w:rsidRPr="00420175">
              <w:rPr>
                <w:rStyle w:val="Hyperlink"/>
                <w:b/>
              </w:rPr>
              <w:t>4. 8.1.4.SAM ieviešanas mehānisma apraksts</w:t>
            </w:r>
            <w:r w:rsidR="00420175" w:rsidRPr="00420175">
              <w:rPr>
                <w:webHidden/>
              </w:rPr>
              <w:tab/>
            </w:r>
            <w:r w:rsidRPr="00420175">
              <w:rPr>
                <w:webHidden/>
              </w:rPr>
              <w:fldChar w:fldCharType="begin"/>
            </w:r>
            <w:r w:rsidR="00420175" w:rsidRPr="00420175">
              <w:rPr>
                <w:webHidden/>
              </w:rPr>
              <w:instrText xml:space="preserve"> PAGEREF _Toc445290205 \h </w:instrText>
            </w:r>
            <w:r w:rsidRPr="00420175">
              <w:rPr>
                <w:webHidden/>
              </w:rPr>
            </w:r>
            <w:r w:rsidRPr="00420175">
              <w:rPr>
                <w:webHidden/>
              </w:rPr>
              <w:fldChar w:fldCharType="separate"/>
            </w:r>
            <w:r w:rsidR="00244ABF">
              <w:rPr>
                <w:webHidden/>
              </w:rPr>
              <w:t>55</w:t>
            </w:r>
            <w:r w:rsidRPr="00420175">
              <w:rPr>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206" w:history="1">
            <w:r w:rsidR="00420175" w:rsidRPr="00420175">
              <w:rPr>
                <w:rStyle w:val="Hyperlink"/>
                <w:rFonts w:ascii="Times New Roman" w:hAnsi="Times New Roman"/>
                <w:noProof/>
              </w:rPr>
              <w:t>4.1. 8.1.4.SAM vispārīgs apraksts</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_Toc445290206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55</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207" w:history="1">
            <w:r w:rsidR="00420175" w:rsidRPr="00420175">
              <w:rPr>
                <w:rStyle w:val="Hyperlink"/>
                <w:rFonts w:ascii="Times New Roman" w:hAnsi="Times New Roman"/>
                <w:noProof/>
              </w:rPr>
              <w:t>4.2. Sinerģija un demarkācija ar citiem specifiskajiem atbalsta mērķiem augstākās un profesionālās izglītības jomā</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_Toc445290207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57</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208" w:history="1">
            <w:r w:rsidR="00420175" w:rsidRPr="00420175">
              <w:rPr>
                <w:rStyle w:val="Hyperlink"/>
                <w:rFonts w:ascii="Times New Roman" w:hAnsi="Times New Roman"/>
                <w:noProof/>
              </w:rPr>
              <w:t>4.3. Koledžu (indikatīvo finansējuma saņēmēju) vajadzību analīze</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_Toc445290208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58</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209" w:history="1">
            <w:r w:rsidR="00420175" w:rsidRPr="00420175">
              <w:rPr>
                <w:rStyle w:val="Hyperlink"/>
                <w:rFonts w:ascii="Times New Roman" w:hAnsi="Times New Roman"/>
                <w:noProof/>
              </w:rPr>
              <w:t>4.4. Stratēģiskie priekšatlases kritēriji</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_Toc445290209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60</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210" w:history="1">
            <w:r w:rsidR="00420175" w:rsidRPr="00420175">
              <w:rPr>
                <w:rStyle w:val="Hyperlink"/>
                <w:rFonts w:ascii="Times New Roman" w:hAnsi="Times New Roman"/>
                <w:noProof/>
              </w:rPr>
              <w:t>4.5. Indikatīvais 2014.-2020.gada plānošanas perioda investīciju kartējums koledžu infrastruktūrā</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_Toc445290210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61</w:t>
            </w:r>
            <w:r w:rsidRPr="00420175">
              <w:rPr>
                <w:rFonts w:ascii="Times New Roman" w:hAnsi="Times New Roman"/>
                <w:noProof/>
                <w:webHidden/>
              </w:rPr>
              <w:fldChar w:fldCharType="end"/>
            </w:r>
          </w:hyperlink>
        </w:p>
        <w:p w:rsidR="00420175" w:rsidRPr="00420175" w:rsidRDefault="00BE3FB9">
          <w:pPr>
            <w:pStyle w:val="TOC2"/>
            <w:tabs>
              <w:tab w:val="right" w:leader="dot" w:pos="8637"/>
            </w:tabs>
            <w:rPr>
              <w:rFonts w:ascii="Times New Roman" w:eastAsiaTheme="minorEastAsia" w:hAnsi="Times New Roman"/>
              <w:noProof/>
              <w:lang w:val="lv-LV" w:eastAsia="lv-LV"/>
            </w:rPr>
          </w:pPr>
          <w:hyperlink w:anchor="_Toc445290211" w:history="1">
            <w:r w:rsidR="00420175" w:rsidRPr="00420175">
              <w:rPr>
                <w:rStyle w:val="Hyperlink"/>
                <w:rFonts w:ascii="Times New Roman" w:hAnsi="Times New Roman"/>
                <w:noProof/>
              </w:rPr>
              <w:t>4.6. Priekšlikumi projektu iesniegumu vērtēšanas kritērijiem</w:t>
            </w:r>
            <w:r w:rsidR="00420175" w:rsidRPr="00420175">
              <w:rPr>
                <w:rFonts w:ascii="Times New Roman" w:hAnsi="Times New Roman"/>
                <w:noProof/>
                <w:webHidden/>
              </w:rPr>
              <w:tab/>
            </w:r>
            <w:r w:rsidRPr="00420175">
              <w:rPr>
                <w:rFonts w:ascii="Times New Roman" w:hAnsi="Times New Roman"/>
                <w:noProof/>
                <w:webHidden/>
              </w:rPr>
              <w:fldChar w:fldCharType="begin"/>
            </w:r>
            <w:r w:rsidR="00420175" w:rsidRPr="00420175">
              <w:rPr>
                <w:rFonts w:ascii="Times New Roman" w:hAnsi="Times New Roman"/>
                <w:noProof/>
                <w:webHidden/>
              </w:rPr>
              <w:instrText xml:space="preserve"> PAGEREF _Toc445290211 \h </w:instrText>
            </w:r>
            <w:r w:rsidRPr="00420175">
              <w:rPr>
                <w:rFonts w:ascii="Times New Roman" w:hAnsi="Times New Roman"/>
                <w:noProof/>
                <w:webHidden/>
              </w:rPr>
            </w:r>
            <w:r w:rsidRPr="00420175">
              <w:rPr>
                <w:rFonts w:ascii="Times New Roman" w:hAnsi="Times New Roman"/>
                <w:noProof/>
                <w:webHidden/>
              </w:rPr>
              <w:fldChar w:fldCharType="separate"/>
            </w:r>
            <w:r w:rsidR="00244ABF">
              <w:rPr>
                <w:rFonts w:ascii="Times New Roman" w:hAnsi="Times New Roman"/>
                <w:noProof/>
                <w:webHidden/>
              </w:rPr>
              <w:t>65</w:t>
            </w:r>
            <w:r w:rsidRPr="00420175">
              <w:rPr>
                <w:rFonts w:ascii="Times New Roman" w:hAnsi="Times New Roman"/>
                <w:noProof/>
                <w:webHidden/>
              </w:rPr>
              <w:fldChar w:fldCharType="end"/>
            </w:r>
          </w:hyperlink>
        </w:p>
        <w:p w:rsidR="00420175" w:rsidRPr="00420175" w:rsidRDefault="00BE3FB9">
          <w:pPr>
            <w:pStyle w:val="TOC1"/>
            <w:rPr>
              <w:rFonts w:eastAsiaTheme="minorEastAsia"/>
              <w:sz w:val="22"/>
              <w:szCs w:val="22"/>
              <w:lang w:eastAsia="lv-LV"/>
            </w:rPr>
          </w:pPr>
          <w:hyperlink w:anchor="_Toc445290212" w:history="1">
            <w:r w:rsidR="00420175" w:rsidRPr="00420175">
              <w:rPr>
                <w:rStyle w:val="Hyperlink"/>
                <w:b/>
              </w:rPr>
              <w:t>5. SAM 8.1.4. sākotnējās ietekmes noteikšana</w:t>
            </w:r>
            <w:r w:rsidR="00420175" w:rsidRPr="00420175">
              <w:rPr>
                <w:webHidden/>
              </w:rPr>
              <w:tab/>
            </w:r>
            <w:r w:rsidRPr="00420175">
              <w:rPr>
                <w:webHidden/>
              </w:rPr>
              <w:fldChar w:fldCharType="begin"/>
            </w:r>
            <w:r w:rsidR="00420175" w:rsidRPr="00420175">
              <w:rPr>
                <w:webHidden/>
              </w:rPr>
              <w:instrText xml:space="preserve"> PAGEREF _Toc445290212 \h </w:instrText>
            </w:r>
            <w:r w:rsidRPr="00420175">
              <w:rPr>
                <w:webHidden/>
              </w:rPr>
            </w:r>
            <w:r w:rsidRPr="00420175">
              <w:rPr>
                <w:webHidden/>
              </w:rPr>
              <w:fldChar w:fldCharType="separate"/>
            </w:r>
            <w:r w:rsidR="00244ABF">
              <w:rPr>
                <w:webHidden/>
              </w:rPr>
              <w:t>66</w:t>
            </w:r>
            <w:r w:rsidRPr="00420175">
              <w:rPr>
                <w:webHidden/>
              </w:rPr>
              <w:fldChar w:fldCharType="end"/>
            </w:r>
          </w:hyperlink>
        </w:p>
        <w:p w:rsidR="00420175" w:rsidRPr="00420175" w:rsidRDefault="00BE3FB9">
          <w:pPr>
            <w:pStyle w:val="TOC1"/>
            <w:rPr>
              <w:rFonts w:eastAsiaTheme="minorEastAsia"/>
              <w:sz w:val="22"/>
              <w:szCs w:val="22"/>
              <w:lang w:eastAsia="lv-LV"/>
            </w:rPr>
          </w:pPr>
          <w:hyperlink w:anchor="_Toc445290213" w:history="1">
            <w:r w:rsidR="00420175" w:rsidRPr="00420175">
              <w:rPr>
                <w:rStyle w:val="Hyperlink"/>
                <w:b/>
              </w:rPr>
              <w:t>6. Nepieciešamie dati ietekmes izvērtēšanai un uzraudzības nodrošināšanai</w:t>
            </w:r>
            <w:r w:rsidR="00420175" w:rsidRPr="00420175">
              <w:rPr>
                <w:webHidden/>
              </w:rPr>
              <w:tab/>
            </w:r>
            <w:r w:rsidRPr="00420175">
              <w:rPr>
                <w:webHidden/>
              </w:rPr>
              <w:fldChar w:fldCharType="begin"/>
            </w:r>
            <w:r w:rsidR="00420175" w:rsidRPr="00420175">
              <w:rPr>
                <w:webHidden/>
              </w:rPr>
              <w:instrText xml:space="preserve"> PAGEREF _Toc445290213 \h </w:instrText>
            </w:r>
            <w:r w:rsidRPr="00420175">
              <w:rPr>
                <w:webHidden/>
              </w:rPr>
            </w:r>
            <w:r w:rsidRPr="00420175">
              <w:rPr>
                <w:webHidden/>
              </w:rPr>
              <w:fldChar w:fldCharType="separate"/>
            </w:r>
            <w:r w:rsidR="00244ABF">
              <w:rPr>
                <w:webHidden/>
              </w:rPr>
              <w:t>67</w:t>
            </w:r>
            <w:r w:rsidRPr="00420175">
              <w:rPr>
                <w:webHidden/>
              </w:rPr>
              <w:fldChar w:fldCharType="end"/>
            </w:r>
          </w:hyperlink>
        </w:p>
        <w:p w:rsidR="00A83039" w:rsidRPr="00420175" w:rsidRDefault="00BE3FB9" w:rsidP="00081DDA">
          <w:pPr>
            <w:pStyle w:val="TOC1"/>
            <w:spacing w:line="240" w:lineRule="auto"/>
          </w:pPr>
          <w:r w:rsidRPr="00420175">
            <w:fldChar w:fldCharType="end"/>
          </w:r>
        </w:p>
      </w:sdtContent>
    </w:sdt>
    <w:p w:rsidR="00D74261" w:rsidRPr="00420175" w:rsidRDefault="00D74261" w:rsidP="00A83039">
      <w:pPr>
        <w:rPr>
          <w:lang w:eastAsia="zh-TW"/>
        </w:rPr>
        <w:sectPr w:rsidR="00D74261" w:rsidRPr="00420175" w:rsidSect="00EE2636">
          <w:headerReference w:type="even" r:id="rId9"/>
          <w:headerReference w:type="default" r:id="rId10"/>
          <w:footerReference w:type="default" r:id="rId11"/>
          <w:pgSz w:w="11907" w:h="16840" w:code="9"/>
          <w:pgMar w:top="567" w:right="1559" w:bottom="1134" w:left="1701" w:header="720" w:footer="720" w:gutter="0"/>
          <w:pgNumType w:start="1"/>
          <w:cols w:space="720"/>
          <w:titlePg/>
          <w:docGrid w:linePitch="326"/>
        </w:sectPr>
      </w:pPr>
    </w:p>
    <w:p w:rsidR="006C208C" w:rsidRPr="00EE7E61" w:rsidRDefault="0016535A" w:rsidP="00EE7E61">
      <w:pPr>
        <w:pStyle w:val="Heading1"/>
        <w:jc w:val="center"/>
      </w:pPr>
      <w:bookmarkStart w:id="2" w:name="_Toc445290184"/>
      <w:r>
        <w:lastRenderedPageBreak/>
        <w:t>Koledžu nosaukumu s</w:t>
      </w:r>
      <w:r w:rsidR="006C208C" w:rsidRPr="00EE7E61">
        <w:t>aīsinājumi</w:t>
      </w:r>
      <w:bookmarkEnd w:id="2"/>
    </w:p>
    <w:p w:rsidR="006B1496" w:rsidRPr="00132479" w:rsidRDefault="006B1496" w:rsidP="00132479">
      <w:pPr>
        <w:rPr>
          <w:lang w:eastAsia="zh-TW"/>
        </w:rPr>
      </w:pPr>
    </w:p>
    <w:tbl>
      <w:tblPr>
        <w:tblStyle w:val="TableGrid"/>
        <w:tblW w:w="0" w:type="auto"/>
        <w:tblLook w:val="04A0"/>
      </w:tblPr>
      <w:tblGrid>
        <w:gridCol w:w="675"/>
        <w:gridCol w:w="3078"/>
        <w:gridCol w:w="5535"/>
      </w:tblGrid>
      <w:tr w:rsidR="00716328" w:rsidRPr="00771A2A" w:rsidTr="00716328">
        <w:tc>
          <w:tcPr>
            <w:tcW w:w="9288" w:type="dxa"/>
            <w:gridSpan w:val="3"/>
          </w:tcPr>
          <w:p w:rsidR="00716328" w:rsidRPr="0088074C" w:rsidRDefault="00716328" w:rsidP="003E1862">
            <w:pPr>
              <w:spacing w:before="40" w:after="40"/>
              <w:rPr>
                <w:szCs w:val="24"/>
              </w:rPr>
            </w:pPr>
            <w:bookmarkStart w:id="3" w:name="_Toc409448067"/>
            <w:r w:rsidRPr="0088074C">
              <w:rPr>
                <w:b/>
                <w:color w:val="1F4E79"/>
                <w:szCs w:val="22"/>
              </w:rPr>
              <w:t>Valsts koledžas</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DMK</w:t>
            </w:r>
          </w:p>
        </w:tc>
        <w:tc>
          <w:tcPr>
            <w:tcW w:w="5535" w:type="dxa"/>
            <w:vAlign w:val="center"/>
          </w:tcPr>
          <w:p w:rsidR="00716328" w:rsidRPr="000115AD" w:rsidRDefault="00716328" w:rsidP="0088074C">
            <w:pPr>
              <w:spacing w:before="40" w:after="40"/>
              <w:rPr>
                <w:szCs w:val="24"/>
              </w:rPr>
            </w:pPr>
            <w:r w:rsidRPr="000115AD">
              <w:rPr>
                <w:szCs w:val="24"/>
              </w:rPr>
              <w:t>Daugavpils medicīnas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JAK</w:t>
            </w:r>
          </w:p>
        </w:tc>
        <w:tc>
          <w:tcPr>
            <w:tcW w:w="5535" w:type="dxa"/>
            <w:vAlign w:val="center"/>
          </w:tcPr>
          <w:p w:rsidR="00716328" w:rsidRPr="000115AD" w:rsidRDefault="00716328" w:rsidP="0088074C">
            <w:pPr>
              <w:spacing w:before="40" w:after="40"/>
              <w:rPr>
                <w:szCs w:val="24"/>
              </w:rPr>
            </w:pPr>
            <w:r w:rsidRPr="000115AD">
              <w:rPr>
                <w:szCs w:val="24"/>
              </w:rPr>
              <w:t xml:space="preserve">Jēkabpils </w:t>
            </w:r>
            <w:proofErr w:type="spellStart"/>
            <w:r w:rsidRPr="000115AD">
              <w:rPr>
                <w:szCs w:val="24"/>
              </w:rPr>
              <w:t>Agrobiznesa</w:t>
            </w:r>
            <w:proofErr w:type="spellEnd"/>
            <w:r w:rsidRPr="000115AD">
              <w:rPr>
                <w:szCs w:val="24"/>
              </w:rPr>
              <w:t xml:space="preserve">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LJK</w:t>
            </w:r>
          </w:p>
        </w:tc>
        <w:tc>
          <w:tcPr>
            <w:tcW w:w="5535" w:type="dxa"/>
            <w:vAlign w:val="center"/>
          </w:tcPr>
          <w:p w:rsidR="00716328" w:rsidRPr="000115AD" w:rsidRDefault="00716328" w:rsidP="0088074C">
            <w:pPr>
              <w:spacing w:before="40" w:after="40"/>
              <w:rPr>
                <w:szCs w:val="24"/>
              </w:rPr>
            </w:pPr>
            <w:r w:rsidRPr="000115AD">
              <w:rPr>
                <w:szCs w:val="24"/>
              </w:rPr>
              <w:t>Liepājas Jūrniecības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proofErr w:type="spellStart"/>
            <w:r w:rsidRPr="000115AD">
              <w:rPr>
                <w:szCs w:val="24"/>
              </w:rPr>
              <w:t>LKuA</w:t>
            </w:r>
            <w:proofErr w:type="spellEnd"/>
            <w:r w:rsidRPr="000115AD">
              <w:rPr>
                <w:szCs w:val="24"/>
              </w:rPr>
              <w:t xml:space="preserve"> LKK</w:t>
            </w:r>
          </w:p>
        </w:tc>
        <w:tc>
          <w:tcPr>
            <w:tcW w:w="5535" w:type="dxa"/>
            <w:vAlign w:val="center"/>
          </w:tcPr>
          <w:p w:rsidR="00716328" w:rsidRPr="000115AD" w:rsidRDefault="00716328" w:rsidP="0088074C">
            <w:pPr>
              <w:spacing w:before="40" w:after="40"/>
              <w:rPr>
                <w:szCs w:val="24"/>
              </w:rPr>
            </w:pPr>
            <w:r w:rsidRPr="000115AD">
              <w:rPr>
                <w:szCs w:val="24"/>
              </w:rPr>
              <w:t>Latvijas Kultūras akadēmijas Latvijas Kultūras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LU RMK</w:t>
            </w:r>
          </w:p>
        </w:tc>
        <w:tc>
          <w:tcPr>
            <w:tcW w:w="5535" w:type="dxa"/>
            <w:vAlign w:val="center"/>
          </w:tcPr>
          <w:p w:rsidR="00716328" w:rsidRPr="000115AD" w:rsidRDefault="00716328" w:rsidP="0088074C">
            <w:pPr>
              <w:spacing w:before="40" w:after="40"/>
              <w:rPr>
                <w:szCs w:val="24"/>
              </w:rPr>
            </w:pPr>
            <w:r w:rsidRPr="000115AD">
              <w:rPr>
                <w:szCs w:val="24"/>
              </w:rPr>
              <w:t>Latvijas Universitātes Rīgas Medicīnas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LU SMK</w:t>
            </w:r>
          </w:p>
        </w:tc>
        <w:tc>
          <w:tcPr>
            <w:tcW w:w="5535" w:type="dxa"/>
            <w:vAlign w:val="center"/>
          </w:tcPr>
          <w:p w:rsidR="00716328" w:rsidRPr="000115AD" w:rsidRDefault="00716328" w:rsidP="0088074C">
            <w:pPr>
              <w:spacing w:before="40" w:after="40"/>
              <w:rPr>
                <w:szCs w:val="24"/>
              </w:rPr>
            </w:pPr>
            <w:r w:rsidRPr="000115AD">
              <w:rPr>
                <w:szCs w:val="24"/>
              </w:rPr>
              <w:t>Latvijas Universitātes P.Stradiņa medicīnas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MK</w:t>
            </w:r>
          </w:p>
        </w:tc>
        <w:tc>
          <w:tcPr>
            <w:tcW w:w="5535" w:type="dxa"/>
            <w:vAlign w:val="center"/>
          </w:tcPr>
          <w:p w:rsidR="00716328" w:rsidRPr="000115AD" w:rsidRDefault="00716328" w:rsidP="0088074C">
            <w:pPr>
              <w:spacing w:before="40" w:after="40"/>
              <w:rPr>
                <w:szCs w:val="24"/>
              </w:rPr>
            </w:pPr>
            <w:r w:rsidRPr="000115AD">
              <w:rPr>
                <w:szCs w:val="24"/>
              </w:rPr>
              <w:t>Malnavas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OMTK</w:t>
            </w:r>
          </w:p>
        </w:tc>
        <w:tc>
          <w:tcPr>
            <w:tcW w:w="5535" w:type="dxa"/>
            <w:vAlign w:val="center"/>
          </w:tcPr>
          <w:p w:rsidR="00716328" w:rsidRPr="000115AD" w:rsidRDefault="00716328" w:rsidP="0088074C">
            <w:pPr>
              <w:spacing w:before="40" w:after="40"/>
              <w:rPr>
                <w:szCs w:val="24"/>
              </w:rPr>
            </w:pPr>
            <w:r w:rsidRPr="000115AD">
              <w:rPr>
                <w:szCs w:val="24"/>
              </w:rPr>
              <w:t>Olaines Mehānikas un tehnoloģijas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R1MK</w:t>
            </w:r>
          </w:p>
        </w:tc>
        <w:tc>
          <w:tcPr>
            <w:tcW w:w="5535" w:type="dxa"/>
            <w:vAlign w:val="center"/>
          </w:tcPr>
          <w:p w:rsidR="00716328" w:rsidRPr="000115AD" w:rsidRDefault="00716328" w:rsidP="0088074C">
            <w:pPr>
              <w:spacing w:before="40" w:after="40"/>
              <w:rPr>
                <w:szCs w:val="24"/>
              </w:rPr>
            </w:pPr>
            <w:r w:rsidRPr="000115AD">
              <w:rPr>
                <w:szCs w:val="24"/>
              </w:rPr>
              <w:t>Rīgas 1.medicīnas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RCK</w:t>
            </w:r>
          </w:p>
        </w:tc>
        <w:tc>
          <w:tcPr>
            <w:tcW w:w="5535" w:type="dxa"/>
            <w:vAlign w:val="center"/>
          </w:tcPr>
          <w:p w:rsidR="00716328" w:rsidRPr="000115AD" w:rsidRDefault="00716328" w:rsidP="0088074C">
            <w:pPr>
              <w:spacing w:before="40" w:after="40"/>
              <w:rPr>
                <w:szCs w:val="24"/>
              </w:rPr>
            </w:pPr>
            <w:r w:rsidRPr="000115AD">
              <w:rPr>
                <w:szCs w:val="24"/>
              </w:rPr>
              <w:t>Rīgas Celtniecības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RSU SKMK</w:t>
            </w:r>
          </w:p>
        </w:tc>
        <w:tc>
          <w:tcPr>
            <w:tcW w:w="5535" w:type="dxa"/>
            <w:vAlign w:val="center"/>
          </w:tcPr>
          <w:p w:rsidR="00716328" w:rsidRPr="000115AD" w:rsidRDefault="00716328" w:rsidP="0088074C">
            <w:pPr>
              <w:spacing w:before="40" w:after="40"/>
              <w:rPr>
                <w:szCs w:val="24"/>
              </w:rPr>
            </w:pPr>
            <w:r w:rsidRPr="000115AD">
              <w:rPr>
                <w:szCs w:val="24"/>
              </w:rPr>
              <w:t>Rīgas Stradiņa universitātes Sarkanā Krusta medicīnas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RTK</w:t>
            </w:r>
          </w:p>
        </w:tc>
        <w:tc>
          <w:tcPr>
            <w:tcW w:w="5535" w:type="dxa"/>
            <w:vAlign w:val="center"/>
          </w:tcPr>
          <w:p w:rsidR="00716328" w:rsidRPr="000115AD" w:rsidRDefault="00716328" w:rsidP="0088074C">
            <w:pPr>
              <w:spacing w:before="40" w:after="40"/>
              <w:rPr>
                <w:szCs w:val="24"/>
              </w:rPr>
            </w:pPr>
            <w:r w:rsidRPr="000115AD">
              <w:rPr>
                <w:szCs w:val="24"/>
              </w:rPr>
              <w:t>Profesionālās izglītības kompetences centrs „Rīgas Tehniskā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10166D" w:rsidRDefault="0010166D" w:rsidP="0088074C">
            <w:pPr>
              <w:spacing w:before="40" w:after="40"/>
              <w:rPr>
                <w:szCs w:val="24"/>
              </w:rPr>
            </w:pPr>
            <w:r>
              <w:rPr>
                <w:szCs w:val="24"/>
              </w:rPr>
              <w:t>BA UK</w:t>
            </w:r>
          </w:p>
          <w:p w:rsidR="00716328" w:rsidRPr="000115AD" w:rsidRDefault="0010166D" w:rsidP="0088074C">
            <w:pPr>
              <w:spacing w:before="40" w:after="40"/>
              <w:rPr>
                <w:szCs w:val="24"/>
              </w:rPr>
            </w:pPr>
            <w:r>
              <w:rPr>
                <w:szCs w:val="24"/>
              </w:rPr>
              <w:t xml:space="preserve">(līdz 02.02.2015. </w:t>
            </w:r>
            <w:r w:rsidR="00716328" w:rsidRPr="000115AD">
              <w:rPr>
                <w:szCs w:val="24"/>
              </w:rPr>
              <w:t>RUK</w:t>
            </w:r>
            <w:r>
              <w:rPr>
                <w:szCs w:val="24"/>
              </w:rPr>
              <w:t>)</w:t>
            </w:r>
          </w:p>
        </w:tc>
        <w:tc>
          <w:tcPr>
            <w:tcW w:w="5535" w:type="dxa"/>
            <w:vAlign w:val="center"/>
          </w:tcPr>
          <w:p w:rsidR="00716328" w:rsidRPr="000115AD" w:rsidRDefault="0010166D" w:rsidP="0010166D">
            <w:pPr>
              <w:spacing w:before="40" w:after="40"/>
              <w:rPr>
                <w:szCs w:val="24"/>
              </w:rPr>
            </w:pPr>
            <w:r>
              <w:rPr>
                <w:szCs w:val="24"/>
              </w:rPr>
              <w:t xml:space="preserve">Banku augstskolas Uzņēmējdarbības koledža (līdz 02.02.2015. </w:t>
            </w:r>
            <w:r w:rsidR="00716328" w:rsidRPr="000115AD">
              <w:rPr>
                <w:szCs w:val="24"/>
              </w:rPr>
              <w:t>Rīgas Uzņēmējdarbības koledža</w:t>
            </w:r>
            <w:r>
              <w:rPr>
                <w:szCs w:val="24"/>
              </w:rPr>
              <w:t xml:space="preserve">) </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SIVA</w:t>
            </w:r>
          </w:p>
        </w:tc>
        <w:tc>
          <w:tcPr>
            <w:tcW w:w="5535" w:type="dxa"/>
            <w:vAlign w:val="center"/>
          </w:tcPr>
          <w:p w:rsidR="00716328" w:rsidRPr="000115AD" w:rsidRDefault="00716328" w:rsidP="0088074C">
            <w:pPr>
              <w:spacing w:before="40" w:after="40"/>
              <w:rPr>
                <w:szCs w:val="24"/>
              </w:rPr>
            </w:pPr>
            <w:r w:rsidRPr="000115AD">
              <w:rPr>
                <w:szCs w:val="24"/>
              </w:rPr>
              <w:t>Sociālās integrācijas valsts aģentūra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UCAK</w:t>
            </w:r>
          </w:p>
        </w:tc>
        <w:tc>
          <w:tcPr>
            <w:tcW w:w="5535" w:type="dxa"/>
            <w:vAlign w:val="center"/>
          </w:tcPr>
          <w:p w:rsidR="00716328" w:rsidRPr="000115AD" w:rsidRDefault="00716328" w:rsidP="0088074C">
            <w:pPr>
              <w:spacing w:before="40" w:after="40"/>
              <w:rPr>
                <w:szCs w:val="24"/>
              </w:rPr>
            </w:pPr>
            <w:r w:rsidRPr="000115AD">
              <w:rPr>
                <w:szCs w:val="24"/>
              </w:rPr>
              <w:t>Ugunsdrošības un civilās aizsardzības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tcPr>
          <w:p w:rsidR="00716328" w:rsidRPr="000115AD" w:rsidRDefault="00716328" w:rsidP="0088074C">
            <w:pPr>
              <w:spacing w:before="40" w:after="40"/>
              <w:jc w:val="left"/>
              <w:rPr>
                <w:rFonts w:eastAsia="SimSun"/>
                <w:color w:val="365F91"/>
                <w:szCs w:val="24"/>
                <w:lang w:eastAsia="zh-TW"/>
              </w:rPr>
            </w:pPr>
            <w:r w:rsidRPr="000115AD">
              <w:rPr>
                <w:szCs w:val="24"/>
              </w:rPr>
              <w:t>VPK</w:t>
            </w:r>
          </w:p>
        </w:tc>
        <w:tc>
          <w:tcPr>
            <w:tcW w:w="5535" w:type="dxa"/>
          </w:tcPr>
          <w:p w:rsidR="00716328" w:rsidRPr="000115AD" w:rsidRDefault="00716328" w:rsidP="0088074C">
            <w:pPr>
              <w:spacing w:before="40" w:after="40"/>
              <w:jc w:val="left"/>
              <w:rPr>
                <w:rFonts w:eastAsia="SimSun"/>
                <w:color w:val="365F91"/>
                <w:szCs w:val="24"/>
                <w:lang w:eastAsia="zh-TW"/>
              </w:rPr>
            </w:pPr>
            <w:r w:rsidRPr="000115AD">
              <w:rPr>
                <w:szCs w:val="24"/>
              </w:rPr>
              <w:t>Valsts Policijas koledža</w:t>
            </w:r>
          </w:p>
        </w:tc>
      </w:tr>
      <w:tr w:rsidR="00716328" w:rsidRPr="000115AD" w:rsidTr="0088074C">
        <w:tc>
          <w:tcPr>
            <w:tcW w:w="675" w:type="dxa"/>
            <w:vAlign w:val="center"/>
          </w:tcPr>
          <w:p w:rsidR="00716328" w:rsidRPr="000115AD" w:rsidRDefault="00716328" w:rsidP="00722156">
            <w:pPr>
              <w:pStyle w:val="ListParagraph"/>
              <w:numPr>
                <w:ilvl w:val="0"/>
                <w:numId w:val="32"/>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VRK</w:t>
            </w:r>
          </w:p>
        </w:tc>
        <w:tc>
          <w:tcPr>
            <w:tcW w:w="5535" w:type="dxa"/>
            <w:vAlign w:val="center"/>
          </w:tcPr>
          <w:p w:rsidR="00716328" w:rsidRPr="000115AD" w:rsidRDefault="00716328" w:rsidP="0088074C">
            <w:pPr>
              <w:spacing w:before="40" w:after="40"/>
              <w:rPr>
                <w:szCs w:val="24"/>
              </w:rPr>
            </w:pPr>
            <w:r w:rsidRPr="000115AD">
              <w:rPr>
                <w:szCs w:val="24"/>
              </w:rPr>
              <w:t>Valsts Robežsardzes koledža</w:t>
            </w:r>
          </w:p>
        </w:tc>
      </w:tr>
      <w:tr w:rsidR="00716328" w:rsidTr="00716328">
        <w:tc>
          <w:tcPr>
            <w:tcW w:w="9288" w:type="dxa"/>
            <w:gridSpan w:val="3"/>
          </w:tcPr>
          <w:p w:rsidR="00716328" w:rsidRPr="0088074C" w:rsidRDefault="00716328" w:rsidP="0088074C">
            <w:pPr>
              <w:spacing w:before="40" w:after="40"/>
              <w:jc w:val="left"/>
              <w:rPr>
                <w:sz w:val="22"/>
                <w:szCs w:val="22"/>
              </w:rPr>
            </w:pPr>
            <w:r w:rsidRPr="0088074C">
              <w:rPr>
                <w:b/>
                <w:color w:val="1F4E79"/>
                <w:szCs w:val="22"/>
              </w:rPr>
              <w:t>Juridisko personu dibinātās koledžas</w:t>
            </w:r>
          </w:p>
        </w:tc>
      </w:tr>
      <w:tr w:rsidR="00716328" w:rsidRPr="000115AD" w:rsidTr="0088074C">
        <w:tc>
          <w:tcPr>
            <w:tcW w:w="675" w:type="dxa"/>
            <w:vAlign w:val="center"/>
          </w:tcPr>
          <w:p w:rsidR="00716328" w:rsidRPr="000115AD" w:rsidRDefault="00716328" w:rsidP="00722156">
            <w:pPr>
              <w:pStyle w:val="ListParagraph"/>
              <w:numPr>
                <w:ilvl w:val="0"/>
                <w:numId w:val="31"/>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AK</w:t>
            </w:r>
          </w:p>
        </w:tc>
        <w:tc>
          <w:tcPr>
            <w:tcW w:w="5535" w:type="dxa"/>
            <w:vAlign w:val="center"/>
          </w:tcPr>
          <w:p w:rsidR="00716328" w:rsidRPr="000115AD" w:rsidRDefault="00716328" w:rsidP="0088074C">
            <w:pPr>
              <w:spacing w:before="40" w:after="40"/>
              <w:rPr>
                <w:szCs w:val="24"/>
              </w:rPr>
            </w:pPr>
            <w:r w:rsidRPr="000115AD">
              <w:rPr>
                <w:szCs w:val="24"/>
              </w:rPr>
              <w:t>Alberta koledža</w:t>
            </w:r>
          </w:p>
        </w:tc>
      </w:tr>
      <w:tr w:rsidR="00716328" w:rsidRPr="000115AD" w:rsidTr="0088074C">
        <w:tc>
          <w:tcPr>
            <w:tcW w:w="675" w:type="dxa"/>
            <w:vAlign w:val="center"/>
          </w:tcPr>
          <w:p w:rsidR="00716328" w:rsidRPr="000115AD" w:rsidRDefault="00716328" w:rsidP="00722156">
            <w:pPr>
              <w:pStyle w:val="ListParagraph"/>
              <w:numPr>
                <w:ilvl w:val="0"/>
                <w:numId w:val="31"/>
              </w:numPr>
              <w:spacing w:before="40" w:after="40"/>
              <w:ind w:left="357" w:hanging="357"/>
              <w:jc w:val="left"/>
              <w:rPr>
                <w:szCs w:val="24"/>
              </w:rPr>
            </w:pPr>
          </w:p>
        </w:tc>
        <w:tc>
          <w:tcPr>
            <w:tcW w:w="3078" w:type="dxa"/>
          </w:tcPr>
          <w:p w:rsidR="00716328" w:rsidRPr="000115AD" w:rsidRDefault="00716328" w:rsidP="0088074C">
            <w:pPr>
              <w:spacing w:before="40" w:after="40"/>
              <w:jc w:val="left"/>
              <w:rPr>
                <w:szCs w:val="24"/>
              </w:rPr>
            </w:pPr>
            <w:r w:rsidRPr="000115AD">
              <w:rPr>
                <w:szCs w:val="24"/>
              </w:rPr>
              <w:t>BVK</w:t>
            </w:r>
          </w:p>
        </w:tc>
        <w:tc>
          <w:tcPr>
            <w:tcW w:w="5535" w:type="dxa"/>
          </w:tcPr>
          <w:p w:rsidR="00716328" w:rsidRPr="000115AD" w:rsidRDefault="00716328" w:rsidP="0088074C">
            <w:pPr>
              <w:spacing w:before="40" w:after="40"/>
              <w:jc w:val="left"/>
              <w:rPr>
                <w:szCs w:val="24"/>
              </w:rPr>
            </w:pPr>
            <w:r w:rsidRPr="000115AD">
              <w:rPr>
                <w:szCs w:val="24"/>
              </w:rPr>
              <w:t>Biznesa vadības koledža</w:t>
            </w:r>
          </w:p>
        </w:tc>
      </w:tr>
      <w:tr w:rsidR="00716328" w:rsidRPr="000115AD" w:rsidTr="0088074C">
        <w:tc>
          <w:tcPr>
            <w:tcW w:w="675" w:type="dxa"/>
            <w:vAlign w:val="center"/>
          </w:tcPr>
          <w:p w:rsidR="00716328" w:rsidRPr="000115AD" w:rsidRDefault="00716328" w:rsidP="00722156">
            <w:pPr>
              <w:pStyle w:val="ListParagraph"/>
              <w:numPr>
                <w:ilvl w:val="0"/>
                <w:numId w:val="31"/>
              </w:numPr>
              <w:spacing w:before="40" w:after="40"/>
              <w:ind w:left="357" w:hanging="357"/>
              <w:jc w:val="left"/>
              <w:rPr>
                <w:szCs w:val="24"/>
              </w:rPr>
            </w:pPr>
          </w:p>
        </w:tc>
        <w:tc>
          <w:tcPr>
            <w:tcW w:w="3078" w:type="dxa"/>
          </w:tcPr>
          <w:p w:rsidR="00716328" w:rsidRPr="000115AD" w:rsidRDefault="00716328" w:rsidP="0088074C">
            <w:pPr>
              <w:spacing w:before="40" w:after="40"/>
              <w:jc w:val="left"/>
              <w:rPr>
                <w:szCs w:val="24"/>
              </w:rPr>
            </w:pPr>
            <w:r w:rsidRPr="000115AD">
              <w:rPr>
                <w:szCs w:val="24"/>
              </w:rPr>
              <w:t>GFK</w:t>
            </w:r>
          </w:p>
        </w:tc>
        <w:tc>
          <w:tcPr>
            <w:tcW w:w="5535" w:type="dxa"/>
          </w:tcPr>
          <w:p w:rsidR="00716328" w:rsidRPr="000115AD" w:rsidRDefault="00716328" w:rsidP="0088074C">
            <w:pPr>
              <w:spacing w:before="40" w:after="40"/>
              <w:jc w:val="left"/>
              <w:rPr>
                <w:szCs w:val="24"/>
              </w:rPr>
            </w:pPr>
            <w:r w:rsidRPr="000115AD">
              <w:rPr>
                <w:szCs w:val="24"/>
              </w:rPr>
              <w:t>Grāmatvedības un finanšu koledža</w:t>
            </w:r>
          </w:p>
        </w:tc>
      </w:tr>
      <w:tr w:rsidR="00BE41C9" w:rsidRPr="000115AD" w:rsidTr="0088074C">
        <w:tc>
          <w:tcPr>
            <w:tcW w:w="675" w:type="dxa"/>
            <w:vAlign w:val="center"/>
          </w:tcPr>
          <w:p w:rsidR="00BE41C9" w:rsidRPr="000115AD" w:rsidRDefault="00BE41C9" w:rsidP="00722156">
            <w:pPr>
              <w:pStyle w:val="ListParagraph"/>
              <w:numPr>
                <w:ilvl w:val="0"/>
                <w:numId w:val="31"/>
              </w:numPr>
              <w:spacing w:before="40" w:after="40"/>
              <w:ind w:left="357" w:hanging="357"/>
              <w:jc w:val="left"/>
              <w:rPr>
                <w:szCs w:val="24"/>
              </w:rPr>
            </w:pPr>
          </w:p>
        </w:tc>
        <w:tc>
          <w:tcPr>
            <w:tcW w:w="3078" w:type="dxa"/>
          </w:tcPr>
          <w:p w:rsidR="00BE41C9" w:rsidRPr="000115AD" w:rsidRDefault="007E4EFE" w:rsidP="0088074C">
            <w:pPr>
              <w:spacing w:before="40" w:after="40"/>
              <w:jc w:val="left"/>
              <w:rPr>
                <w:szCs w:val="24"/>
              </w:rPr>
            </w:pPr>
            <w:r>
              <w:rPr>
                <w:szCs w:val="24"/>
              </w:rPr>
              <w:t>VBK</w:t>
            </w:r>
          </w:p>
        </w:tc>
        <w:tc>
          <w:tcPr>
            <w:tcW w:w="5535" w:type="dxa"/>
          </w:tcPr>
          <w:p w:rsidR="00BE41C9" w:rsidRPr="000115AD" w:rsidRDefault="00BE41C9" w:rsidP="0088074C">
            <w:pPr>
              <w:spacing w:before="40" w:after="40"/>
              <w:jc w:val="left"/>
              <w:rPr>
                <w:szCs w:val="24"/>
              </w:rPr>
            </w:pPr>
            <w:r w:rsidRPr="000115AD">
              <w:rPr>
                <w:szCs w:val="24"/>
              </w:rPr>
              <w:t>„</w:t>
            </w:r>
            <w:r w:rsidR="007E4EFE" w:rsidRPr="007E4EFE">
              <w:t>HOTEL SCHOOL</w:t>
            </w:r>
            <w:r>
              <w:t>” viesnīcu biznesa koledža</w:t>
            </w:r>
            <w:r w:rsidR="007E4EFE">
              <w:t>*</w:t>
            </w:r>
          </w:p>
        </w:tc>
      </w:tr>
      <w:tr w:rsidR="00716328" w:rsidRPr="000115AD" w:rsidTr="0088074C">
        <w:tc>
          <w:tcPr>
            <w:tcW w:w="675" w:type="dxa"/>
            <w:vAlign w:val="center"/>
          </w:tcPr>
          <w:p w:rsidR="00716328" w:rsidRPr="000115AD" w:rsidRDefault="00716328" w:rsidP="00722156">
            <w:pPr>
              <w:pStyle w:val="ListParagraph"/>
              <w:numPr>
                <w:ilvl w:val="0"/>
                <w:numId w:val="31"/>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JK</w:t>
            </w:r>
          </w:p>
        </w:tc>
        <w:tc>
          <w:tcPr>
            <w:tcW w:w="5535" w:type="dxa"/>
            <w:vAlign w:val="center"/>
          </w:tcPr>
          <w:p w:rsidR="00716328" w:rsidRPr="000115AD" w:rsidRDefault="00716328" w:rsidP="0088074C">
            <w:pPr>
              <w:spacing w:before="40" w:after="40"/>
              <w:rPr>
                <w:szCs w:val="24"/>
              </w:rPr>
            </w:pPr>
            <w:r w:rsidRPr="000115AD">
              <w:rPr>
                <w:szCs w:val="24"/>
              </w:rPr>
              <w:t>Juridiskā koledža</w:t>
            </w:r>
          </w:p>
        </w:tc>
      </w:tr>
      <w:tr w:rsidR="00716328" w:rsidRPr="000115AD" w:rsidTr="0088074C">
        <w:tc>
          <w:tcPr>
            <w:tcW w:w="675" w:type="dxa"/>
            <w:vAlign w:val="center"/>
          </w:tcPr>
          <w:p w:rsidR="00716328" w:rsidRPr="000115AD" w:rsidRDefault="00716328" w:rsidP="00722156">
            <w:pPr>
              <w:pStyle w:val="ListParagraph"/>
              <w:numPr>
                <w:ilvl w:val="0"/>
                <w:numId w:val="31"/>
              </w:numPr>
              <w:spacing w:before="40" w:after="40"/>
              <w:ind w:left="357" w:hanging="357"/>
              <w:jc w:val="left"/>
              <w:rPr>
                <w:szCs w:val="24"/>
              </w:rPr>
            </w:pPr>
          </w:p>
        </w:tc>
        <w:tc>
          <w:tcPr>
            <w:tcW w:w="3078" w:type="dxa"/>
          </w:tcPr>
          <w:p w:rsidR="00716328" w:rsidRPr="000115AD" w:rsidRDefault="00716328" w:rsidP="0088074C">
            <w:pPr>
              <w:spacing w:before="40" w:after="40"/>
              <w:jc w:val="left"/>
              <w:rPr>
                <w:szCs w:val="24"/>
              </w:rPr>
            </w:pPr>
            <w:r w:rsidRPr="000115AD">
              <w:rPr>
                <w:szCs w:val="24"/>
              </w:rPr>
              <w:t>KVK</w:t>
            </w:r>
          </w:p>
        </w:tc>
        <w:tc>
          <w:tcPr>
            <w:tcW w:w="5535" w:type="dxa"/>
          </w:tcPr>
          <w:p w:rsidR="00716328" w:rsidRPr="000115AD" w:rsidRDefault="00716328" w:rsidP="0088074C">
            <w:pPr>
              <w:spacing w:before="40" w:after="40"/>
              <w:jc w:val="left"/>
              <w:rPr>
                <w:szCs w:val="24"/>
              </w:rPr>
            </w:pPr>
            <w:r w:rsidRPr="000115AD">
              <w:rPr>
                <w:szCs w:val="24"/>
              </w:rPr>
              <w:t>Kristīgā vadības koledža</w:t>
            </w:r>
          </w:p>
        </w:tc>
      </w:tr>
      <w:tr w:rsidR="00716328" w:rsidRPr="000115AD" w:rsidTr="0088074C">
        <w:tc>
          <w:tcPr>
            <w:tcW w:w="675" w:type="dxa"/>
            <w:vAlign w:val="center"/>
          </w:tcPr>
          <w:p w:rsidR="00716328" w:rsidRPr="000115AD" w:rsidRDefault="00716328" w:rsidP="00722156">
            <w:pPr>
              <w:pStyle w:val="ListParagraph"/>
              <w:numPr>
                <w:ilvl w:val="0"/>
                <w:numId w:val="31"/>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LBK</w:t>
            </w:r>
          </w:p>
        </w:tc>
        <w:tc>
          <w:tcPr>
            <w:tcW w:w="5535" w:type="dxa"/>
            <w:vAlign w:val="center"/>
          </w:tcPr>
          <w:p w:rsidR="00716328" w:rsidRPr="000115AD" w:rsidRDefault="00716328" w:rsidP="0088074C">
            <w:pPr>
              <w:spacing w:before="40" w:after="40"/>
              <w:rPr>
                <w:szCs w:val="24"/>
              </w:rPr>
            </w:pPr>
            <w:r w:rsidRPr="000115AD">
              <w:rPr>
                <w:szCs w:val="24"/>
              </w:rPr>
              <w:t>Latvijas Biznesa koledža</w:t>
            </w:r>
          </w:p>
        </w:tc>
      </w:tr>
      <w:tr w:rsidR="00716328" w:rsidRPr="007666BF" w:rsidTr="0088074C">
        <w:tc>
          <w:tcPr>
            <w:tcW w:w="675" w:type="dxa"/>
            <w:vAlign w:val="center"/>
          </w:tcPr>
          <w:p w:rsidR="00716328" w:rsidRPr="000115AD" w:rsidRDefault="00716328" w:rsidP="00722156">
            <w:pPr>
              <w:pStyle w:val="ListParagraph"/>
              <w:numPr>
                <w:ilvl w:val="0"/>
                <w:numId w:val="31"/>
              </w:numPr>
              <w:spacing w:before="40" w:after="40"/>
              <w:ind w:left="357" w:hanging="357"/>
              <w:jc w:val="left"/>
              <w:rPr>
                <w:szCs w:val="24"/>
              </w:rPr>
            </w:pPr>
          </w:p>
        </w:tc>
        <w:tc>
          <w:tcPr>
            <w:tcW w:w="3078" w:type="dxa"/>
            <w:vAlign w:val="center"/>
          </w:tcPr>
          <w:p w:rsidR="00716328" w:rsidRPr="000115AD" w:rsidRDefault="00716328" w:rsidP="0088074C">
            <w:pPr>
              <w:spacing w:before="40" w:after="40"/>
              <w:rPr>
                <w:szCs w:val="24"/>
              </w:rPr>
            </w:pPr>
            <w:r w:rsidRPr="000115AD">
              <w:rPr>
                <w:szCs w:val="24"/>
              </w:rPr>
              <w:t>NJK</w:t>
            </w:r>
          </w:p>
        </w:tc>
        <w:tc>
          <w:tcPr>
            <w:tcW w:w="5535" w:type="dxa"/>
            <w:vAlign w:val="center"/>
          </w:tcPr>
          <w:p w:rsidR="00716328" w:rsidRPr="000115AD" w:rsidRDefault="00716328" w:rsidP="0088074C">
            <w:pPr>
              <w:spacing w:before="40" w:after="40"/>
              <w:rPr>
                <w:szCs w:val="24"/>
              </w:rPr>
            </w:pPr>
            <w:proofErr w:type="spellStart"/>
            <w:r w:rsidRPr="000115AD">
              <w:rPr>
                <w:szCs w:val="24"/>
              </w:rPr>
              <w:t>Novikontas</w:t>
            </w:r>
            <w:proofErr w:type="spellEnd"/>
            <w:r w:rsidRPr="000115AD">
              <w:rPr>
                <w:szCs w:val="24"/>
              </w:rPr>
              <w:t xml:space="preserve"> jūras koledža</w:t>
            </w:r>
          </w:p>
        </w:tc>
      </w:tr>
      <w:tr w:rsidR="00BE41C9" w:rsidRPr="007666BF" w:rsidTr="0088074C">
        <w:tc>
          <w:tcPr>
            <w:tcW w:w="675" w:type="dxa"/>
            <w:vAlign w:val="center"/>
          </w:tcPr>
          <w:p w:rsidR="00BE41C9" w:rsidRPr="000115AD" w:rsidRDefault="00BE41C9" w:rsidP="00722156">
            <w:pPr>
              <w:pStyle w:val="ListParagraph"/>
              <w:numPr>
                <w:ilvl w:val="0"/>
                <w:numId w:val="31"/>
              </w:numPr>
              <w:spacing w:before="40" w:after="40"/>
              <w:ind w:left="357" w:hanging="357"/>
              <w:jc w:val="left"/>
              <w:rPr>
                <w:szCs w:val="24"/>
              </w:rPr>
            </w:pPr>
          </w:p>
        </w:tc>
        <w:tc>
          <w:tcPr>
            <w:tcW w:w="3078" w:type="dxa"/>
            <w:vAlign w:val="center"/>
          </w:tcPr>
          <w:p w:rsidR="00BE41C9" w:rsidRPr="000115AD" w:rsidRDefault="00BE41C9" w:rsidP="0088074C">
            <w:pPr>
              <w:spacing w:before="40" w:after="40"/>
              <w:rPr>
                <w:szCs w:val="24"/>
              </w:rPr>
            </w:pPr>
            <w:r>
              <w:rPr>
                <w:szCs w:val="24"/>
              </w:rPr>
              <w:t>SKK</w:t>
            </w:r>
          </w:p>
        </w:tc>
        <w:tc>
          <w:tcPr>
            <w:tcW w:w="5535" w:type="dxa"/>
            <w:vAlign w:val="center"/>
          </w:tcPr>
          <w:p w:rsidR="00BE41C9" w:rsidRPr="000115AD" w:rsidRDefault="00BE41C9" w:rsidP="0088074C">
            <w:pPr>
              <w:spacing w:before="40" w:after="40"/>
              <w:rPr>
                <w:szCs w:val="24"/>
              </w:rPr>
            </w:pPr>
            <w:r>
              <w:rPr>
                <w:szCs w:val="24"/>
              </w:rPr>
              <w:t xml:space="preserve">Starptautiskā </w:t>
            </w:r>
            <w:r w:rsidRPr="000115AD">
              <w:rPr>
                <w:szCs w:val="24"/>
              </w:rPr>
              <w:t>Kosmetoloģijas koledža</w:t>
            </w:r>
          </w:p>
        </w:tc>
      </w:tr>
    </w:tbl>
    <w:p w:rsidR="003E1862" w:rsidRDefault="003E1862">
      <w:pPr>
        <w:jc w:val="left"/>
        <w:rPr>
          <w:rFonts w:eastAsia="SimSun"/>
          <w:color w:val="365F91"/>
          <w:sz w:val="28"/>
          <w:szCs w:val="28"/>
          <w:lang w:eastAsia="zh-TW"/>
        </w:rPr>
      </w:pPr>
    </w:p>
    <w:p w:rsidR="003E1862" w:rsidRPr="007E4EFE" w:rsidRDefault="007E4EFE">
      <w:pPr>
        <w:jc w:val="left"/>
        <w:rPr>
          <w:rFonts w:eastAsia="SimSun"/>
          <w:color w:val="365F91"/>
          <w:sz w:val="28"/>
          <w:szCs w:val="28"/>
          <w:lang w:eastAsia="zh-TW"/>
        </w:rPr>
      </w:pPr>
      <w:r w:rsidRPr="007E4EFE">
        <w:rPr>
          <w:rFonts w:eastAsia="Calibri"/>
          <w:sz w:val="20"/>
          <w:lang w:eastAsia="lv-LV"/>
        </w:rPr>
        <w:t>*Koledža nav akreditēta. Ir licencētas studiju programmas neakreditētos virzienos.</w:t>
      </w:r>
      <w:r w:rsidR="003E1862" w:rsidRPr="007E4EFE">
        <w:rPr>
          <w:rFonts w:eastAsia="SimSun"/>
          <w:color w:val="365F91"/>
          <w:sz w:val="28"/>
          <w:szCs w:val="28"/>
          <w:lang w:eastAsia="zh-TW"/>
        </w:rPr>
        <w:br w:type="page"/>
      </w:r>
    </w:p>
    <w:p w:rsidR="00F14A97" w:rsidRPr="00EE7E61" w:rsidRDefault="00F14A97" w:rsidP="005735DA">
      <w:pPr>
        <w:pStyle w:val="Heading1"/>
        <w:spacing w:before="0"/>
        <w:jc w:val="center"/>
      </w:pPr>
      <w:bookmarkStart w:id="4" w:name="_Toc445290185"/>
      <w:r w:rsidRPr="00EE7E61">
        <w:lastRenderedPageBreak/>
        <w:t>I</w:t>
      </w:r>
      <w:bookmarkEnd w:id="1"/>
      <w:bookmarkEnd w:id="3"/>
      <w:r w:rsidR="00397F10" w:rsidRPr="00EE7E61">
        <w:t>evads</w:t>
      </w:r>
      <w:bookmarkEnd w:id="4"/>
    </w:p>
    <w:p w:rsidR="00C54250" w:rsidRPr="000115AD" w:rsidRDefault="00C54250" w:rsidP="00C54250">
      <w:pPr>
        <w:tabs>
          <w:tab w:val="left" w:pos="284"/>
        </w:tabs>
        <w:ind w:firstLine="851"/>
        <w:contextualSpacing/>
        <w:rPr>
          <w:szCs w:val="24"/>
        </w:rPr>
      </w:pPr>
    </w:p>
    <w:p w:rsidR="006A17B5" w:rsidRPr="000115AD" w:rsidRDefault="007666BF" w:rsidP="0022485B">
      <w:pPr>
        <w:autoSpaceDE w:val="0"/>
        <w:autoSpaceDN w:val="0"/>
        <w:adjustRightInd w:val="0"/>
        <w:ind w:firstLine="720"/>
        <w:rPr>
          <w:szCs w:val="24"/>
        </w:rPr>
      </w:pPr>
      <w:r>
        <w:rPr>
          <w:szCs w:val="24"/>
        </w:rPr>
        <w:t>K</w:t>
      </w:r>
      <w:r w:rsidR="006A17B5" w:rsidRPr="000115AD">
        <w:rPr>
          <w:szCs w:val="24"/>
        </w:rPr>
        <w:t>oledžas ieņem svarīgu vietu augstākās izglītības sistēmā</w:t>
      </w:r>
      <w:r w:rsidR="00B66A15">
        <w:rPr>
          <w:szCs w:val="24"/>
        </w:rPr>
        <w:t>,</w:t>
      </w:r>
      <w:r>
        <w:rPr>
          <w:szCs w:val="24"/>
        </w:rPr>
        <w:t xml:space="preserve"> un</w:t>
      </w:r>
      <w:r w:rsidR="006A17B5" w:rsidRPr="000115AD">
        <w:rPr>
          <w:szCs w:val="24"/>
        </w:rPr>
        <w:t xml:space="preserve"> to piedāvātā izglītība kļūst atpazīstama un pieprasīta darba tirgū. </w:t>
      </w:r>
      <w:r w:rsidR="00BA65DB">
        <w:rPr>
          <w:szCs w:val="24"/>
        </w:rPr>
        <w:t>Šobrīd k</w:t>
      </w:r>
      <w:r w:rsidR="006A17B5" w:rsidRPr="000115AD">
        <w:rPr>
          <w:szCs w:val="24"/>
        </w:rPr>
        <w:t xml:space="preserve">atrs </w:t>
      </w:r>
      <w:r w:rsidR="00147F31">
        <w:rPr>
          <w:szCs w:val="24"/>
        </w:rPr>
        <w:t>astotais</w:t>
      </w:r>
      <w:r w:rsidR="00147F31" w:rsidRPr="000115AD">
        <w:rPr>
          <w:szCs w:val="24"/>
        </w:rPr>
        <w:t xml:space="preserve"> </w:t>
      </w:r>
      <w:r w:rsidR="006A17B5" w:rsidRPr="000115AD">
        <w:rPr>
          <w:szCs w:val="24"/>
        </w:rPr>
        <w:t>cilvēks, kas studē Latvijas augstākās izglītības institūcijās, studē koledžās</w:t>
      </w:r>
      <w:r w:rsidR="00630DB9">
        <w:rPr>
          <w:rStyle w:val="FootnoteReference"/>
          <w:szCs w:val="24"/>
        </w:rPr>
        <w:footnoteReference w:id="1"/>
      </w:r>
      <w:r w:rsidR="006A17B5" w:rsidRPr="000115AD">
        <w:rPr>
          <w:szCs w:val="24"/>
        </w:rPr>
        <w:t>. Ekonomikas ministrija informatīvajos ziņojumos par darba tirgus vidēja un ilgtermiņa prognozēm uzsv</w:t>
      </w:r>
      <w:r w:rsidR="00DB0404">
        <w:rPr>
          <w:szCs w:val="24"/>
        </w:rPr>
        <w:t>e</w:t>
      </w:r>
      <w:r w:rsidR="006A17B5" w:rsidRPr="000115AD">
        <w:rPr>
          <w:szCs w:val="24"/>
        </w:rPr>
        <w:t>r, ka turpmākajos gados vislielākās problēmas atrast darbu būs iedzīvotājiem bez profesionālās kvalifikācijas</w:t>
      </w:r>
      <w:r w:rsidR="005A30C2">
        <w:rPr>
          <w:szCs w:val="24"/>
        </w:rPr>
        <w:t xml:space="preserve"> un </w:t>
      </w:r>
      <w:r w:rsidR="005A30C2" w:rsidRPr="000115AD">
        <w:rPr>
          <w:szCs w:val="24"/>
        </w:rPr>
        <w:t xml:space="preserve">darba tirgus piedāvājuma uzlabošanai </w:t>
      </w:r>
      <w:r w:rsidR="005A30C2">
        <w:rPr>
          <w:szCs w:val="24"/>
        </w:rPr>
        <w:t xml:space="preserve">iesaka </w:t>
      </w:r>
      <w:r w:rsidR="005A30C2" w:rsidRPr="000115AD">
        <w:rPr>
          <w:szCs w:val="24"/>
        </w:rPr>
        <w:t>palielināt profesionālās augstākās izglītības 1.līmeņa (koledžu) piedāvājumu</w:t>
      </w:r>
      <w:r w:rsidR="005A30C2">
        <w:rPr>
          <w:szCs w:val="24"/>
        </w:rPr>
        <w:t>.</w:t>
      </w:r>
    </w:p>
    <w:p w:rsidR="001C70D1" w:rsidRPr="000115AD" w:rsidRDefault="001C70D1" w:rsidP="0022485B">
      <w:pPr>
        <w:autoSpaceDE w:val="0"/>
        <w:autoSpaceDN w:val="0"/>
        <w:adjustRightInd w:val="0"/>
        <w:ind w:firstLine="720"/>
        <w:rPr>
          <w:szCs w:val="24"/>
        </w:rPr>
      </w:pPr>
      <w:r w:rsidRPr="000115AD">
        <w:rPr>
          <w:szCs w:val="24"/>
        </w:rPr>
        <w:t xml:space="preserve">Izglītības attīstības pamatnostādnes 2014.-2020.gadam paredz īstenot augstākās izglītības pārstrukturizēšanas pasākumus, kas vērsti uz studējošo </w:t>
      </w:r>
      <w:r w:rsidR="00D416C1">
        <w:t>un sagatavoto speciālistu</w:t>
      </w:r>
      <w:r w:rsidR="00D416C1" w:rsidRPr="000115AD">
        <w:t xml:space="preserve"> </w:t>
      </w:r>
      <w:r w:rsidRPr="000115AD">
        <w:rPr>
          <w:szCs w:val="24"/>
        </w:rPr>
        <w:t>skaita proporcijas maiņu atbilstoši darba tirgus vidēja termiņa un ilgtermiņa prognozēm, palielinot darba devēju lomu un motivāciju kvalitatīvas prakses nodrošināšanā un sniedzot atbalstu 1.līmeņa profesionālās augstākās izglītības (koledžu) piedāvājuma palielināšanai un programmu īstenošanai nepieciešamās infrastruktūras modernizēšanai. Infrastruktūras un aprīkojuma modernizēšana paredzēta koledžās, kas īsteno STEM</w:t>
      </w:r>
      <w:r w:rsidR="000D5FE1">
        <w:rPr>
          <w:rStyle w:val="FootnoteReference"/>
          <w:szCs w:val="24"/>
        </w:rPr>
        <w:footnoteReference w:id="2"/>
      </w:r>
      <w:r w:rsidRPr="000115AD">
        <w:rPr>
          <w:szCs w:val="24"/>
        </w:rPr>
        <w:t xml:space="preserve"> </w:t>
      </w:r>
      <w:r w:rsidR="00D416C1">
        <w:t>izglītības</w:t>
      </w:r>
      <w:r w:rsidRPr="000115AD">
        <w:rPr>
          <w:szCs w:val="24"/>
        </w:rPr>
        <w:t xml:space="preserve"> programmas, t.sk. medicīnas un radošo industriju jomās, lai nodrošinātu mūsdienīgu </w:t>
      </w:r>
      <w:r w:rsidR="00D416C1">
        <w:t>izglītības</w:t>
      </w:r>
      <w:r w:rsidRPr="000115AD">
        <w:rPr>
          <w:szCs w:val="24"/>
        </w:rPr>
        <w:t xml:space="preserve"> procesa īstenošanu atbilstoši </w:t>
      </w:r>
      <w:r w:rsidR="006B0CA0" w:rsidRPr="000115AD">
        <w:rPr>
          <w:szCs w:val="24"/>
        </w:rPr>
        <w:t>tautsaimniecīb</w:t>
      </w:r>
      <w:r w:rsidR="006B0CA0">
        <w:rPr>
          <w:szCs w:val="24"/>
        </w:rPr>
        <w:t>as</w:t>
      </w:r>
      <w:r w:rsidR="006B0CA0" w:rsidRPr="000115AD">
        <w:rPr>
          <w:szCs w:val="24"/>
        </w:rPr>
        <w:t xml:space="preserve"> </w:t>
      </w:r>
      <w:r w:rsidRPr="000115AD">
        <w:rPr>
          <w:szCs w:val="24"/>
        </w:rPr>
        <w:t xml:space="preserve">nozaru attīstībai. </w:t>
      </w:r>
    </w:p>
    <w:p w:rsidR="001C70D1" w:rsidRDefault="000358F3" w:rsidP="0022485B">
      <w:pPr>
        <w:tabs>
          <w:tab w:val="left" w:pos="284"/>
        </w:tabs>
        <w:ind w:firstLine="720"/>
        <w:contextualSpacing/>
        <w:rPr>
          <w:szCs w:val="24"/>
        </w:rPr>
      </w:pPr>
      <w:r w:rsidRPr="000115AD">
        <w:rPr>
          <w:szCs w:val="24"/>
        </w:rPr>
        <w:t xml:space="preserve">Latvijas </w:t>
      </w:r>
      <w:r w:rsidR="001C70D1" w:rsidRPr="000115AD">
        <w:rPr>
          <w:szCs w:val="24"/>
        </w:rPr>
        <w:t xml:space="preserve">Viedās specializācijas stratēģija </w:t>
      </w:r>
      <w:r w:rsidR="00B97D9C">
        <w:rPr>
          <w:szCs w:val="24"/>
        </w:rPr>
        <w:t xml:space="preserve">paredz </w:t>
      </w:r>
      <w:r w:rsidR="00FB1416" w:rsidRPr="00FB1416">
        <w:rPr>
          <w:szCs w:val="24"/>
        </w:rPr>
        <w:t xml:space="preserve">izglītības modernizāciju ar mērķi sekmēt </w:t>
      </w:r>
      <w:r w:rsidR="00B97D9C" w:rsidRPr="00FB1416">
        <w:rPr>
          <w:szCs w:val="24"/>
        </w:rPr>
        <w:t>tautsaimniecības transformāciju</w:t>
      </w:r>
      <w:r w:rsidR="00FB1416" w:rsidRPr="00FB1416">
        <w:rPr>
          <w:szCs w:val="24"/>
        </w:rPr>
        <w:t xml:space="preserve"> uz augstāku pievienoto vērtību, sekmējot izaugsmi gan tradicionālajās tautsaimniecības nozarēs, gan nozarēs ar augstu nākotnes izaugsmes potenciālu un nozarēs ar nozīmīgu horizontālu ietekmi.</w:t>
      </w:r>
      <w:r w:rsidR="00B66A15">
        <w:rPr>
          <w:szCs w:val="24"/>
        </w:rPr>
        <w:t xml:space="preserve"> </w:t>
      </w:r>
      <w:r w:rsidR="000115AD" w:rsidRPr="000115AD">
        <w:rPr>
          <w:szCs w:val="24"/>
        </w:rPr>
        <w:t xml:space="preserve">Viena no </w:t>
      </w:r>
      <w:r w:rsidR="001C70D1" w:rsidRPr="000115AD">
        <w:rPr>
          <w:szCs w:val="24"/>
        </w:rPr>
        <w:t>izaugsmes prioritāt</w:t>
      </w:r>
      <w:r w:rsidR="000115AD" w:rsidRPr="000115AD">
        <w:rPr>
          <w:szCs w:val="24"/>
        </w:rPr>
        <w:t>ēm</w:t>
      </w:r>
      <w:r w:rsidR="001C70D1" w:rsidRPr="000115AD">
        <w:rPr>
          <w:szCs w:val="24"/>
        </w:rPr>
        <w:t xml:space="preserve"> ir moderna un </w:t>
      </w:r>
      <w:r w:rsidR="001C70D1" w:rsidRPr="000115AD">
        <w:rPr>
          <w:bCs/>
          <w:szCs w:val="24"/>
        </w:rPr>
        <w:t xml:space="preserve">nākotnes </w:t>
      </w:r>
      <w:r w:rsidR="001C70D1" w:rsidRPr="000115AD">
        <w:rPr>
          <w:szCs w:val="24"/>
        </w:rPr>
        <w:t xml:space="preserve">darba tirgus prasībām atbilstoša izglītības sistēma, kas </w:t>
      </w:r>
      <w:r w:rsidR="001C70D1" w:rsidRPr="000115AD">
        <w:rPr>
          <w:bCs/>
          <w:szCs w:val="24"/>
        </w:rPr>
        <w:t xml:space="preserve">veicina tautsaimniecības transformāciju un </w:t>
      </w:r>
      <w:r w:rsidR="000115AD" w:rsidRPr="000115AD">
        <w:rPr>
          <w:szCs w:val="24"/>
        </w:rPr>
        <w:t>Viedās specializācijas stratēģijas</w:t>
      </w:r>
      <w:r w:rsidR="001C70D1" w:rsidRPr="000115AD">
        <w:rPr>
          <w:szCs w:val="24"/>
        </w:rPr>
        <w:t xml:space="preserve"> prioritāšu īstenošanai nepieciešamo kompetenču, </w:t>
      </w:r>
      <w:proofErr w:type="spellStart"/>
      <w:r w:rsidR="001C70D1" w:rsidRPr="000115AD">
        <w:rPr>
          <w:szCs w:val="24"/>
        </w:rPr>
        <w:t>uzņēmējspējas</w:t>
      </w:r>
      <w:proofErr w:type="spellEnd"/>
      <w:r w:rsidR="001C70D1" w:rsidRPr="000115AD">
        <w:rPr>
          <w:szCs w:val="24"/>
        </w:rPr>
        <w:t xml:space="preserve"> </w:t>
      </w:r>
      <w:r w:rsidR="001C70D1" w:rsidRPr="000115AD">
        <w:rPr>
          <w:bCs/>
          <w:szCs w:val="24"/>
        </w:rPr>
        <w:t>un radošuma</w:t>
      </w:r>
      <w:r w:rsidR="001C70D1" w:rsidRPr="000115AD">
        <w:rPr>
          <w:szCs w:val="24"/>
        </w:rPr>
        <w:t xml:space="preserve"> attīstību visos izglītības līmeņos.</w:t>
      </w:r>
      <w:r w:rsidR="001C70D1" w:rsidRPr="000115AD">
        <w:rPr>
          <w:szCs w:val="24"/>
          <w:vertAlign w:val="superscript"/>
        </w:rPr>
        <w:footnoteReference w:id="3"/>
      </w:r>
      <w:r w:rsidRPr="000115AD">
        <w:rPr>
          <w:szCs w:val="24"/>
        </w:rPr>
        <w:t xml:space="preserve"> Viedās specializācijas stratēģijas </w:t>
      </w:r>
      <w:r w:rsidR="00B97D9C">
        <w:rPr>
          <w:szCs w:val="24"/>
        </w:rPr>
        <w:t>mērķu sasniegšanai</w:t>
      </w:r>
      <w:r w:rsidR="00B97D9C" w:rsidRPr="000115AD">
        <w:rPr>
          <w:szCs w:val="24"/>
        </w:rPr>
        <w:t xml:space="preserve"> </w:t>
      </w:r>
      <w:r w:rsidRPr="000115AD">
        <w:rPr>
          <w:szCs w:val="24"/>
        </w:rPr>
        <w:t>būs nepieciešam</w:t>
      </w:r>
      <w:r w:rsidR="00FB1416">
        <w:rPr>
          <w:szCs w:val="24"/>
        </w:rPr>
        <w:t>s</w:t>
      </w:r>
      <w:r w:rsidRPr="000115AD">
        <w:rPr>
          <w:szCs w:val="24"/>
        </w:rPr>
        <w:t xml:space="preserve"> </w:t>
      </w:r>
      <w:proofErr w:type="spellStart"/>
      <w:r w:rsidRPr="000115AD">
        <w:rPr>
          <w:szCs w:val="24"/>
        </w:rPr>
        <w:t>cilvēk</w:t>
      </w:r>
      <w:r w:rsidR="00B97D9C">
        <w:rPr>
          <w:szCs w:val="24"/>
        </w:rPr>
        <w:t>kapitāls</w:t>
      </w:r>
      <w:proofErr w:type="spellEnd"/>
      <w:r w:rsidRPr="000115AD">
        <w:rPr>
          <w:szCs w:val="24"/>
        </w:rPr>
        <w:t>, kas nodrošinā</w:t>
      </w:r>
      <w:r w:rsidR="00B97D9C">
        <w:rPr>
          <w:szCs w:val="24"/>
        </w:rPr>
        <w:t>s</w:t>
      </w:r>
      <w:r w:rsidRPr="000115AD">
        <w:rPr>
          <w:szCs w:val="24"/>
        </w:rPr>
        <w:t xml:space="preserve"> izaugsmi nozarēs, kurās eksistē vai ir iespējams radīt produktus un pakalpojumus ar augstu pievienoto vērtību, nozarēs ar nozīmīgu horizontālo ietekmi un ieguldījumu tautsaimniecības transformācijā, kā arī būs nepieciešam</w:t>
      </w:r>
      <w:r w:rsidR="00B97D9C">
        <w:rPr>
          <w:szCs w:val="24"/>
        </w:rPr>
        <w:t>s</w:t>
      </w:r>
      <w:r w:rsidRPr="000115AD">
        <w:rPr>
          <w:szCs w:val="24"/>
        </w:rPr>
        <w:t xml:space="preserve"> </w:t>
      </w:r>
      <w:proofErr w:type="spellStart"/>
      <w:r w:rsidRPr="000115AD">
        <w:rPr>
          <w:szCs w:val="24"/>
        </w:rPr>
        <w:t>cilvēk</w:t>
      </w:r>
      <w:r w:rsidR="00B97D9C">
        <w:rPr>
          <w:szCs w:val="24"/>
        </w:rPr>
        <w:t>kapitāls</w:t>
      </w:r>
      <w:proofErr w:type="spellEnd"/>
      <w:r w:rsidRPr="000115AD">
        <w:rPr>
          <w:szCs w:val="24"/>
        </w:rPr>
        <w:t>, kas mainī</w:t>
      </w:r>
      <w:r w:rsidR="00B97D9C">
        <w:rPr>
          <w:szCs w:val="24"/>
        </w:rPr>
        <w:t>s</w:t>
      </w:r>
      <w:r w:rsidRPr="000115AD">
        <w:rPr>
          <w:szCs w:val="24"/>
        </w:rPr>
        <w:t xml:space="preserve"> ražošanas un eksporta struktūras tradicionālajās tautsaimniecības nozarēs. Lai </w:t>
      </w:r>
      <w:r w:rsidR="00B97D9C">
        <w:rPr>
          <w:szCs w:val="24"/>
        </w:rPr>
        <w:t xml:space="preserve">izveidotu šādu </w:t>
      </w:r>
      <w:proofErr w:type="spellStart"/>
      <w:r w:rsidR="00B97D9C">
        <w:rPr>
          <w:szCs w:val="24"/>
        </w:rPr>
        <w:t>cilvēkkapitālu</w:t>
      </w:r>
      <w:proofErr w:type="spellEnd"/>
      <w:r w:rsidRPr="000115AD">
        <w:rPr>
          <w:szCs w:val="24"/>
        </w:rPr>
        <w:t xml:space="preserve">, ir jāstiprina </w:t>
      </w:r>
      <w:r w:rsidR="00D416C1">
        <w:t>izglītības vides kvalitāte</w:t>
      </w:r>
      <w:r w:rsidRPr="000115AD">
        <w:rPr>
          <w:szCs w:val="24"/>
        </w:rPr>
        <w:t xml:space="preserve">, kas attīstīs </w:t>
      </w:r>
      <w:r w:rsidR="00B97D9C">
        <w:rPr>
          <w:szCs w:val="24"/>
        </w:rPr>
        <w:t>kompetenču</w:t>
      </w:r>
      <w:r w:rsidR="00B97D9C" w:rsidRPr="000115AD">
        <w:rPr>
          <w:szCs w:val="24"/>
        </w:rPr>
        <w:t xml:space="preserve"> </w:t>
      </w:r>
      <w:r w:rsidRPr="000115AD">
        <w:rPr>
          <w:szCs w:val="24"/>
        </w:rPr>
        <w:t xml:space="preserve">bāzi Viedās specializācijas stratēģijā definētajās </w:t>
      </w:r>
      <w:r w:rsidR="00BA51CE">
        <w:rPr>
          <w:szCs w:val="24"/>
        </w:rPr>
        <w:t>specializācijas</w:t>
      </w:r>
      <w:r w:rsidRPr="000115AD">
        <w:rPr>
          <w:szCs w:val="24"/>
        </w:rPr>
        <w:t xml:space="preserve"> jomās: </w:t>
      </w:r>
      <w:r w:rsidR="00B97D9C">
        <w:rPr>
          <w:szCs w:val="24"/>
        </w:rPr>
        <w:t xml:space="preserve">1) </w:t>
      </w:r>
      <w:proofErr w:type="spellStart"/>
      <w:r w:rsidRPr="000115AD">
        <w:rPr>
          <w:szCs w:val="24"/>
        </w:rPr>
        <w:t>bioekonomikā</w:t>
      </w:r>
      <w:proofErr w:type="spellEnd"/>
      <w:r w:rsidRPr="000115AD">
        <w:rPr>
          <w:szCs w:val="24"/>
        </w:rPr>
        <w:t xml:space="preserve">, </w:t>
      </w:r>
      <w:r w:rsidR="00B97D9C">
        <w:rPr>
          <w:szCs w:val="24"/>
        </w:rPr>
        <w:t xml:space="preserve">2) </w:t>
      </w:r>
      <w:proofErr w:type="spellStart"/>
      <w:r w:rsidRPr="000115AD">
        <w:rPr>
          <w:szCs w:val="24"/>
        </w:rPr>
        <w:t>biomedicīnā</w:t>
      </w:r>
      <w:proofErr w:type="spellEnd"/>
      <w:r w:rsidRPr="000115AD">
        <w:rPr>
          <w:szCs w:val="24"/>
        </w:rPr>
        <w:t xml:space="preserve">, medicīnas tehnoloģijās, </w:t>
      </w:r>
      <w:proofErr w:type="spellStart"/>
      <w:r w:rsidRPr="000115AD">
        <w:rPr>
          <w:szCs w:val="24"/>
        </w:rPr>
        <w:t>biofarmācijā</w:t>
      </w:r>
      <w:proofErr w:type="spellEnd"/>
      <w:r w:rsidRPr="000115AD">
        <w:rPr>
          <w:szCs w:val="24"/>
        </w:rPr>
        <w:t xml:space="preserve"> un biotehnoloģijās, </w:t>
      </w:r>
      <w:r w:rsidR="00B97D9C">
        <w:rPr>
          <w:szCs w:val="24"/>
        </w:rPr>
        <w:t xml:space="preserve">3) </w:t>
      </w:r>
      <w:r w:rsidRPr="000115AD">
        <w:rPr>
          <w:szCs w:val="24"/>
        </w:rPr>
        <w:t xml:space="preserve">viedo materiālu izstrādē, tehnoloģijās un </w:t>
      </w:r>
      <w:proofErr w:type="spellStart"/>
      <w:r w:rsidRPr="000115AD">
        <w:rPr>
          <w:szCs w:val="24"/>
        </w:rPr>
        <w:t>inženiersistēmās</w:t>
      </w:r>
      <w:proofErr w:type="spellEnd"/>
      <w:r w:rsidRPr="000115AD">
        <w:rPr>
          <w:szCs w:val="24"/>
        </w:rPr>
        <w:t xml:space="preserve">, </w:t>
      </w:r>
      <w:r w:rsidR="00B97D9C">
        <w:rPr>
          <w:szCs w:val="24"/>
        </w:rPr>
        <w:t xml:space="preserve">4) </w:t>
      </w:r>
      <w:r w:rsidRPr="000115AD">
        <w:rPr>
          <w:szCs w:val="24"/>
        </w:rPr>
        <w:t xml:space="preserve">viedajā enerģētikā, </w:t>
      </w:r>
      <w:r w:rsidR="00B97D9C">
        <w:rPr>
          <w:szCs w:val="24"/>
        </w:rPr>
        <w:t xml:space="preserve">un 5) </w:t>
      </w:r>
      <w:r w:rsidRPr="000115AD">
        <w:rPr>
          <w:szCs w:val="24"/>
        </w:rPr>
        <w:t>informācijas un komunikācijas tehnoloģijās.</w:t>
      </w:r>
      <w:r w:rsidR="000115AD" w:rsidRPr="000115AD">
        <w:rPr>
          <w:szCs w:val="24"/>
        </w:rPr>
        <w:t xml:space="preserve"> </w:t>
      </w:r>
    </w:p>
    <w:p w:rsidR="000A1528" w:rsidRPr="000115AD" w:rsidRDefault="00282575" w:rsidP="0022485B">
      <w:pPr>
        <w:tabs>
          <w:tab w:val="left" w:pos="284"/>
        </w:tabs>
        <w:ind w:firstLine="720"/>
        <w:contextualSpacing/>
        <w:rPr>
          <w:szCs w:val="24"/>
        </w:rPr>
      </w:pPr>
      <w:r>
        <w:rPr>
          <w:bCs/>
        </w:rPr>
        <w:t>K</w:t>
      </w:r>
      <w:r w:rsidRPr="00282575">
        <w:rPr>
          <w:bCs/>
        </w:rPr>
        <w:t>oledžas izglītība darbojas kā tilts starp izglītības iestādēm un apakšsistēmām, veicinot mijiedarbību (vertikāli un horizontāli) starp profesionālo un augstāko izglītību. Tas izceļ profesionālās izglītības pievienoto vērtību visos profesionālo kvalifikāciju līmeņos, uzlabojot profesionālās izglītības pievilcību un tēlu, kā arī norāda, ka orientēšanās uz profesiju ir svarīga arī augstākajā izglītībā.</w:t>
      </w:r>
    </w:p>
    <w:p w:rsidR="001C70D1" w:rsidRPr="000115AD" w:rsidRDefault="001C70D1" w:rsidP="0022485B">
      <w:pPr>
        <w:pStyle w:val="Default"/>
        <w:ind w:firstLine="720"/>
        <w:jc w:val="both"/>
      </w:pPr>
      <w:r w:rsidRPr="000115AD">
        <w:t>Pamatojoties uz Partnerības līgumu Eiropas Savienības investīciju fondu 2014.–2020.gada plānošanas periodam un Eiropas Savienības fondu un Kohēzijas fonda 2014.-2020.gada plānošanas perioda darbības programmu “Izaugsme un nodarbinātība”, Izglītības un zinātnes ministrija 2014.-2020.gada plānošanas periodā specifiskā atbalsta mērķa 8.1.4. „Uzlabot pirmā līmeņa profesionālās augstākās izglītības STEM, tajā skaitā medicīnas un radošās industrijas, studiju mācību vidi koledžās” (turpmāk –</w:t>
      </w:r>
      <w:r w:rsidR="002D1AE4">
        <w:t xml:space="preserve"> </w:t>
      </w:r>
      <w:r w:rsidRPr="000115AD">
        <w:t>8.1.4</w:t>
      </w:r>
      <w:r w:rsidR="00E5164E">
        <w:t>.</w:t>
      </w:r>
      <w:r w:rsidR="00E5164E" w:rsidRPr="00E5164E">
        <w:t xml:space="preserve"> </w:t>
      </w:r>
      <w:r w:rsidR="00E5164E" w:rsidRPr="000115AD">
        <w:t>SAM</w:t>
      </w:r>
      <w:r w:rsidRPr="000115AD">
        <w:t>) ietvaros plāno sniegt atbalstu koledžu, kas īsteno STEM, t.sk. medicīnas un radošās industrijas</w:t>
      </w:r>
      <w:r w:rsidR="00995E5A">
        <w:t xml:space="preserve"> (turpmāk – </w:t>
      </w:r>
      <w:r w:rsidR="00995E5A">
        <w:lastRenderedPageBreak/>
        <w:t>STEM)</w:t>
      </w:r>
      <w:r w:rsidRPr="000115AD">
        <w:t xml:space="preserve">, pirmā līmeņa profesionālās augstākās izglītības studiju programmas un profesionālās vidējās izglītības programmas, infrastruktūras attīstībai un aprīkojuma modernizācijai, iekārtu un aprīkojuma iegādei, tai skaitā specifisku laboratoriju pilnveidei un modernizācijai, nepieciešamo ēku un telpu pielāgošanai aprīkojuma un aparatūras uzstādīšanai un darbībai, </w:t>
      </w:r>
      <w:r w:rsidR="005735DA" w:rsidRPr="000115AD">
        <w:t xml:space="preserve">informācijas un komunikācijas tehnoloģiju </w:t>
      </w:r>
      <w:r w:rsidRPr="000115AD">
        <w:t>risinājumu un aprīkojuma iegādei</w:t>
      </w:r>
      <w:r w:rsidR="00B66A15">
        <w:t>,</w:t>
      </w:r>
      <w:r w:rsidR="00B66A15" w:rsidRPr="00B66A15">
        <w:t xml:space="preserve"> </w:t>
      </w:r>
      <w:r w:rsidR="00B66A15">
        <w:t xml:space="preserve">kā arī koledžu </w:t>
      </w:r>
      <w:r w:rsidR="00B66A15" w:rsidRPr="00E46B9E">
        <w:t>bibliotēku fondu papildināšanai</w:t>
      </w:r>
      <w:r w:rsidRPr="000115AD">
        <w:t>.</w:t>
      </w:r>
    </w:p>
    <w:p w:rsidR="001C70D1" w:rsidRPr="000115AD" w:rsidRDefault="005735DA" w:rsidP="0022485B">
      <w:pPr>
        <w:tabs>
          <w:tab w:val="left" w:pos="284"/>
        </w:tabs>
        <w:ind w:firstLine="720"/>
        <w:contextualSpacing/>
        <w:rPr>
          <w:szCs w:val="24"/>
        </w:rPr>
      </w:pPr>
      <w:r w:rsidRPr="000115AD">
        <w:rPr>
          <w:szCs w:val="24"/>
        </w:rPr>
        <w:t xml:space="preserve">Paplašinātā sākotnējā novērtējuma (turpmāk – novērtējums) </w:t>
      </w:r>
      <w:r w:rsidR="001C70D1" w:rsidRPr="000115AD">
        <w:rPr>
          <w:szCs w:val="24"/>
          <w:lang w:eastAsia="lv-LV"/>
        </w:rPr>
        <w:t xml:space="preserve">mērķis ir izstrādāt uz iepriekšējo ieguldījumu pieredzi balstītu </w:t>
      </w:r>
      <w:r w:rsidR="001C70D1" w:rsidRPr="000115AD">
        <w:rPr>
          <w:szCs w:val="24"/>
        </w:rPr>
        <w:t xml:space="preserve">vajadzību analīzi, no tās izrietošu 8.1.4. </w:t>
      </w:r>
      <w:r w:rsidR="00E5164E" w:rsidRPr="000115AD">
        <w:rPr>
          <w:szCs w:val="24"/>
        </w:rPr>
        <w:t xml:space="preserve">SAM </w:t>
      </w:r>
      <w:r w:rsidR="001C70D1" w:rsidRPr="000115AD">
        <w:rPr>
          <w:szCs w:val="24"/>
        </w:rPr>
        <w:t xml:space="preserve">īstenošanas mehānismu, nosacījumus un sasniedzamos rādītājus teritoriālā sadalījumā. Novērtējuma rezultātus plānots izmantot 8.1.4. </w:t>
      </w:r>
      <w:r w:rsidR="00E5164E" w:rsidRPr="000115AD">
        <w:rPr>
          <w:szCs w:val="24"/>
        </w:rPr>
        <w:t xml:space="preserve">SAM </w:t>
      </w:r>
      <w:r w:rsidR="001C70D1" w:rsidRPr="000115AD">
        <w:rPr>
          <w:szCs w:val="24"/>
        </w:rPr>
        <w:t xml:space="preserve">īstenošanas nosacījumu, tai skaitā projektu iesniegumu vērtēšanas kritēriju un Ministru kabineta noteikumu par 8.1.4. </w:t>
      </w:r>
      <w:r w:rsidR="00E5164E" w:rsidRPr="000115AD">
        <w:rPr>
          <w:szCs w:val="24"/>
        </w:rPr>
        <w:t xml:space="preserve">SAM </w:t>
      </w:r>
      <w:r w:rsidR="001C70D1" w:rsidRPr="000115AD">
        <w:rPr>
          <w:szCs w:val="24"/>
        </w:rPr>
        <w:t>īstenošanu, izstrādei.</w:t>
      </w:r>
    </w:p>
    <w:p w:rsidR="000B725C" w:rsidRPr="000115AD" w:rsidRDefault="00EF6282" w:rsidP="0022485B">
      <w:pPr>
        <w:tabs>
          <w:tab w:val="left" w:pos="284"/>
        </w:tabs>
        <w:ind w:firstLine="720"/>
        <w:contextualSpacing/>
        <w:rPr>
          <w:szCs w:val="24"/>
        </w:rPr>
      </w:pPr>
      <w:r w:rsidRPr="000115AD">
        <w:rPr>
          <w:szCs w:val="24"/>
        </w:rPr>
        <w:t xml:space="preserve">Novērtējumā </w:t>
      </w:r>
      <w:r w:rsidR="000B725C" w:rsidRPr="000115AD">
        <w:rPr>
          <w:szCs w:val="24"/>
        </w:rPr>
        <w:t>tiek analizēta esošā sociāli ekonomiskā situācija</w:t>
      </w:r>
      <w:r w:rsidR="00B75F32" w:rsidRPr="000115AD">
        <w:rPr>
          <w:szCs w:val="24"/>
        </w:rPr>
        <w:t xml:space="preserve"> un </w:t>
      </w:r>
      <w:r w:rsidR="00671705">
        <w:rPr>
          <w:szCs w:val="24"/>
        </w:rPr>
        <w:t xml:space="preserve">veikta </w:t>
      </w:r>
      <w:r w:rsidR="00B75F32" w:rsidRPr="000115AD">
        <w:rPr>
          <w:szCs w:val="24"/>
        </w:rPr>
        <w:t>vajadzību analīze</w:t>
      </w:r>
      <w:r w:rsidRPr="000115AD">
        <w:rPr>
          <w:szCs w:val="24"/>
        </w:rPr>
        <w:t xml:space="preserve">, aprakstīti un analizēti 2007.-2013.gada plānošanas periodā veiktie ieguldījumi studiju </w:t>
      </w:r>
      <w:r w:rsidR="003F43D4">
        <w:rPr>
          <w:szCs w:val="24"/>
        </w:rPr>
        <w:t xml:space="preserve">programmu </w:t>
      </w:r>
      <w:r w:rsidRPr="000115AD">
        <w:rPr>
          <w:szCs w:val="24"/>
        </w:rPr>
        <w:t xml:space="preserve">mācību vides uzlabošanai koledžās ES fondu, Klimata pārmaiņu finanšu instrumenta (turpmāk – KPFI) un citu finanšu avotu ietvaros, sniegti secinājumi par ES fondu 2007.-2013.gada plānošanas perioda </w:t>
      </w:r>
      <w:r w:rsidRPr="000115AD">
        <w:rPr>
          <w:bCs/>
          <w:szCs w:val="24"/>
        </w:rPr>
        <w:t xml:space="preserve">3.1.2.1.1.apakšaktivitātes </w:t>
      </w:r>
      <w:r w:rsidR="00244193" w:rsidRPr="007402CB">
        <w:rPr>
          <w:bCs/>
          <w:szCs w:val="24"/>
        </w:rPr>
        <w:t xml:space="preserve">„Augstākās izglītības iestāžu telpu un iekārtu modernizēšana studiju programmu kvalitātes uzlabošanai, tajā skaitā nodrošinot izglītības programmu </w:t>
      </w:r>
      <w:r w:rsidR="00244193" w:rsidRPr="00CA1B61">
        <w:rPr>
          <w:bCs/>
          <w:szCs w:val="24"/>
        </w:rPr>
        <w:t>apgūšanas iespējas arī personām</w:t>
      </w:r>
      <w:r w:rsidR="00244193">
        <w:rPr>
          <w:bCs/>
          <w:szCs w:val="24"/>
        </w:rPr>
        <w:t xml:space="preserve"> ar funkcionāliem traucējumiem” </w:t>
      </w:r>
      <w:r w:rsidRPr="000115AD">
        <w:rPr>
          <w:szCs w:val="24"/>
          <w:lang w:eastAsia="lv-LV"/>
        </w:rPr>
        <w:t>ieviešanas mehānismu, kā arī s</w:t>
      </w:r>
      <w:r w:rsidRPr="000115AD">
        <w:rPr>
          <w:szCs w:val="24"/>
        </w:rPr>
        <w:t xml:space="preserve">niegts 8.1.4. </w:t>
      </w:r>
      <w:r w:rsidR="00E5164E" w:rsidRPr="000115AD">
        <w:rPr>
          <w:szCs w:val="24"/>
        </w:rPr>
        <w:t xml:space="preserve">SAM </w:t>
      </w:r>
      <w:r w:rsidRPr="000115AD">
        <w:rPr>
          <w:szCs w:val="24"/>
        </w:rPr>
        <w:t xml:space="preserve">ieviešanas mehānisma apraksts, iekļaujot 2014.-2020.gada plānošanas perioda stratēģiskos </w:t>
      </w:r>
      <w:proofErr w:type="spellStart"/>
      <w:r w:rsidR="00B66A15">
        <w:rPr>
          <w:szCs w:val="24"/>
        </w:rPr>
        <w:t>priekšatlases</w:t>
      </w:r>
      <w:proofErr w:type="spellEnd"/>
      <w:r w:rsidR="00B66A15">
        <w:rPr>
          <w:szCs w:val="24"/>
        </w:rPr>
        <w:t xml:space="preserve"> </w:t>
      </w:r>
      <w:r w:rsidRPr="000115AD">
        <w:rPr>
          <w:szCs w:val="24"/>
        </w:rPr>
        <w:t>kritērijus</w:t>
      </w:r>
      <w:r w:rsidR="003F43D4">
        <w:rPr>
          <w:szCs w:val="24"/>
        </w:rPr>
        <w:t>, finansējuma piešķiršanas metodiku</w:t>
      </w:r>
      <w:r w:rsidRPr="000115AD">
        <w:rPr>
          <w:szCs w:val="24"/>
        </w:rPr>
        <w:t xml:space="preserve"> un indikatīvo investīciju kartējumu.</w:t>
      </w:r>
    </w:p>
    <w:p w:rsidR="005735DA" w:rsidRPr="000115AD" w:rsidRDefault="00336E18" w:rsidP="0022485B">
      <w:pPr>
        <w:tabs>
          <w:tab w:val="left" w:pos="284"/>
        </w:tabs>
        <w:ind w:firstLine="720"/>
        <w:contextualSpacing/>
        <w:rPr>
          <w:szCs w:val="24"/>
        </w:rPr>
      </w:pPr>
      <w:r w:rsidRPr="000115AD">
        <w:rPr>
          <w:szCs w:val="24"/>
        </w:rPr>
        <w:t>Novērtējum</w:t>
      </w:r>
      <w:r w:rsidR="007B7D6D" w:rsidRPr="000115AD">
        <w:rPr>
          <w:szCs w:val="24"/>
        </w:rPr>
        <w:t xml:space="preserve">a būtiskākie informācijas avoti ir Ekonomikas ministrijas </w:t>
      </w:r>
      <w:r w:rsidR="001432B0" w:rsidRPr="000115AD">
        <w:rPr>
          <w:szCs w:val="24"/>
        </w:rPr>
        <w:t xml:space="preserve">(turpmāk – EM) </w:t>
      </w:r>
      <w:r w:rsidR="007B7D6D" w:rsidRPr="000115AD">
        <w:rPr>
          <w:szCs w:val="24"/>
        </w:rPr>
        <w:t>izstrādāt</w:t>
      </w:r>
      <w:r w:rsidR="00B75F32" w:rsidRPr="000115AD">
        <w:rPr>
          <w:szCs w:val="24"/>
        </w:rPr>
        <w:t>ie</w:t>
      </w:r>
      <w:r w:rsidR="007B7D6D" w:rsidRPr="000115AD">
        <w:rPr>
          <w:szCs w:val="24"/>
        </w:rPr>
        <w:t xml:space="preserve"> informatīv</w:t>
      </w:r>
      <w:r w:rsidR="00B75F32" w:rsidRPr="000115AD">
        <w:rPr>
          <w:szCs w:val="24"/>
        </w:rPr>
        <w:t>ie</w:t>
      </w:r>
      <w:r w:rsidR="007B7D6D" w:rsidRPr="000115AD">
        <w:rPr>
          <w:szCs w:val="24"/>
        </w:rPr>
        <w:t xml:space="preserve"> ziņojum</w:t>
      </w:r>
      <w:r w:rsidR="00B75F32" w:rsidRPr="000115AD">
        <w:rPr>
          <w:szCs w:val="24"/>
        </w:rPr>
        <w:t>i</w:t>
      </w:r>
      <w:r w:rsidR="007B7D6D" w:rsidRPr="000115AD">
        <w:rPr>
          <w:szCs w:val="24"/>
        </w:rPr>
        <w:t xml:space="preserve"> par darba tirgus vidējā un ilgtermiņa prognozēm, </w:t>
      </w:r>
      <w:r w:rsidR="00C6029A">
        <w:rPr>
          <w:szCs w:val="24"/>
        </w:rPr>
        <w:t>Izglītības un zinātnes ministrijas (</w:t>
      </w:r>
      <w:r w:rsidR="00671705" w:rsidRPr="000115AD">
        <w:rPr>
          <w:szCs w:val="24"/>
        </w:rPr>
        <w:t>turpmāk –</w:t>
      </w:r>
      <w:r w:rsidR="00671705">
        <w:rPr>
          <w:szCs w:val="24"/>
        </w:rPr>
        <w:t xml:space="preserve"> </w:t>
      </w:r>
      <w:r w:rsidR="00C6029A">
        <w:rPr>
          <w:szCs w:val="24"/>
        </w:rPr>
        <w:t xml:space="preserve">IZM), </w:t>
      </w:r>
      <w:r w:rsidR="007B7D6D" w:rsidRPr="000115AD">
        <w:rPr>
          <w:szCs w:val="24"/>
        </w:rPr>
        <w:t xml:space="preserve">Centrālās statistikas pārvaldes (turpmāk – CSP), Nodarbinātības valsts aģentūras (turpmāk – NVA), Valsts izglītības attīstības aģentūras (turpmāk – VIAA), </w:t>
      </w:r>
      <w:r w:rsidR="007B7D6D" w:rsidRPr="000115AD">
        <w:rPr>
          <w:bCs/>
          <w:szCs w:val="24"/>
        </w:rPr>
        <w:t xml:space="preserve">Vides aizsardzības un reģionālās attīstības ministrijas </w:t>
      </w:r>
      <w:r w:rsidR="007B7D6D" w:rsidRPr="000115AD">
        <w:rPr>
          <w:szCs w:val="24"/>
        </w:rPr>
        <w:t xml:space="preserve">(turpmāk – VARAM) un Vides investīciju fonda (turpmāk – LVIF) dati. </w:t>
      </w:r>
    </w:p>
    <w:p w:rsidR="00A91562" w:rsidRPr="000115AD" w:rsidRDefault="00A91562" w:rsidP="008808CD">
      <w:pPr>
        <w:tabs>
          <w:tab w:val="left" w:pos="284"/>
        </w:tabs>
        <w:ind w:firstLine="851"/>
        <w:contextualSpacing/>
        <w:rPr>
          <w:color w:val="414142"/>
          <w:szCs w:val="24"/>
          <w:highlight w:val="yellow"/>
        </w:rPr>
      </w:pPr>
    </w:p>
    <w:p w:rsidR="003D11CD" w:rsidRDefault="003D11CD">
      <w:pPr>
        <w:jc w:val="left"/>
        <w:rPr>
          <w:rFonts w:eastAsia="Calibri"/>
          <w:sz w:val="28"/>
          <w:szCs w:val="28"/>
        </w:rPr>
      </w:pPr>
    </w:p>
    <w:p w:rsidR="003D11CD" w:rsidRDefault="003D11CD">
      <w:pPr>
        <w:jc w:val="left"/>
        <w:rPr>
          <w:rFonts w:eastAsia="Calibri"/>
          <w:sz w:val="28"/>
          <w:szCs w:val="28"/>
        </w:rPr>
      </w:pPr>
    </w:p>
    <w:p w:rsidR="006A17B5" w:rsidRDefault="006A17B5">
      <w:pPr>
        <w:jc w:val="left"/>
        <w:rPr>
          <w:rFonts w:eastAsia="Calibri"/>
          <w:sz w:val="28"/>
          <w:szCs w:val="28"/>
        </w:rPr>
      </w:pPr>
      <w:r>
        <w:rPr>
          <w:rFonts w:eastAsia="Calibri"/>
          <w:sz w:val="28"/>
          <w:szCs w:val="28"/>
        </w:rPr>
        <w:br w:type="page"/>
      </w:r>
    </w:p>
    <w:p w:rsidR="002B567E" w:rsidRPr="00EE7E61" w:rsidRDefault="00EE7E61" w:rsidP="00EE7E61">
      <w:pPr>
        <w:pStyle w:val="Heading1"/>
        <w:spacing w:before="0" w:line="240" w:lineRule="auto"/>
        <w:jc w:val="center"/>
      </w:pPr>
      <w:bookmarkStart w:id="5" w:name="_Toc409448068"/>
      <w:bookmarkStart w:id="6" w:name="_Toc385413135"/>
      <w:bookmarkStart w:id="7" w:name="_Toc445290186"/>
      <w:r w:rsidRPr="001D51D3">
        <w:lastRenderedPageBreak/>
        <w:t xml:space="preserve">1. </w:t>
      </w:r>
      <w:r w:rsidR="002B567E" w:rsidRPr="001D51D3">
        <w:t>Esošās sociāli ekonomiskās situācijas apraksts</w:t>
      </w:r>
      <w:bookmarkEnd w:id="5"/>
      <w:r w:rsidR="002B567E" w:rsidRPr="001D51D3">
        <w:t xml:space="preserve"> </w:t>
      </w:r>
      <w:bookmarkEnd w:id="6"/>
      <w:r w:rsidR="00B75F32" w:rsidRPr="001D51D3">
        <w:t>un vajadzību analīze</w:t>
      </w:r>
      <w:bookmarkEnd w:id="7"/>
    </w:p>
    <w:p w:rsidR="000E11B9" w:rsidRDefault="000E11B9" w:rsidP="003B2B2B">
      <w:pPr>
        <w:autoSpaceDE w:val="0"/>
        <w:autoSpaceDN w:val="0"/>
        <w:adjustRightInd w:val="0"/>
        <w:jc w:val="left"/>
        <w:rPr>
          <w:rFonts w:ascii="EYInterstate" w:eastAsia="Calibri" w:hAnsi="EYInterstate" w:cs="EYInterstate"/>
          <w:color w:val="000000"/>
          <w:szCs w:val="24"/>
          <w:lang w:eastAsia="lv-LV"/>
        </w:rPr>
      </w:pPr>
    </w:p>
    <w:p w:rsidR="00D868A7" w:rsidRDefault="00D868A7" w:rsidP="0022485B">
      <w:pPr>
        <w:autoSpaceDE w:val="0"/>
        <w:autoSpaceDN w:val="0"/>
        <w:adjustRightInd w:val="0"/>
        <w:ind w:firstLine="720"/>
        <w:rPr>
          <w:rFonts w:eastAsia="Calibri"/>
        </w:rPr>
      </w:pPr>
      <w:r w:rsidRPr="00AF4A69">
        <w:rPr>
          <w:rFonts w:eastAsia="Calibri"/>
        </w:rPr>
        <w:t>Lai</w:t>
      </w:r>
      <w:r w:rsidRPr="00AF4A69">
        <w:t xml:space="preserve"> nodrošinātu mūsdienīgu studiju procesa īstenošanu koledžās atbilstoši tautsaimniecīb</w:t>
      </w:r>
      <w:r w:rsidR="00777FAC">
        <w:t>as</w:t>
      </w:r>
      <w:r w:rsidRPr="00AF4A69">
        <w:t xml:space="preserve"> attīstībai</w:t>
      </w:r>
      <w:r w:rsidR="007347F0">
        <w:t xml:space="preserve"> izvirzītajiem mērķiem un publisko ieguldījumu prioritātēm</w:t>
      </w:r>
      <w:r w:rsidRPr="00AF4A69">
        <w:rPr>
          <w:rFonts w:eastAsia="Calibri"/>
        </w:rPr>
        <w:t>, investīciju ieguldījumi koledžu infrastruktūras modernizēšanai ES fondu 2014. – 2020.</w:t>
      </w:r>
      <w:r w:rsidR="00DE16BD" w:rsidRPr="00AF4A69">
        <w:rPr>
          <w:rFonts w:eastAsia="Calibri"/>
        </w:rPr>
        <w:t xml:space="preserve">gada </w:t>
      </w:r>
      <w:r w:rsidRPr="00AF4A69">
        <w:rPr>
          <w:rFonts w:eastAsia="Calibri"/>
        </w:rPr>
        <w:t xml:space="preserve">plānošanas periodā </w:t>
      </w:r>
      <w:r w:rsidR="002A603F">
        <w:rPr>
          <w:rFonts w:eastAsia="Calibri"/>
        </w:rPr>
        <w:t>tiek</w:t>
      </w:r>
      <w:r w:rsidR="002A603F" w:rsidRPr="00AF4A69">
        <w:rPr>
          <w:rFonts w:eastAsia="Calibri"/>
        </w:rPr>
        <w:t xml:space="preserve"> </w:t>
      </w:r>
      <w:r w:rsidR="007347F0">
        <w:rPr>
          <w:rFonts w:eastAsia="Calibri"/>
        </w:rPr>
        <w:t>vērtēti</w:t>
      </w:r>
      <w:r w:rsidR="007347F0" w:rsidRPr="00AF4A69">
        <w:rPr>
          <w:rFonts w:eastAsia="Calibri"/>
        </w:rPr>
        <w:t xml:space="preserve"> </w:t>
      </w:r>
      <w:r w:rsidRPr="00AF4A69">
        <w:rPr>
          <w:rFonts w:eastAsia="Calibri"/>
        </w:rPr>
        <w:t>kontekstā ar demogrāfisko situāciju, darbaspēka piedāvājumu un pieprasījumu un tā attīstības tendencēm</w:t>
      </w:r>
      <w:r w:rsidR="002A603F">
        <w:rPr>
          <w:rFonts w:eastAsia="Calibri"/>
        </w:rPr>
        <w:t xml:space="preserve">, tai skaitā reģionālā </w:t>
      </w:r>
      <w:r w:rsidR="002A603F" w:rsidRPr="009522A4">
        <w:rPr>
          <w:rFonts w:eastAsia="Calibri"/>
        </w:rPr>
        <w:t>griezumā</w:t>
      </w:r>
      <w:r w:rsidR="008D176F" w:rsidRPr="009522A4">
        <w:rPr>
          <w:rFonts w:eastAsia="Calibri"/>
        </w:rPr>
        <w:t>.</w:t>
      </w:r>
    </w:p>
    <w:p w:rsidR="003B2B2B" w:rsidRDefault="003B2B2B" w:rsidP="0022485B">
      <w:pPr>
        <w:autoSpaceDE w:val="0"/>
        <w:autoSpaceDN w:val="0"/>
        <w:adjustRightInd w:val="0"/>
        <w:ind w:firstLine="720"/>
        <w:jc w:val="left"/>
        <w:rPr>
          <w:rFonts w:ascii="EYInterstate" w:eastAsia="Calibri" w:hAnsi="EYInterstate" w:cs="EYInterstate"/>
          <w:color w:val="000000"/>
          <w:szCs w:val="24"/>
          <w:lang w:eastAsia="lv-LV"/>
        </w:rPr>
      </w:pPr>
    </w:p>
    <w:p w:rsidR="00D42476" w:rsidRPr="002C2068" w:rsidRDefault="00D42476" w:rsidP="003F34D8">
      <w:pPr>
        <w:pStyle w:val="Heading2"/>
        <w:rPr>
          <w:rFonts w:eastAsia="Calibri"/>
        </w:rPr>
      </w:pPr>
      <w:bookmarkStart w:id="8" w:name="_Toc445290187"/>
      <w:r>
        <w:t>1.1.</w:t>
      </w:r>
      <w:r w:rsidR="00637224" w:rsidRPr="00EE7E61">
        <w:t xml:space="preserve"> </w:t>
      </w:r>
      <w:r w:rsidRPr="002C2068">
        <w:rPr>
          <w:rFonts w:eastAsia="Calibri"/>
        </w:rPr>
        <w:t>Koledžu vispārīgs raksturojums un tajās studējošo skaita izmaiņas</w:t>
      </w:r>
      <w:bookmarkEnd w:id="8"/>
    </w:p>
    <w:p w:rsidR="005E3CFF" w:rsidRDefault="005E3CFF" w:rsidP="00722156">
      <w:pPr>
        <w:pStyle w:val="Default"/>
        <w:numPr>
          <w:ilvl w:val="0"/>
          <w:numId w:val="1"/>
        </w:numPr>
        <w:jc w:val="both"/>
        <w:rPr>
          <w:sz w:val="23"/>
          <w:szCs w:val="23"/>
        </w:rPr>
      </w:pPr>
    </w:p>
    <w:p w:rsidR="00820F72" w:rsidRDefault="00D42476">
      <w:pPr>
        <w:pStyle w:val="NormalWeb"/>
        <w:spacing w:before="0" w:beforeAutospacing="0" w:after="0" w:afterAutospacing="0"/>
        <w:ind w:firstLine="720"/>
        <w:jc w:val="both"/>
      </w:pPr>
      <w:r w:rsidRPr="001E1B6B">
        <w:rPr>
          <w:b/>
        </w:rPr>
        <w:t xml:space="preserve">Koledža </w:t>
      </w:r>
      <w:r w:rsidRPr="001E1B6B">
        <w:t xml:space="preserve">ir izglītības iestāde, kas īsteno </w:t>
      </w:r>
      <w:r>
        <w:t>pirmā</w:t>
      </w:r>
      <w:r w:rsidRPr="001E1B6B">
        <w:t xml:space="preserve"> līmeņa profesionālās augstākās izglītības programmas un dod iespēju iegūt ceturto profesionālās kvalifikācijas līmeni</w:t>
      </w:r>
      <w:r>
        <w:t>.</w:t>
      </w:r>
      <w:r w:rsidRPr="001E1B6B">
        <w:rPr>
          <w:rStyle w:val="FootnoteReference"/>
        </w:rPr>
        <w:footnoteReference w:id="4"/>
      </w:r>
      <w:r w:rsidR="00777FAC">
        <w:t xml:space="preserve"> </w:t>
      </w:r>
      <w:r>
        <w:t xml:space="preserve">Pirmā </w:t>
      </w:r>
      <w:r w:rsidRPr="00BC1DA7">
        <w:t>līmeņa profesionālās augstākās izglītības programma</w:t>
      </w:r>
      <w:r>
        <w:t>s</w:t>
      </w:r>
      <w:r w:rsidRPr="00BC1DA7">
        <w:t xml:space="preserve"> tiek īstenota</w:t>
      </w:r>
      <w:r>
        <w:t>s</w:t>
      </w:r>
      <w:r w:rsidRPr="00BC1DA7">
        <w:t xml:space="preserve"> pēc vidējās izglītības ieguves</w:t>
      </w:r>
      <w:r>
        <w:t xml:space="preserve"> un to</w:t>
      </w:r>
      <w:r w:rsidRPr="00BC1DA7">
        <w:t xml:space="preserve"> īstenošanas laiks ir divi līdz trīs gadi.</w:t>
      </w:r>
      <w:r>
        <w:t xml:space="preserve"> Pirmā līmeņa profesionālās augstākās izglītības studiju programmas tiek īstenotas gan augstskolās, gan koledžās, tomēr studējošo skaits koledžās ir ievērojami lielāks nekā pirmā līmeņa profesionālās augstākās izglītības studiju programmās augstskolās. Saskaņā ar IZM apkopoto informāciju </w:t>
      </w:r>
      <w:r w:rsidR="007A77C1">
        <w:t>2015</w:t>
      </w:r>
      <w:r>
        <w:t>./</w:t>
      </w:r>
      <w:r w:rsidR="007A77C1">
        <w:t>2016</w:t>
      </w:r>
      <w:r>
        <w:t xml:space="preserve">.ak.gada sākumā pirmā līmeņa profesionālās augstākās izglītības studiju programmas apguva </w:t>
      </w:r>
      <w:r w:rsidR="007A77C1">
        <w:t>15 </w:t>
      </w:r>
      <w:r w:rsidR="00147F31">
        <w:t>228</w:t>
      </w:r>
      <w:r w:rsidR="007A77C1">
        <w:t xml:space="preserve"> </w:t>
      </w:r>
      <w:r>
        <w:t xml:space="preserve">studējošie, no tiem </w:t>
      </w:r>
      <w:r w:rsidR="007A77C1">
        <w:t>10 778</w:t>
      </w:r>
      <w:r>
        <w:t xml:space="preserve"> studenti jeb </w:t>
      </w:r>
      <w:r w:rsidR="007A77C1">
        <w:t>7</w:t>
      </w:r>
      <w:r w:rsidR="00147F31">
        <w:t>1</w:t>
      </w:r>
      <w:r w:rsidR="000003FD">
        <w:t xml:space="preserve"> </w:t>
      </w:r>
      <w:r>
        <w:t>% no kopējā studējošo skaita šīs programmas apguva koledžās.</w:t>
      </w:r>
      <w:r>
        <w:rPr>
          <w:rStyle w:val="FootnoteReference"/>
        </w:rPr>
        <w:footnoteReference w:id="5"/>
      </w:r>
      <w:r>
        <w:t xml:space="preserve"> Tā</w:t>
      </w:r>
      <w:r w:rsidR="00DE4DB2">
        <w:t xml:space="preserve">dējādi, </w:t>
      </w:r>
      <w:r>
        <w:t>koledžām ir noteicošā loma pirmā līmeņa profesionālās augstākās izglītības piedāvājuma nodrošināšanā.</w:t>
      </w:r>
    </w:p>
    <w:p w:rsidR="00820F72" w:rsidRDefault="00DE4DB2" w:rsidP="00722156">
      <w:pPr>
        <w:pStyle w:val="NormalWeb"/>
        <w:numPr>
          <w:ilvl w:val="8"/>
          <w:numId w:val="1"/>
        </w:numPr>
        <w:tabs>
          <w:tab w:val="clear" w:pos="0"/>
        </w:tabs>
        <w:spacing w:before="0" w:beforeAutospacing="0" w:after="0" w:afterAutospacing="0"/>
        <w:jc w:val="both"/>
      </w:pPr>
      <w:r>
        <w:t>C</w:t>
      </w:r>
      <w:r w:rsidRPr="00DB1190">
        <w:t>eturt</w:t>
      </w:r>
      <w:r>
        <w:t>ais</w:t>
      </w:r>
      <w:r w:rsidRPr="00DB1190">
        <w:t xml:space="preserve"> profesionālās kvalifikācijas līmeni</w:t>
      </w:r>
      <w:r>
        <w:t>s</w:t>
      </w:r>
      <w:r w:rsidRPr="00DB1190">
        <w:t xml:space="preserve"> apliecina personas teorētisko un praktisko sagatavotību, kas dod iespēju veikt sarežģītu izpildītāja darbu, kā arī organizēt un vadīt citu speciālistu darbu</w:t>
      </w:r>
      <w:r w:rsidRPr="00DB1190">
        <w:rPr>
          <w:rStyle w:val="FootnoteReference"/>
        </w:rPr>
        <w:footnoteReference w:id="6"/>
      </w:r>
      <w:r w:rsidRPr="00DB1190">
        <w:t xml:space="preserve">. Ceturtā līmeņa profesionālā kvalifikācija atbilst piektajam Latvijas kvalifikāciju </w:t>
      </w:r>
      <w:proofErr w:type="spellStart"/>
      <w:r w:rsidRPr="00DB1190">
        <w:t>ietvarstruktūras</w:t>
      </w:r>
      <w:proofErr w:type="spellEnd"/>
      <w:r w:rsidRPr="00DB1190">
        <w:t xml:space="preserve"> līmenim</w:t>
      </w:r>
      <w:r w:rsidRPr="00DB1190">
        <w:rPr>
          <w:rStyle w:val="FootnoteReference"/>
        </w:rPr>
        <w:footnoteReference w:id="7"/>
      </w:r>
      <w:r w:rsidRPr="00DB1190">
        <w:t xml:space="preserve"> (Latvijas kvalifikāciju </w:t>
      </w:r>
      <w:proofErr w:type="spellStart"/>
      <w:r w:rsidRPr="00DB1190">
        <w:t>ietvarstruktūra</w:t>
      </w:r>
      <w:proofErr w:type="spellEnd"/>
      <w:r w:rsidRPr="00DB1190">
        <w:t xml:space="preserve"> (LKI) ir piesaistīta Eiropas kvalifikāciju </w:t>
      </w:r>
      <w:proofErr w:type="spellStart"/>
      <w:r w:rsidRPr="00DB1190">
        <w:t>ietvarstruktūrai</w:t>
      </w:r>
      <w:proofErr w:type="spellEnd"/>
      <w:r w:rsidRPr="00DB1190">
        <w:t xml:space="preserve"> (EKI)), kas apliecina spēju uzrādīt vispusīgas un specializētas attiecīgajai jomai atbilstošas zināšanas; spēju izmantot analītisku pieeju praktisku problēmu risināšanai attiecīgajā profesijā mainīgā vidē; spēju izprast savas darbības jomu plašākā sociālajā kontekstā, piedalīties attiecīgās nozares attīstīšanā, izvērtēt savu un citu cilvēku darbību.</w:t>
      </w:r>
      <w:r w:rsidRPr="00DB1190">
        <w:rPr>
          <w:rStyle w:val="FootnoteReference"/>
        </w:rPr>
        <w:footnoteReference w:id="8"/>
      </w:r>
      <w:r>
        <w:t xml:space="preserve"> </w:t>
      </w:r>
      <w:r w:rsidR="00985E60">
        <w:t>K</w:t>
      </w:r>
      <w:r w:rsidR="00D42476">
        <w:t xml:space="preserve">oledžas </w:t>
      </w:r>
      <w:r w:rsidR="00D42476" w:rsidRPr="0097129F">
        <w:t>pieder pie</w:t>
      </w:r>
      <w:r w:rsidR="00D42476">
        <w:t xml:space="preserve"> augstākās izglītības institūcijām (uz tām attiecas Augstskolu likums), vienlaikus tās tiek klasificētas kā </w:t>
      </w:r>
      <w:r w:rsidR="00D42476" w:rsidRPr="000C6F62">
        <w:t xml:space="preserve">profesionālās izglītības iestādes, kuru darbību regulē Profesionālās izglītības likums. </w:t>
      </w:r>
      <w:r w:rsidR="00985E60">
        <w:t>To</w:t>
      </w:r>
      <w:r w:rsidR="00D42476" w:rsidRPr="00DB1190">
        <w:t xml:space="preserve"> izglītības programmas galvenokārt ir orientētas uz darba tirgu, taču to absolventi var turpināt studijas otrā līmeņa profesionālās augstākās izglītības studiju programmās.</w:t>
      </w:r>
      <w:r w:rsidR="008855FC">
        <w:t xml:space="preserve"> </w:t>
      </w:r>
      <w:r w:rsidR="00D42476" w:rsidRPr="00985E60">
        <w:t>Koledžas ir jaunākais profesionālās izglītības iestāžu tips Latvijā (tās pastāv kopš 2000.gada), kuru</w:t>
      </w:r>
      <w:r w:rsidR="00D42476" w:rsidRPr="000C6F62">
        <w:t xml:space="preserve"> piedāvātā </w:t>
      </w:r>
      <w:r w:rsidR="00D42476" w:rsidRPr="00985E60">
        <w:t xml:space="preserve">izglītība kļūst </w:t>
      </w:r>
      <w:r w:rsidR="00D42476" w:rsidRPr="0008360A">
        <w:t>arvien populārāka</w:t>
      </w:r>
      <w:r w:rsidR="00D42476" w:rsidRPr="00985E60">
        <w:t xml:space="preserve">, </w:t>
      </w:r>
      <w:r w:rsidR="00D42476" w:rsidRPr="0008360A">
        <w:t xml:space="preserve">tā ir </w:t>
      </w:r>
      <w:r w:rsidR="00D42476" w:rsidRPr="00985E60">
        <w:t>pieprasīta un novērtēta darba tirgū.</w:t>
      </w:r>
      <w:r w:rsidR="00D42476" w:rsidRPr="0008360A">
        <w:t xml:space="preserve"> </w:t>
      </w:r>
    </w:p>
    <w:p w:rsidR="00D42476" w:rsidRDefault="00D42476" w:rsidP="00722156">
      <w:pPr>
        <w:numPr>
          <w:ilvl w:val="0"/>
          <w:numId w:val="1"/>
        </w:numPr>
        <w:shd w:val="clear" w:color="auto" w:fill="FFFFFF"/>
        <w:tabs>
          <w:tab w:val="clear" w:pos="0"/>
          <w:tab w:val="num" w:pos="709"/>
        </w:tabs>
        <w:rPr>
          <w:bCs/>
        </w:rPr>
      </w:pPr>
      <w:r w:rsidRPr="0008360A">
        <w:t xml:space="preserve">Latvijā šobrīd ir reģistrētas </w:t>
      </w:r>
      <w:r w:rsidR="00A71B34" w:rsidRPr="0008360A">
        <w:t>2</w:t>
      </w:r>
      <w:r w:rsidR="00A71B34">
        <w:t>6</w:t>
      </w:r>
      <w:r w:rsidR="00A71B34" w:rsidRPr="0008360A">
        <w:t xml:space="preserve"> </w:t>
      </w:r>
      <w:r w:rsidRPr="0008360A">
        <w:t xml:space="preserve">koledžas, tai </w:t>
      </w:r>
      <w:r w:rsidRPr="00521C8D">
        <w:t xml:space="preserve">skaitā </w:t>
      </w:r>
      <w:r w:rsidR="00C326FE" w:rsidRPr="00521C8D">
        <w:t>17</w:t>
      </w:r>
      <w:r w:rsidRPr="0008360A">
        <w:t xml:space="preserve"> – valsts koledžas un </w:t>
      </w:r>
      <w:r w:rsidR="00A71B34">
        <w:t>9</w:t>
      </w:r>
      <w:r w:rsidR="00A71B34" w:rsidRPr="0008360A">
        <w:t xml:space="preserve"> </w:t>
      </w:r>
      <w:r w:rsidRPr="0008360A">
        <w:t xml:space="preserve">– juridisku personu dibinātas koledžas (turpmāk – privātās koledžas). </w:t>
      </w:r>
    </w:p>
    <w:p w:rsidR="00D42476" w:rsidRPr="005F1033" w:rsidRDefault="00D42476" w:rsidP="00722156">
      <w:pPr>
        <w:pStyle w:val="NormalWeb"/>
        <w:numPr>
          <w:ilvl w:val="3"/>
          <w:numId w:val="1"/>
        </w:numPr>
        <w:shd w:val="clear" w:color="auto" w:fill="FFFFFF"/>
        <w:spacing w:before="0" w:beforeAutospacing="0" w:after="0" w:afterAutospacing="0"/>
        <w:jc w:val="both"/>
        <w:rPr>
          <w:i/>
          <w:color w:val="C00000"/>
        </w:rPr>
      </w:pPr>
    </w:p>
    <w:p w:rsidR="00D42476" w:rsidRPr="00F13F68" w:rsidRDefault="00D42476" w:rsidP="00D42476">
      <w:pPr>
        <w:pStyle w:val="Default"/>
        <w:jc w:val="both"/>
        <w:rPr>
          <w:color w:val="auto"/>
        </w:rPr>
      </w:pPr>
      <w:r w:rsidRPr="00F13F68">
        <w:rPr>
          <w:color w:val="auto"/>
        </w:rPr>
        <w:t>Pēc sava juridiskā statusa koledžas iedalās:</w:t>
      </w:r>
    </w:p>
    <w:p w:rsidR="00D42476" w:rsidRPr="00F13F68" w:rsidRDefault="00D42476" w:rsidP="00722156">
      <w:pPr>
        <w:pStyle w:val="Default"/>
        <w:numPr>
          <w:ilvl w:val="0"/>
          <w:numId w:val="30"/>
        </w:numPr>
        <w:jc w:val="both"/>
        <w:rPr>
          <w:color w:val="auto"/>
        </w:rPr>
      </w:pPr>
      <w:r w:rsidRPr="00F13F68">
        <w:rPr>
          <w:color w:val="auto"/>
        </w:rPr>
        <w:lastRenderedPageBreak/>
        <w:t>koledžas, kuras darbojas kā autonomas institūcijas, īsteno pirmā līmeņa profesionālās augstākās izglītības programmas un kuru sastāvā ir profesionālās vidējās izglītības struktūrvienība;</w:t>
      </w:r>
    </w:p>
    <w:p w:rsidR="00D42476" w:rsidRPr="00F13F68" w:rsidRDefault="00D42476" w:rsidP="00722156">
      <w:pPr>
        <w:pStyle w:val="Default"/>
        <w:numPr>
          <w:ilvl w:val="0"/>
          <w:numId w:val="30"/>
        </w:numPr>
        <w:jc w:val="both"/>
        <w:rPr>
          <w:color w:val="auto"/>
        </w:rPr>
      </w:pPr>
      <w:r w:rsidRPr="00F13F68">
        <w:rPr>
          <w:color w:val="auto"/>
        </w:rPr>
        <w:t xml:space="preserve">koledžas, kuras darbojas kā autonomas institūcijas, īsteno pirmā līmeņa profesionālās augstākās izglītības programmas (pārsvarā </w:t>
      </w:r>
      <w:r w:rsidR="00B66A15">
        <w:rPr>
          <w:color w:val="auto"/>
        </w:rPr>
        <w:t>privātās</w:t>
      </w:r>
      <w:r w:rsidRPr="00F13F68">
        <w:rPr>
          <w:color w:val="auto"/>
        </w:rPr>
        <w:t xml:space="preserve"> koledžas);</w:t>
      </w:r>
    </w:p>
    <w:p w:rsidR="00D42476" w:rsidRPr="00F13F68" w:rsidRDefault="00D42476" w:rsidP="00722156">
      <w:pPr>
        <w:pStyle w:val="Default"/>
        <w:numPr>
          <w:ilvl w:val="0"/>
          <w:numId w:val="30"/>
        </w:numPr>
        <w:jc w:val="both"/>
        <w:rPr>
          <w:color w:val="auto"/>
        </w:rPr>
      </w:pPr>
      <w:r w:rsidRPr="00F13F68">
        <w:rPr>
          <w:color w:val="auto"/>
        </w:rPr>
        <w:t>koledžas, kuras darbojas kā autonomas institūcijas pie augstskolas – aģentūras statusā.</w:t>
      </w:r>
    </w:p>
    <w:p w:rsidR="00D42476" w:rsidRPr="00F13F68" w:rsidRDefault="00D42476" w:rsidP="00D42476">
      <w:pPr>
        <w:pStyle w:val="NoSpacing"/>
        <w:ind w:right="113"/>
        <w:rPr>
          <w:szCs w:val="24"/>
        </w:rPr>
      </w:pPr>
    </w:p>
    <w:p w:rsidR="00D42476" w:rsidRPr="00521C8D" w:rsidRDefault="00D42476" w:rsidP="00722156">
      <w:pPr>
        <w:pStyle w:val="NormalWeb"/>
        <w:numPr>
          <w:ilvl w:val="3"/>
          <w:numId w:val="1"/>
        </w:numPr>
        <w:shd w:val="clear" w:color="auto" w:fill="FFFFFF"/>
        <w:tabs>
          <w:tab w:val="clear" w:pos="0"/>
        </w:tabs>
        <w:spacing w:before="0" w:beforeAutospacing="0" w:after="0" w:afterAutospacing="0"/>
        <w:jc w:val="both"/>
        <w:rPr>
          <w:i/>
        </w:rPr>
      </w:pPr>
      <w:r w:rsidRPr="00E52F72">
        <w:t>Koledžas kā augstākās izglītības institūcijas var īstenot arī profesionālās vidējās izglītības un arodizglītības programmas, saglabājot koledžas statusu, ja pirmā līmeņa profesionālās augstākās izglītības programmu īpatsvars nav mazāks par 30 procentiem</w:t>
      </w:r>
      <w:r>
        <w:t>.</w:t>
      </w:r>
      <w:r w:rsidRPr="00825996">
        <w:rPr>
          <w:rStyle w:val="FootnoteReference"/>
        </w:rPr>
        <w:footnoteReference w:id="9"/>
      </w:r>
      <w:r w:rsidRPr="00825996">
        <w:t xml:space="preserve"> </w:t>
      </w:r>
      <w:r w:rsidR="00360A50">
        <w:t xml:space="preserve">2015./2016.ak.g. </w:t>
      </w:r>
      <w:r w:rsidR="00CE77EF">
        <w:rPr>
          <w:bCs/>
        </w:rPr>
        <w:t>11</w:t>
      </w:r>
      <w:r w:rsidR="00474F5D" w:rsidRPr="00E52F72">
        <w:rPr>
          <w:bCs/>
        </w:rPr>
        <w:t xml:space="preserve"> </w:t>
      </w:r>
      <w:r w:rsidRPr="00E52F72">
        <w:rPr>
          <w:bCs/>
        </w:rPr>
        <w:t xml:space="preserve">valsts koledžās tiek īstenotas profesionālās vidējās </w:t>
      </w:r>
      <w:r w:rsidR="00A86486">
        <w:rPr>
          <w:bCs/>
        </w:rPr>
        <w:t>izglītības vai</w:t>
      </w:r>
      <w:r w:rsidR="004C0B7B">
        <w:rPr>
          <w:bCs/>
        </w:rPr>
        <w:t xml:space="preserve"> arodizglītības </w:t>
      </w:r>
      <w:r w:rsidRPr="00E52F72">
        <w:rPr>
          <w:bCs/>
        </w:rPr>
        <w:t xml:space="preserve">izglītības </w:t>
      </w:r>
      <w:r w:rsidRPr="00521C8D">
        <w:rPr>
          <w:bCs/>
        </w:rPr>
        <w:t>programmas</w:t>
      </w:r>
      <w:r w:rsidR="00474F5D">
        <w:rPr>
          <w:bCs/>
        </w:rPr>
        <w:t>.</w:t>
      </w:r>
      <w:r w:rsidR="00360A50" w:rsidRPr="00521C8D">
        <w:rPr>
          <w:bCs/>
        </w:rPr>
        <w:t xml:space="preserve"> tai skaitā </w:t>
      </w:r>
      <w:r w:rsidR="00CE77EF">
        <w:rPr>
          <w:bCs/>
        </w:rPr>
        <w:t>9</w:t>
      </w:r>
      <w:r w:rsidR="00CE77EF" w:rsidRPr="00521C8D">
        <w:rPr>
          <w:bCs/>
        </w:rPr>
        <w:t xml:space="preserve"> </w:t>
      </w:r>
      <w:r w:rsidR="00360A50" w:rsidRPr="00521C8D">
        <w:rPr>
          <w:bCs/>
        </w:rPr>
        <w:t>koledžās STEM jomā</w:t>
      </w:r>
      <w:r w:rsidRPr="00521C8D">
        <w:rPr>
          <w:bCs/>
        </w:rPr>
        <w:t xml:space="preserve">. </w:t>
      </w:r>
    </w:p>
    <w:p w:rsidR="00D42476" w:rsidRPr="00A04B45" w:rsidRDefault="00D42476" w:rsidP="00533B60">
      <w:pPr>
        <w:pStyle w:val="EYBodytextwithparaspace"/>
        <w:numPr>
          <w:ilvl w:val="0"/>
          <w:numId w:val="0"/>
        </w:numPr>
        <w:spacing w:after="0"/>
        <w:ind w:firstLine="720"/>
        <w:jc w:val="both"/>
        <w:rPr>
          <w:rFonts w:ascii="Times New Roman" w:hAnsi="Times New Roman"/>
          <w:sz w:val="24"/>
        </w:rPr>
      </w:pPr>
      <w:r>
        <w:rPr>
          <w:rFonts w:ascii="Times New Roman" w:hAnsi="Times New Roman"/>
          <w:sz w:val="24"/>
        </w:rPr>
        <w:t>Lielākā daļa</w:t>
      </w:r>
      <w:r w:rsidRPr="00DE441A">
        <w:rPr>
          <w:rFonts w:ascii="Times New Roman" w:hAnsi="Times New Roman"/>
          <w:sz w:val="24"/>
        </w:rPr>
        <w:t xml:space="preserve"> no valsts koledžām atrodas IZM pārraudzībā. Lai nodrošinātu </w:t>
      </w:r>
      <w:r w:rsidRPr="00DE441A">
        <w:rPr>
          <w:rFonts w:ascii="Times New Roman" w:eastAsia="Calibri" w:hAnsi="Times New Roman"/>
          <w:color w:val="000000"/>
          <w:sz w:val="24"/>
          <w:lang w:eastAsia="lv-LV"/>
        </w:rPr>
        <w:t>Latvijas Republikas Iekšlietu ministrijas</w:t>
      </w:r>
      <w:r w:rsidRPr="00611DFF">
        <w:rPr>
          <w:rFonts w:ascii="Times New Roman" w:eastAsia="Calibri" w:hAnsi="Times New Roman"/>
          <w:color w:val="000000"/>
          <w:sz w:val="24"/>
          <w:lang w:eastAsia="lv-LV"/>
        </w:rPr>
        <w:t xml:space="preserve"> </w:t>
      </w:r>
      <w:r w:rsidRPr="00B45AC0">
        <w:rPr>
          <w:rFonts w:ascii="Times New Roman" w:hAnsi="Times New Roman"/>
          <w:sz w:val="24"/>
        </w:rPr>
        <w:t>padotības iestāžu amatpersonu profesionālo izglītību</w:t>
      </w:r>
      <w:r>
        <w:rPr>
          <w:rFonts w:ascii="Times New Roman" w:hAnsi="Times New Roman"/>
          <w:sz w:val="24"/>
        </w:rPr>
        <w:t>,</w:t>
      </w:r>
      <w:r w:rsidRPr="00B45AC0">
        <w:rPr>
          <w:rFonts w:ascii="Times New Roman" w:hAnsi="Times New Roman"/>
          <w:sz w:val="24"/>
        </w:rPr>
        <w:t xml:space="preserve"> ir izveidotas trīs specializētas izglītības iestādes</w:t>
      </w:r>
      <w:r>
        <w:rPr>
          <w:rFonts w:ascii="Times New Roman" w:hAnsi="Times New Roman"/>
          <w:sz w:val="24"/>
        </w:rPr>
        <w:t>, kas ir valstiski nozīmīgas</w:t>
      </w:r>
      <w:r w:rsidRPr="00B45AC0">
        <w:rPr>
          <w:rFonts w:ascii="Times New Roman" w:hAnsi="Times New Roman"/>
          <w:sz w:val="24"/>
        </w:rPr>
        <w:t xml:space="preserve"> – Valsts policijas koledža</w:t>
      </w:r>
      <w:r>
        <w:rPr>
          <w:rFonts w:ascii="Times New Roman" w:hAnsi="Times New Roman"/>
          <w:sz w:val="24"/>
        </w:rPr>
        <w:t>,</w:t>
      </w:r>
      <w:r w:rsidRPr="00B45AC0">
        <w:rPr>
          <w:rFonts w:ascii="Times New Roman" w:hAnsi="Times New Roman"/>
          <w:sz w:val="24"/>
        </w:rPr>
        <w:t xml:space="preserve"> Ugunsdrošības un civilās aizsardzības koledža un Valsts robežsardzes koledža</w:t>
      </w:r>
      <w:r w:rsidRPr="00A04B45">
        <w:rPr>
          <w:rFonts w:ascii="Times New Roman" w:hAnsi="Times New Roman"/>
          <w:sz w:val="24"/>
        </w:rPr>
        <w:t xml:space="preserve">. </w:t>
      </w:r>
      <w:r>
        <w:rPr>
          <w:rFonts w:ascii="Times New Roman" w:hAnsi="Times New Roman"/>
          <w:sz w:val="24"/>
        </w:rPr>
        <w:t>Šīm</w:t>
      </w:r>
      <w:r w:rsidRPr="00A04B45">
        <w:rPr>
          <w:rFonts w:ascii="Times New Roman" w:hAnsi="Times New Roman"/>
          <w:sz w:val="24"/>
        </w:rPr>
        <w:t xml:space="preserve"> koledžām, kur tiek sagatavotas un izglītotas I</w:t>
      </w:r>
      <w:r w:rsidR="00204617">
        <w:rPr>
          <w:rFonts w:ascii="Times New Roman" w:hAnsi="Times New Roman"/>
          <w:sz w:val="24"/>
        </w:rPr>
        <w:t xml:space="preserve">ekšlietu ministrijas </w:t>
      </w:r>
      <w:r w:rsidRPr="00A04B45">
        <w:rPr>
          <w:rFonts w:ascii="Times New Roman" w:hAnsi="Times New Roman"/>
          <w:sz w:val="24"/>
        </w:rPr>
        <w:t xml:space="preserve">sistēmas iestāžu amatpersonas ar speciālajām dienesta pakāpēm, ir valsts pārvaldes iestāžu statuss, un tās atrodas attiecīgo </w:t>
      </w:r>
      <w:r w:rsidR="00204617" w:rsidRPr="00A04B45">
        <w:rPr>
          <w:rFonts w:ascii="Times New Roman" w:hAnsi="Times New Roman"/>
          <w:sz w:val="24"/>
        </w:rPr>
        <w:t>I</w:t>
      </w:r>
      <w:r w:rsidR="00204617">
        <w:rPr>
          <w:rFonts w:ascii="Times New Roman" w:hAnsi="Times New Roman"/>
          <w:sz w:val="24"/>
        </w:rPr>
        <w:t xml:space="preserve">ekšlietu ministrijas </w:t>
      </w:r>
      <w:r w:rsidRPr="00A04B45">
        <w:rPr>
          <w:rFonts w:ascii="Times New Roman" w:hAnsi="Times New Roman"/>
          <w:sz w:val="24"/>
        </w:rPr>
        <w:t xml:space="preserve">sistēmas dienestu pakļautībā. </w:t>
      </w:r>
    </w:p>
    <w:p w:rsidR="00DB0404" w:rsidRDefault="00D42476">
      <w:pPr>
        <w:ind w:firstLine="720"/>
      </w:pPr>
      <w:r w:rsidRPr="00A04B45">
        <w:rPr>
          <w:szCs w:val="24"/>
        </w:rPr>
        <w:t xml:space="preserve">Kultūras ministrijas pārziņā ir </w:t>
      </w:r>
      <w:r w:rsidRPr="00A04B45">
        <w:rPr>
          <w:szCs w:val="24"/>
          <w:lang w:eastAsia="lv-LV"/>
        </w:rPr>
        <w:t>Latvijas Kultūras akadēmijas Latvijas Kultūras koledža, Labklājības ministrijas pārziņā ir Sociālās integrācijas valsts aģentūra</w:t>
      </w:r>
      <w:r>
        <w:rPr>
          <w:szCs w:val="24"/>
          <w:lang w:eastAsia="lv-LV"/>
        </w:rPr>
        <w:t>s koledža</w:t>
      </w:r>
      <w:r w:rsidRPr="00A04B45">
        <w:rPr>
          <w:szCs w:val="24"/>
          <w:lang w:eastAsia="lv-LV"/>
        </w:rPr>
        <w:t>, bet Veselības ministrijas pārraudzībā ir Rīgas Stradiņa universitātes Sarkanā Krusta medicīnas koledža.</w:t>
      </w:r>
    </w:p>
    <w:p w:rsidR="00820F72" w:rsidRDefault="00D42476">
      <w:pPr>
        <w:pStyle w:val="CommentText"/>
        <w:ind w:firstLine="720"/>
        <w:rPr>
          <w:sz w:val="24"/>
          <w:szCs w:val="24"/>
        </w:rPr>
      </w:pPr>
      <w:r w:rsidRPr="00932190">
        <w:rPr>
          <w:sz w:val="24"/>
          <w:szCs w:val="24"/>
        </w:rPr>
        <w:t>Viens no būtiskākajiem izaicinājumiem augstākās izglītības sistēmai ir demogrāfiskās</w:t>
      </w:r>
      <w:r w:rsidRPr="007E05A4">
        <w:rPr>
          <w:sz w:val="24"/>
        </w:rPr>
        <w:t xml:space="preserve"> tendences Latvijā, kas raksturojas ar </w:t>
      </w:r>
      <w:r>
        <w:rPr>
          <w:sz w:val="24"/>
        </w:rPr>
        <w:t xml:space="preserve">dzimstības līmeņa samazināšanos 1990.-to gadu sākumā, kā arī </w:t>
      </w:r>
      <w:r w:rsidRPr="007E05A4">
        <w:rPr>
          <w:sz w:val="24"/>
        </w:rPr>
        <w:t>iedzīvotāju skaita samazināšanos</w:t>
      </w:r>
      <w:r>
        <w:rPr>
          <w:sz w:val="24"/>
        </w:rPr>
        <w:t>.</w:t>
      </w:r>
      <w:r w:rsidRPr="007E05A4">
        <w:rPr>
          <w:sz w:val="24"/>
        </w:rPr>
        <w:t xml:space="preserve"> </w:t>
      </w:r>
      <w:r>
        <w:rPr>
          <w:sz w:val="24"/>
        </w:rPr>
        <w:t>Vidusskolu beigušo skaits ar katru gadu samazinās, līdz ar to samazinās potenciālo studē</w:t>
      </w:r>
      <w:r w:rsidR="006C4693">
        <w:rPr>
          <w:sz w:val="24"/>
        </w:rPr>
        <w:t>jošo</w:t>
      </w:r>
      <w:r>
        <w:rPr>
          <w:sz w:val="24"/>
        </w:rPr>
        <w:t xml:space="preserve"> skaits. IZM apkopotie dati rāda, ka </w:t>
      </w:r>
      <w:r w:rsidRPr="00932190">
        <w:rPr>
          <w:sz w:val="24"/>
          <w:szCs w:val="24"/>
        </w:rPr>
        <w:t>kopš 2008./2009.ak.gada studējošo skaits Latvijā strauji samazinās (neliela samazināšanās tendence bija vērojama jau 2006./2007.ak.g.).</w:t>
      </w:r>
    </w:p>
    <w:p w:rsidR="00820F72" w:rsidRDefault="00001948" w:rsidP="00722156">
      <w:pPr>
        <w:pStyle w:val="EYBodytextwithparaspace"/>
        <w:numPr>
          <w:ilvl w:val="0"/>
          <w:numId w:val="1"/>
        </w:numPr>
        <w:tabs>
          <w:tab w:val="clear" w:pos="0"/>
        </w:tabs>
        <w:spacing w:after="0"/>
        <w:jc w:val="both"/>
        <w:rPr>
          <w:rFonts w:ascii="Times New Roman" w:hAnsi="Times New Roman"/>
          <w:b/>
          <w:sz w:val="24"/>
        </w:rPr>
      </w:pPr>
      <w:r w:rsidRPr="00D95372">
        <w:rPr>
          <w:rFonts w:ascii="Times New Roman" w:hAnsi="Times New Roman"/>
          <w:sz w:val="24"/>
        </w:rPr>
        <w:t>201</w:t>
      </w:r>
      <w:r>
        <w:rPr>
          <w:rFonts w:ascii="Times New Roman" w:hAnsi="Times New Roman"/>
          <w:sz w:val="24"/>
        </w:rPr>
        <w:t>5</w:t>
      </w:r>
      <w:r w:rsidRPr="00D95372">
        <w:rPr>
          <w:rFonts w:ascii="Times New Roman" w:hAnsi="Times New Roman"/>
          <w:sz w:val="24"/>
        </w:rPr>
        <w:t>./201</w:t>
      </w:r>
      <w:r>
        <w:rPr>
          <w:rFonts w:ascii="Times New Roman" w:hAnsi="Times New Roman"/>
          <w:sz w:val="24"/>
        </w:rPr>
        <w:t>6</w:t>
      </w:r>
      <w:r w:rsidRPr="00D95372">
        <w:rPr>
          <w:rFonts w:ascii="Times New Roman" w:hAnsi="Times New Roman"/>
          <w:sz w:val="24"/>
        </w:rPr>
        <w:t>. akadēmiskā gad</w:t>
      </w:r>
      <w:r>
        <w:rPr>
          <w:rFonts w:ascii="Times New Roman" w:hAnsi="Times New Roman"/>
          <w:sz w:val="24"/>
        </w:rPr>
        <w:t>a sākumā</w:t>
      </w:r>
      <w:r w:rsidRPr="00D95372">
        <w:rPr>
          <w:rFonts w:ascii="Times New Roman" w:hAnsi="Times New Roman"/>
          <w:sz w:val="24"/>
        </w:rPr>
        <w:t xml:space="preserve"> Latvijas augstākās izglītības iestādēs</w:t>
      </w:r>
      <w:r>
        <w:rPr>
          <w:rFonts w:ascii="Times New Roman" w:hAnsi="Times New Roman"/>
          <w:sz w:val="24"/>
        </w:rPr>
        <w:t xml:space="preserve"> kopā</w:t>
      </w:r>
      <w:r w:rsidRPr="00D95372">
        <w:rPr>
          <w:rFonts w:ascii="Times New Roman" w:hAnsi="Times New Roman"/>
          <w:sz w:val="24"/>
        </w:rPr>
        <w:t xml:space="preserve"> studē</w:t>
      </w:r>
      <w:r>
        <w:rPr>
          <w:rFonts w:ascii="Times New Roman" w:hAnsi="Times New Roman"/>
          <w:sz w:val="24"/>
        </w:rPr>
        <w:t>ja</w:t>
      </w:r>
      <w:r w:rsidRPr="00D95372">
        <w:rPr>
          <w:rFonts w:ascii="Times New Roman" w:hAnsi="Times New Roman"/>
          <w:sz w:val="24"/>
        </w:rPr>
        <w:t xml:space="preserve"> </w:t>
      </w:r>
      <w:r>
        <w:rPr>
          <w:rFonts w:ascii="Times New Roman" w:hAnsi="Times New Roman"/>
          <w:sz w:val="24"/>
        </w:rPr>
        <w:t>84 282</w:t>
      </w:r>
      <w:r w:rsidRPr="00D95372">
        <w:rPr>
          <w:rFonts w:ascii="Times New Roman" w:hAnsi="Times New Roman"/>
          <w:sz w:val="24"/>
        </w:rPr>
        <w:t xml:space="preserve"> student</w:t>
      </w:r>
      <w:r>
        <w:rPr>
          <w:rFonts w:ascii="Times New Roman" w:hAnsi="Times New Roman"/>
          <w:sz w:val="24"/>
        </w:rPr>
        <w:t>i</w:t>
      </w:r>
      <w:r w:rsidRPr="00D95372">
        <w:rPr>
          <w:rFonts w:ascii="Times New Roman" w:hAnsi="Times New Roman"/>
          <w:sz w:val="24"/>
        </w:rPr>
        <w:t xml:space="preserve">, kas ir par </w:t>
      </w:r>
      <w:r>
        <w:rPr>
          <w:rFonts w:ascii="Times New Roman" w:hAnsi="Times New Roman"/>
          <w:sz w:val="24"/>
        </w:rPr>
        <w:t>2</w:t>
      </w:r>
      <w:r w:rsidR="000003FD">
        <w:rPr>
          <w:rFonts w:ascii="Times New Roman" w:hAnsi="Times New Roman"/>
          <w:sz w:val="24"/>
        </w:rPr>
        <w:t xml:space="preserve"> </w:t>
      </w:r>
      <w:r w:rsidRPr="00D95372">
        <w:rPr>
          <w:rFonts w:ascii="Times New Roman" w:hAnsi="Times New Roman"/>
          <w:sz w:val="24"/>
        </w:rPr>
        <w:t>% mazāk, salīdzinot ar iepriekšējo akadēmisko gadu. Laika posmā no 2005./2006.ak.gada, kad bija fiksēts vislielākais studējošo skaits</w:t>
      </w:r>
      <w:r>
        <w:rPr>
          <w:rFonts w:ascii="Times New Roman" w:hAnsi="Times New Roman"/>
          <w:sz w:val="24"/>
        </w:rPr>
        <w:t xml:space="preserve"> (131 072)</w:t>
      </w:r>
      <w:r w:rsidRPr="00D95372">
        <w:rPr>
          <w:rFonts w:ascii="Times New Roman" w:hAnsi="Times New Roman"/>
          <w:sz w:val="24"/>
        </w:rPr>
        <w:t>, līdz 201</w:t>
      </w:r>
      <w:r>
        <w:rPr>
          <w:rFonts w:ascii="Times New Roman" w:hAnsi="Times New Roman"/>
          <w:sz w:val="24"/>
        </w:rPr>
        <w:t>5</w:t>
      </w:r>
      <w:r w:rsidRPr="00D95372">
        <w:rPr>
          <w:rFonts w:ascii="Times New Roman" w:hAnsi="Times New Roman"/>
          <w:sz w:val="24"/>
        </w:rPr>
        <w:t>./201</w:t>
      </w:r>
      <w:r>
        <w:rPr>
          <w:rFonts w:ascii="Times New Roman" w:hAnsi="Times New Roman"/>
          <w:sz w:val="24"/>
        </w:rPr>
        <w:t>6</w:t>
      </w:r>
      <w:r w:rsidRPr="00D95372">
        <w:rPr>
          <w:rFonts w:ascii="Times New Roman" w:hAnsi="Times New Roman"/>
          <w:sz w:val="24"/>
        </w:rPr>
        <w:t>.ak.gadam kopējais studējošo skaits Latvijā ir samazinājies par aptuveni vienu trešo daļu (par 4</w:t>
      </w:r>
      <w:r>
        <w:rPr>
          <w:rFonts w:ascii="Times New Roman" w:hAnsi="Times New Roman"/>
          <w:sz w:val="24"/>
        </w:rPr>
        <w:t>6</w:t>
      </w:r>
      <w:r w:rsidRPr="00D95372">
        <w:rPr>
          <w:rFonts w:ascii="Times New Roman" w:hAnsi="Times New Roman"/>
          <w:sz w:val="24"/>
        </w:rPr>
        <w:t> </w:t>
      </w:r>
      <w:r>
        <w:rPr>
          <w:rFonts w:ascii="Times New Roman" w:hAnsi="Times New Roman"/>
          <w:sz w:val="24"/>
        </w:rPr>
        <w:t>800</w:t>
      </w:r>
      <w:r w:rsidRPr="00D95372">
        <w:rPr>
          <w:rFonts w:ascii="Times New Roman" w:hAnsi="Times New Roman"/>
          <w:sz w:val="24"/>
        </w:rPr>
        <w:t xml:space="preserve"> studentiem jeb </w:t>
      </w:r>
      <w:r>
        <w:rPr>
          <w:rFonts w:ascii="Times New Roman" w:hAnsi="Times New Roman"/>
          <w:sz w:val="24"/>
        </w:rPr>
        <w:t>36</w:t>
      </w:r>
      <w:r w:rsidRPr="00D95372">
        <w:rPr>
          <w:rFonts w:ascii="Times New Roman" w:hAnsi="Times New Roman"/>
          <w:sz w:val="24"/>
        </w:rPr>
        <w:t xml:space="preserve"> %</w:t>
      </w:r>
      <w:r>
        <w:rPr>
          <w:rFonts w:ascii="Times New Roman" w:hAnsi="Times New Roman"/>
          <w:sz w:val="24"/>
        </w:rPr>
        <w:t xml:space="preserve">).  </w:t>
      </w:r>
    </w:p>
    <w:p w:rsidR="00001948" w:rsidRPr="000579B9" w:rsidRDefault="00001948" w:rsidP="00722156">
      <w:pPr>
        <w:pStyle w:val="EYBodytextwithparaspace"/>
        <w:numPr>
          <w:ilvl w:val="0"/>
          <w:numId w:val="1"/>
        </w:numPr>
        <w:tabs>
          <w:tab w:val="clear" w:pos="0"/>
        </w:tabs>
        <w:spacing w:after="120"/>
        <w:jc w:val="both"/>
      </w:pPr>
      <w:r>
        <w:rPr>
          <w:rFonts w:ascii="Times New Roman" w:hAnsi="Times New Roman"/>
          <w:sz w:val="24"/>
        </w:rPr>
        <w:t>Atš</w:t>
      </w:r>
      <w:r w:rsidR="00361CD3">
        <w:rPr>
          <w:rFonts w:ascii="Times New Roman" w:hAnsi="Times New Roman"/>
          <w:sz w:val="24"/>
        </w:rPr>
        <w:t>ķ</w:t>
      </w:r>
      <w:r>
        <w:rPr>
          <w:rFonts w:ascii="Times New Roman" w:hAnsi="Times New Roman"/>
          <w:sz w:val="24"/>
        </w:rPr>
        <w:t>irībā no augstskolām koledžās studējošo skaits kopš 2007./2008.ak.gada ir bijis samērā stabils. Straujāks studējošo skaita samazinājums vērojams</w:t>
      </w:r>
      <w:r w:rsidR="00361CD3">
        <w:rPr>
          <w:rFonts w:ascii="Times New Roman" w:hAnsi="Times New Roman"/>
          <w:sz w:val="24"/>
        </w:rPr>
        <w:t>,</w:t>
      </w:r>
      <w:r>
        <w:rPr>
          <w:rFonts w:ascii="Times New Roman" w:hAnsi="Times New Roman"/>
          <w:sz w:val="24"/>
        </w:rPr>
        <w:t xml:space="preserve"> sākot ar 2014./2015.ak.gadu (skat</w:t>
      </w:r>
      <w:r w:rsidR="00B03774">
        <w:rPr>
          <w:rFonts w:ascii="Times New Roman" w:hAnsi="Times New Roman"/>
          <w:sz w:val="24"/>
        </w:rPr>
        <w:t>.</w:t>
      </w:r>
      <w:r>
        <w:rPr>
          <w:rFonts w:ascii="Times New Roman" w:hAnsi="Times New Roman"/>
          <w:sz w:val="24"/>
        </w:rPr>
        <w:t xml:space="preserve"> </w:t>
      </w:r>
      <w:r w:rsidR="00361CD3">
        <w:rPr>
          <w:rFonts w:ascii="Times New Roman" w:hAnsi="Times New Roman"/>
          <w:sz w:val="24"/>
        </w:rPr>
        <w:t>1.</w:t>
      </w:r>
      <w:r w:rsidR="00B03774">
        <w:rPr>
          <w:rFonts w:ascii="Times New Roman" w:hAnsi="Times New Roman"/>
          <w:sz w:val="24"/>
        </w:rPr>
        <w:t>1</w:t>
      </w:r>
      <w:r w:rsidR="00361CD3">
        <w:rPr>
          <w:rFonts w:ascii="Times New Roman" w:hAnsi="Times New Roman"/>
          <w:sz w:val="24"/>
        </w:rPr>
        <w:t>.</w:t>
      </w:r>
      <w:r>
        <w:rPr>
          <w:rFonts w:ascii="Times New Roman" w:hAnsi="Times New Roman"/>
          <w:sz w:val="24"/>
        </w:rPr>
        <w:t xml:space="preserve"> attēlu). </w:t>
      </w:r>
    </w:p>
    <w:p w:rsidR="000579B9" w:rsidRPr="000579B9" w:rsidRDefault="000579B9" w:rsidP="000579B9">
      <w:pPr>
        <w:pStyle w:val="ListParagraph"/>
        <w:numPr>
          <w:ilvl w:val="2"/>
          <w:numId w:val="1"/>
        </w:numPr>
        <w:ind w:firstLine="709"/>
        <w:rPr>
          <w:szCs w:val="24"/>
        </w:rPr>
      </w:pPr>
      <w:r>
        <w:t xml:space="preserve">2015./2016.ak.gada sākumā Latvijas koledžās </w:t>
      </w:r>
      <w:r w:rsidRPr="000579B9">
        <w:rPr>
          <w:szCs w:val="24"/>
        </w:rPr>
        <w:t>kopā studēja 10 778 studenti,</w:t>
      </w:r>
      <w:r>
        <w:t xml:space="preserve"> </w:t>
      </w:r>
      <w:r w:rsidRPr="000579B9">
        <w:rPr>
          <w:szCs w:val="24"/>
        </w:rPr>
        <w:t>kas ir par 10% mazāk, salīdzinot ar iepriekšējo akadēmisko gadu. Izvērtējot studējošo skaita izmaiņas valsts un privātajās koledžās, redzams, ka straujāks studējošo skaita samazinājums</w:t>
      </w:r>
      <w:r>
        <w:t xml:space="preserve"> </w:t>
      </w:r>
      <w:r w:rsidRPr="000579B9">
        <w:rPr>
          <w:szCs w:val="24"/>
        </w:rPr>
        <w:t>ir bijis privātajās koledžās</w:t>
      </w:r>
      <w:r>
        <w:t xml:space="preserve"> (2015./2016.ak.gadā, </w:t>
      </w:r>
      <w:r w:rsidRPr="000579B9">
        <w:rPr>
          <w:szCs w:val="24"/>
        </w:rPr>
        <w:t>salīdzinot ar iepriekšējo gadu</w:t>
      </w:r>
      <w:r>
        <w:t>,</w:t>
      </w:r>
      <w:r w:rsidRPr="000579B9">
        <w:rPr>
          <w:szCs w:val="24"/>
        </w:rPr>
        <w:t xml:space="preserve"> tas ir samazinājies par 20 %, savukārt valsts koledžās tas ir samazinājies tikai par 2 %</w:t>
      </w:r>
      <w:r>
        <w:t>)</w:t>
      </w:r>
      <w:r w:rsidRPr="000579B9">
        <w:rPr>
          <w:szCs w:val="24"/>
        </w:rPr>
        <w:t>.</w:t>
      </w:r>
      <w:r>
        <w:t xml:space="preserve"> </w:t>
      </w:r>
      <w:r w:rsidRPr="000579B9">
        <w:rPr>
          <w:szCs w:val="24"/>
        </w:rPr>
        <w:t>Tas galvenokārt izskaidrojams ar finansiāliem apstākļiem, - arvien vairāk potenciālo studentu izvēlējās studēt par budžeta līdzekļiem, kas iespējams tikai valsts koledžās.</w:t>
      </w:r>
    </w:p>
    <w:p w:rsidR="000579B9" w:rsidRDefault="000579B9" w:rsidP="00722156">
      <w:pPr>
        <w:pStyle w:val="EYBodytextwithparaspace"/>
        <w:numPr>
          <w:ilvl w:val="0"/>
          <w:numId w:val="1"/>
        </w:numPr>
        <w:tabs>
          <w:tab w:val="clear" w:pos="0"/>
        </w:tabs>
        <w:spacing w:after="120"/>
        <w:jc w:val="both"/>
      </w:pPr>
    </w:p>
    <w:p w:rsidR="009266D1" w:rsidRDefault="009266D1" w:rsidP="00722156">
      <w:pPr>
        <w:pStyle w:val="EYBodytextwithparaspace"/>
        <w:numPr>
          <w:ilvl w:val="7"/>
          <w:numId w:val="1"/>
        </w:numPr>
        <w:tabs>
          <w:tab w:val="clear" w:pos="0"/>
        </w:tabs>
        <w:spacing w:after="120"/>
        <w:jc w:val="right"/>
        <w:rPr>
          <w:rFonts w:ascii="Times New Roman" w:hAnsi="Times New Roman"/>
          <w:sz w:val="24"/>
        </w:rPr>
      </w:pPr>
      <w:r>
        <w:rPr>
          <w:rFonts w:ascii="Times New Roman" w:hAnsi="Times New Roman"/>
          <w:sz w:val="24"/>
        </w:rPr>
        <w:br w:type="page"/>
      </w:r>
    </w:p>
    <w:p w:rsidR="00001948" w:rsidRDefault="00001948" w:rsidP="00722156">
      <w:pPr>
        <w:pStyle w:val="EYBodytextwithparaspace"/>
        <w:numPr>
          <w:ilvl w:val="7"/>
          <w:numId w:val="1"/>
        </w:numPr>
        <w:tabs>
          <w:tab w:val="clear" w:pos="0"/>
        </w:tabs>
        <w:spacing w:after="120"/>
        <w:jc w:val="right"/>
        <w:rPr>
          <w:rFonts w:ascii="Times New Roman" w:hAnsi="Times New Roman"/>
          <w:sz w:val="24"/>
        </w:rPr>
      </w:pPr>
      <w:r>
        <w:rPr>
          <w:rFonts w:ascii="Times New Roman" w:hAnsi="Times New Roman"/>
          <w:sz w:val="24"/>
        </w:rPr>
        <w:lastRenderedPageBreak/>
        <w:t>1.</w:t>
      </w:r>
      <w:r w:rsidR="00B03774">
        <w:rPr>
          <w:rFonts w:ascii="Times New Roman" w:hAnsi="Times New Roman"/>
          <w:sz w:val="24"/>
        </w:rPr>
        <w:t>1</w:t>
      </w:r>
      <w:r>
        <w:rPr>
          <w:rFonts w:ascii="Times New Roman" w:hAnsi="Times New Roman"/>
          <w:sz w:val="24"/>
        </w:rPr>
        <w:t>.attēls</w:t>
      </w:r>
    </w:p>
    <w:p w:rsidR="00001948" w:rsidRDefault="00001948" w:rsidP="001A0156">
      <w:pPr>
        <w:pStyle w:val="EYBodytextwithparaspace"/>
        <w:numPr>
          <w:ilvl w:val="7"/>
          <w:numId w:val="1"/>
        </w:numPr>
        <w:tabs>
          <w:tab w:val="clear" w:pos="0"/>
        </w:tabs>
        <w:spacing w:after="120"/>
        <w:jc w:val="both"/>
      </w:pPr>
      <w:r w:rsidRPr="00976030">
        <w:rPr>
          <w:rFonts w:ascii="Times New Roman" w:hAnsi="Times New Roman"/>
          <w:b/>
          <w:sz w:val="24"/>
        </w:rPr>
        <w:t>Koledžās studējošo skaita izmaiņas 2007./2008</w:t>
      </w:r>
      <w:r w:rsidR="00361CD3" w:rsidRPr="00976030">
        <w:rPr>
          <w:rFonts w:ascii="Times New Roman" w:hAnsi="Times New Roman"/>
          <w:b/>
          <w:sz w:val="24"/>
        </w:rPr>
        <w:t>.</w:t>
      </w:r>
      <w:r w:rsidRPr="00976030">
        <w:rPr>
          <w:rFonts w:ascii="Times New Roman" w:hAnsi="Times New Roman"/>
          <w:b/>
          <w:sz w:val="24"/>
        </w:rPr>
        <w:t xml:space="preserve"> – 2015./2016.</w:t>
      </w:r>
      <w:r w:rsidR="00361CD3" w:rsidRPr="00976030">
        <w:rPr>
          <w:rFonts w:ascii="Times New Roman" w:hAnsi="Times New Roman"/>
          <w:b/>
          <w:sz w:val="24"/>
        </w:rPr>
        <w:t>ak.g.</w:t>
      </w:r>
    </w:p>
    <w:p w:rsidR="00001948" w:rsidRDefault="007B2E4E" w:rsidP="00722156">
      <w:pPr>
        <w:pStyle w:val="EYBodytextwithparaspace"/>
        <w:numPr>
          <w:ilvl w:val="6"/>
          <w:numId w:val="1"/>
        </w:numPr>
        <w:spacing w:after="120"/>
        <w:jc w:val="both"/>
        <w:rPr>
          <w:rFonts w:ascii="Times New Roman" w:hAnsi="Times New Roman"/>
          <w:sz w:val="24"/>
        </w:rPr>
      </w:pPr>
      <w:r>
        <w:rPr>
          <w:noProof/>
          <w:lang w:eastAsia="lv-LV"/>
        </w:rPr>
        <w:drawing>
          <wp:inline distT="0" distB="0" distL="0" distR="0">
            <wp:extent cx="5305425" cy="26670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1948" w:rsidRPr="008807FF" w:rsidRDefault="00001948" w:rsidP="00722156">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rsidR="00001948" w:rsidRPr="00120654" w:rsidRDefault="00001948" w:rsidP="00722156">
      <w:pPr>
        <w:pStyle w:val="EYBodytextwithparaspace"/>
        <w:numPr>
          <w:ilvl w:val="0"/>
          <w:numId w:val="1"/>
        </w:numPr>
        <w:tabs>
          <w:tab w:val="clear" w:pos="0"/>
        </w:tabs>
        <w:spacing w:after="120"/>
        <w:jc w:val="both"/>
        <w:rPr>
          <w:rFonts w:ascii="Times New Roman" w:hAnsi="Times New Roman"/>
          <w:b/>
          <w:sz w:val="24"/>
        </w:rPr>
      </w:pPr>
    </w:p>
    <w:p w:rsidR="00D42476" w:rsidRDefault="00D42476" w:rsidP="00B03774">
      <w:pPr>
        <w:ind w:firstLine="720"/>
      </w:pPr>
      <w:r>
        <w:t>Koledžās uzņemto studentu skaitu un tā dinamiku ietekmē dzimstības rādītāji (konkrētajā gadā dzimušo bērnu skaits), tomēr šī ietekme nav tik tieša, kā vispārējās vidējās un profesionālās izglītības iestādēs, kur mācības pamatā uzsāk jaunieši 16 gadu vecumā.</w:t>
      </w:r>
      <w:r w:rsidRPr="0020578E">
        <w:t xml:space="preserve"> </w:t>
      </w:r>
    </w:p>
    <w:p w:rsidR="00820F72" w:rsidRDefault="00576ACD" w:rsidP="00B03774">
      <w:pPr>
        <w:ind w:firstLine="720"/>
      </w:pPr>
      <w:r>
        <w:t>Izvērtējot demogrāfisko faktoru ietekmi uz studējošo skaita izmaiņām koledžās, jāņem vērā fakts, ka kopumā koledžās ir salīdzinoši liels nepilna laika studējošo īpatsvars, kas studijas uzsāk vēlākos savas dzīves posmos. IZM dati liecina, ka 2015./2016.ak.gadā nepilna laika studijās reģistrēti 4786 studenti jeb 44</w:t>
      </w:r>
      <w:r w:rsidR="000003FD">
        <w:t xml:space="preserve"> </w:t>
      </w:r>
      <w:r>
        <w:t xml:space="preserve">% no kopējā koledžās studējošo skaita (augstskolās nepilna laika studējošo īpatsvars ir tikai 24%). 2015./2016.ak.gadā koledžās studējošo </w:t>
      </w:r>
      <w:r w:rsidRPr="007D6C7C">
        <w:t xml:space="preserve">vecuma struktūra rāda, ka </w:t>
      </w:r>
      <w:r>
        <w:t>katrs trešais students (36</w:t>
      </w:r>
      <w:r w:rsidR="000003FD">
        <w:t xml:space="preserve"> </w:t>
      </w:r>
      <w:r>
        <w:t>%) ir vecuma posmā virs 29 gadiem, bet tikai 15</w:t>
      </w:r>
      <w:r w:rsidR="000003FD">
        <w:t xml:space="preserve"> </w:t>
      </w:r>
      <w:r>
        <w:t>% ir vecuma posmā līdz 20 gadiem.</w:t>
      </w:r>
    </w:p>
    <w:p w:rsidR="00B03774" w:rsidRDefault="00B03774">
      <w:pPr>
        <w:ind w:firstLine="720"/>
      </w:pPr>
    </w:p>
    <w:p w:rsidR="00576ACD" w:rsidRDefault="000D5FE1" w:rsidP="00576ACD">
      <w:pPr>
        <w:pStyle w:val="ListParagraph"/>
        <w:jc w:val="right"/>
      </w:pPr>
      <w:r>
        <w:t>1.</w:t>
      </w:r>
      <w:r w:rsidR="00B03774">
        <w:t>2</w:t>
      </w:r>
      <w:r>
        <w:t>.</w:t>
      </w:r>
      <w:r w:rsidR="00576ACD">
        <w:t xml:space="preserve">attēls </w:t>
      </w:r>
    </w:p>
    <w:p w:rsidR="00576ACD" w:rsidRDefault="00576ACD" w:rsidP="001A0156">
      <w:pPr>
        <w:pStyle w:val="ListParagraph"/>
        <w:numPr>
          <w:ilvl w:val="0"/>
          <w:numId w:val="1"/>
        </w:numPr>
        <w:spacing w:after="120"/>
        <w:jc w:val="center"/>
      </w:pPr>
      <w:r w:rsidRPr="00B03774">
        <w:rPr>
          <w:b/>
        </w:rPr>
        <w:t>Koledžās studējošo vecuma struktūra 2015./2016.ak.gadā</w:t>
      </w:r>
    </w:p>
    <w:p w:rsidR="00CC75B4" w:rsidRDefault="00622517">
      <w:pPr>
        <w:spacing w:after="120"/>
      </w:pPr>
      <w:r>
        <w:rPr>
          <w:noProof/>
          <w:lang w:eastAsia="lv-LV"/>
        </w:rPr>
        <w:drawing>
          <wp:anchor distT="0" distB="0" distL="114300" distR="114300" simplePos="0" relativeHeight="251658240" behindDoc="0" locked="0" layoutInCell="1" allowOverlap="1">
            <wp:simplePos x="0" y="0"/>
            <wp:positionH relativeFrom="column">
              <wp:posOffset>453390</wp:posOffset>
            </wp:positionH>
            <wp:positionV relativeFrom="paragraph">
              <wp:posOffset>3810</wp:posOffset>
            </wp:positionV>
            <wp:extent cx="4895850" cy="1866900"/>
            <wp:effectExtent l="0" t="0" r="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522A4" w:rsidRPr="008807FF" w:rsidRDefault="009522A4" w:rsidP="00722156">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rsidR="000579B9" w:rsidRDefault="000579B9">
      <w:pPr>
        <w:ind w:firstLine="720"/>
      </w:pPr>
    </w:p>
    <w:p w:rsidR="00820F72" w:rsidRDefault="00576ACD">
      <w:pPr>
        <w:ind w:firstLine="720"/>
      </w:pPr>
      <w:r>
        <w:t xml:space="preserve">Tas nozīmē, ka 1990. gadu sākumā vērojamās “demogrāfiskās bedres” ietekme uz koledžas studējošo skaita izmaiņām nākamajos gados </w:t>
      </w:r>
      <w:r w:rsidR="003C1549">
        <w:t xml:space="preserve">būs jūtama, tomēr tā </w:t>
      </w:r>
      <w:r>
        <w:t xml:space="preserve">nebūs tik tieša, kā vispārējās vidējās un profesionālās izglītības iestādēs. </w:t>
      </w:r>
    </w:p>
    <w:p w:rsidR="00820F72" w:rsidRDefault="00576ACD">
      <w:pPr>
        <w:ind w:firstLine="720"/>
      </w:pPr>
      <w:r w:rsidRPr="00F304CE">
        <w:t xml:space="preserve">Arī attiecībā uz koledžās imatrikulētajiem studentiem IZM apkopotā informācija liecina, ka studijas koledžās pamatā uzsāk tās personas, kas vidējo izglītību ieguvušas </w:t>
      </w:r>
      <w:r w:rsidRPr="00F304CE">
        <w:lastRenderedPageBreak/>
        <w:t xml:space="preserve">iepriekšējos gados, nevis tajā gadā, kad absolvēta vidusskola vai profesionālās izglītības iestāde. </w:t>
      </w:r>
      <w:r w:rsidRPr="00760BEF">
        <w:rPr>
          <w:szCs w:val="24"/>
        </w:rPr>
        <w:t xml:space="preserve">No kopējā imatrikulēto studentu skaita tikai 836 personas jeb </w:t>
      </w:r>
      <w:r w:rsidRPr="00463354">
        <w:t>25</w:t>
      </w:r>
      <w:r w:rsidR="00CA186A">
        <w:t> </w:t>
      </w:r>
      <w:r w:rsidRPr="00F304CE">
        <w:t xml:space="preserve">% no kopējā skaita ir absolvējuši vidusskolu vai profesionālās izglītības iestādi tajā pašā, tas ir </w:t>
      </w:r>
      <w:r w:rsidRPr="00F1154C">
        <w:t>201</w:t>
      </w:r>
      <w:r w:rsidRPr="00463354">
        <w:t>5</w:t>
      </w:r>
      <w:r w:rsidRPr="00F304CE">
        <w:t>.gadā (jāatzīmē, ka 2011./2012.ak.gadā šis rādītājs bija 50</w:t>
      </w:r>
      <w:r w:rsidR="000003FD">
        <w:t xml:space="preserve"> </w:t>
      </w:r>
      <w:r w:rsidRPr="00F304CE">
        <w:t>%).</w:t>
      </w:r>
      <w:r>
        <w:t xml:space="preserve"> Izvērtējot koledžās imatrikulēto studentu sadalījumu pēc iepriekš iegūtās izglītības, redzams, ka lielākā daļa </w:t>
      </w:r>
      <w:r>
        <w:rPr>
          <w:szCs w:val="24"/>
        </w:rPr>
        <w:t>studentu</w:t>
      </w:r>
      <w:r w:rsidRPr="00760BEF">
        <w:rPr>
          <w:szCs w:val="24"/>
        </w:rPr>
        <w:t xml:space="preserve"> ir ar vispārējo vidējo izglītību</w:t>
      </w:r>
      <w:r>
        <w:rPr>
          <w:szCs w:val="24"/>
        </w:rPr>
        <w:t xml:space="preserve"> (62</w:t>
      </w:r>
      <w:r w:rsidR="000003FD">
        <w:rPr>
          <w:szCs w:val="24"/>
        </w:rPr>
        <w:t xml:space="preserve"> </w:t>
      </w:r>
      <w:r>
        <w:rPr>
          <w:szCs w:val="24"/>
        </w:rPr>
        <w:t>%), vienlaikus jāatzīmē, ka salīdzinoši liels ir imatrikulēto īpatsvars ar augstāko izglītību (12</w:t>
      </w:r>
      <w:r w:rsidR="000003FD">
        <w:rPr>
          <w:szCs w:val="24"/>
        </w:rPr>
        <w:t xml:space="preserve"> </w:t>
      </w:r>
      <w:r>
        <w:rPr>
          <w:szCs w:val="24"/>
        </w:rPr>
        <w:t>%).</w:t>
      </w:r>
    </w:p>
    <w:p w:rsidR="00576ACD" w:rsidRDefault="000D5FE1" w:rsidP="00722156">
      <w:pPr>
        <w:pStyle w:val="ListParagraph"/>
        <w:numPr>
          <w:ilvl w:val="0"/>
          <w:numId w:val="1"/>
        </w:numPr>
        <w:spacing w:after="120"/>
        <w:jc w:val="right"/>
      </w:pPr>
      <w:r>
        <w:t>1.</w:t>
      </w:r>
      <w:r w:rsidR="00B03774">
        <w:t>3</w:t>
      </w:r>
      <w:r>
        <w:t>.</w:t>
      </w:r>
      <w:r w:rsidR="00576ACD">
        <w:t>attēls</w:t>
      </w:r>
    </w:p>
    <w:p w:rsidR="00576ACD" w:rsidRPr="00B03774" w:rsidRDefault="00576ACD" w:rsidP="00722156">
      <w:pPr>
        <w:pStyle w:val="ListParagraph"/>
        <w:numPr>
          <w:ilvl w:val="0"/>
          <w:numId w:val="1"/>
        </w:numPr>
        <w:spacing w:after="120"/>
        <w:jc w:val="center"/>
        <w:rPr>
          <w:b/>
        </w:rPr>
      </w:pPr>
      <w:r w:rsidRPr="00B03774">
        <w:rPr>
          <w:b/>
        </w:rPr>
        <w:t>Koledžās imatrikulēto studentu sadalījums pēc iepriekš iegūtās izglītības 2015./2016.ak.gadā</w:t>
      </w:r>
    </w:p>
    <w:p w:rsidR="00576ACD" w:rsidRDefault="007B2E4E" w:rsidP="00722156">
      <w:pPr>
        <w:pStyle w:val="ListParagraph"/>
        <w:numPr>
          <w:ilvl w:val="0"/>
          <w:numId w:val="1"/>
        </w:numPr>
        <w:spacing w:after="120"/>
      </w:pPr>
      <w:r>
        <w:rPr>
          <w:noProof/>
          <w:lang w:eastAsia="lv-LV"/>
        </w:rPr>
        <w:drawing>
          <wp:inline distT="0" distB="0" distL="0" distR="0">
            <wp:extent cx="4800600" cy="184785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22A4" w:rsidRPr="008807FF" w:rsidRDefault="009522A4" w:rsidP="00722156">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rsidR="00576ACD" w:rsidRDefault="00576ACD" w:rsidP="00722156">
      <w:pPr>
        <w:pStyle w:val="ListParagraph"/>
        <w:numPr>
          <w:ilvl w:val="0"/>
          <w:numId w:val="1"/>
        </w:numPr>
        <w:spacing w:after="120"/>
      </w:pPr>
    </w:p>
    <w:p w:rsidR="00CD7815" w:rsidRDefault="00AD0BF9" w:rsidP="00B03774">
      <w:pPr>
        <w:ind w:firstLine="720"/>
        <w:rPr>
          <w:szCs w:val="24"/>
        </w:rPr>
      </w:pPr>
      <w:r w:rsidRPr="0026400F">
        <w:rPr>
          <w:szCs w:val="24"/>
        </w:rPr>
        <w:t xml:space="preserve">Attiecībā uz iedzīvotāju demogrāfijas procesiem, kas ietekmē studējošo skaitu koledžās, ir jāņem vērā arī migrācijas procesi, gan ilgtermiņa emigrācija uz ārvalstīm, gan iekšējā migrācija. </w:t>
      </w:r>
      <w:r w:rsidR="0026400F" w:rsidRPr="0026400F">
        <w:rPr>
          <w:szCs w:val="24"/>
        </w:rPr>
        <w:t>Pēc Centrālās statistikas pārvaldes datiem</w:t>
      </w:r>
      <w:r w:rsidR="0026400F" w:rsidRPr="0026400F">
        <w:rPr>
          <w:rStyle w:val="FootnoteReference"/>
          <w:szCs w:val="24"/>
        </w:rPr>
        <w:footnoteReference w:id="10"/>
      </w:r>
      <w:r w:rsidR="0026400F" w:rsidRPr="0026400F">
        <w:rPr>
          <w:szCs w:val="24"/>
        </w:rPr>
        <w:t xml:space="preserve"> starp emigrējušajiem iedzīvotājiem </w:t>
      </w:r>
      <w:r w:rsidR="0026400F" w:rsidRPr="0052789D">
        <w:rPr>
          <w:szCs w:val="24"/>
        </w:rPr>
        <w:t>2013.gadā</w:t>
      </w:r>
      <w:r w:rsidR="0026400F" w:rsidRPr="0026400F">
        <w:rPr>
          <w:szCs w:val="24"/>
        </w:rPr>
        <w:t xml:space="preserve"> augstākais īpatsvars </w:t>
      </w:r>
      <w:r w:rsidR="0026400F">
        <w:rPr>
          <w:szCs w:val="24"/>
        </w:rPr>
        <w:t>(37,5</w:t>
      </w:r>
      <w:r w:rsidR="00CA186A">
        <w:rPr>
          <w:szCs w:val="24"/>
        </w:rPr>
        <w:t> </w:t>
      </w:r>
      <w:r w:rsidR="0026400F">
        <w:rPr>
          <w:szCs w:val="24"/>
        </w:rPr>
        <w:t xml:space="preserve">% no kopējā emigrantu skaita) </w:t>
      </w:r>
      <w:r w:rsidR="0026400F" w:rsidRPr="0026400F">
        <w:rPr>
          <w:szCs w:val="24"/>
        </w:rPr>
        <w:t>bija vecuma grupā no 15 – 29 gadiem, kas ir arī koledžu reflektantu potenciālā mērķauditorija</w:t>
      </w:r>
      <w:r w:rsidR="0026400F">
        <w:rPr>
          <w:szCs w:val="24"/>
        </w:rPr>
        <w:t xml:space="preserve">. </w:t>
      </w:r>
      <w:r w:rsidR="0095033E" w:rsidRPr="0095033E">
        <w:rPr>
          <w:szCs w:val="24"/>
        </w:rPr>
        <w:t>Lai gan pēdējo gadu laikā emigrējošo jauniešu skaitam ir tendence samazināties, to īpatsvars attiecīgajā demogrāfiskajā grupā joprojām ir pietiekami nozīmīgs</w:t>
      </w:r>
      <w:r w:rsidR="00CD7815">
        <w:rPr>
          <w:szCs w:val="24"/>
        </w:rPr>
        <w:t xml:space="preserve">. </w:t>
      </w:r>
      <w:r w:rsidR="00CD7815" w:rsidRPr="0026400F">
        <w:rPr>
          <w:szCs w:val="24"/>
        </w:rPr>
        <w:t xml:space="preserve">Līdz ar to var secināt, ka koledžās studējošo skaits </w:t>
      </w:r>
      <w:r w:rsidR="00CD7815">
        <w:rPr>
          <w:szCs w:val="24"/>
        </w:rPr>
        <w:t xml:space="preserve">tuvāko gadu laikā varētu </w:t>
      </w:r>
      <w:r w:rsidR="002A60F4">
        <w:rPr>
          <w:szCs w:val="24"/>
        </w:rPr>
        <w:t xml:space="preserve">turpināt </w:t>
      </w:r>
      <w:r w:rsidR="00CD7815">
        <w:rPr>
          <w:szCs w:val="24"/>
        </w:rPr>
        <w:t>nedaudz samazināties</w:t>
      </w:r>
      <w:r w:rsidR="00D92155">
        <w:rPr>
          <w:szCs w:val="24"/>
        </w:rPr>
        <w:t>.</w:t>
      </w:r>
      <w:r w:rsidR="00CD7815">
        <w:rPr>
          <w:szCs w:val="24"/>
        </w:rPr>
        <w:t xml:space="preserve"> </w:t>
      </w:r>
    </w:p>
    <w:p w:rsidR="00AD0BF9" w:rsidRDefault="00CD7815" w:rsidP="00B03774">
      <w:pPr>
        <w:ind w:firstLine="720"/>
        <w:rPr>
          <w:iCs/>
          <w:szCs w:val="24"/>
        </w:rPr>
      </w:pPr>
      <w:r>
        <w:rPr>
          <w:szCs w:val="24"/>
        </w:rPr>
        <w:t xml:space="preserve">Jāatzīmē, ka </w:t>
      </w:r>
      <w:r w:rsidRPr="00CD7815">
        <w:rPr>
          <w:iCs/>
          <w:szCs w:val="24"/>
        </w:rPr>
        <w:t>studentu skaita izmaiņas ietekmē ne tikai demogrāfija</w:t>
      </w:r>
      <w:r>
        <w:rPr>
          <w:iCs/>
          <w:szCs w:val="24"/>
        </w:rPr>
        <w:t>s procesi</w:t>
      </w:r>
      <w:r w:rsidRPr="00CD7815">
        <w:rPr>
          <w:iCs/>
          <w:szCs w:val="24"/>
        </w:rPr>
        <w:t>, be</w:t>
      </w:r>
      <w:r>
        <w:rPr>
          <w:iCs/>
          <w:szCs w:val="24"/>
        </w:rPr>
        <w:t>t</w:t>
      </w:r>
      <w:r w:rsidRPr="00CD7815">
        <w:rPr>
          <w:iCs/>
          <w:szCs w:val="24"/>
        </w:rPr>
        <w:t xml:space="preserve"> arī koledž</w:t>
      </w:r>
      <w:r>
        <w:rPr>
          <w:iCs/>
          <w:szCs w:val="24"/>
        </w:rPr>
        <w:t>ās</w:t>
      </w:r>
      <w:r w:rsidRPr="00CD7815">
        <w:rPr>
          <w:iCs/>
          <w:szCs w:val="24"/>
        </w:rPr>
        <w:t xml:space="preserve"> īstenotie projekti, </w:t>
      </w:r>
      <w:r>
        <w:rPr>
          <w:iCs/>
          <w:szCs w:val="24"/>
        </w:rPr>
        <w:t xml:space="preserve">mārketinga aktivitātes, </w:t>
      </w:r>
      <w:r w:rsidRPr="00CD7815">
        <w:rPr>
          <w:iCs/>
          <w:szCs w:val="24"/>
        </w:rPr>
        <w:t>stipendiju programmas u</w:t>
      </w:r>
      <w:r>
        <w:rPr>
          <w:iCs/>
          <w:szCs w:val="24"/>
        </w:rPr>
        <w:t xml:space="preserve">.c. </w:t>
      </w:r>
    </w:p>
    <w:p w:rsidR="00D42476" w:rsidRDefault="00D42476" w:rsidP="00D42476">
      <w:r>
        <w:tab/>
      </w:r>
    </w:p>
    <w:p w:rsidR="00D42476" w:rsidRPr="00295D20" w:rsidRDefault="00D42476" w:rsidP="00295D20">
      <w:pPr>
        <w:pStyle w:val="Heading2"/>
      </w:pPr>
      <w:bookmarkStart w:id="9" w:name="_Toc445290188"/>
      <w:r w:rsidRPr="00295D20">
        <w:t xml:space="preserve">1.2. </w:t>
      </w:r>
      <w:r w:rsidR="008D6FCC" w:rsidRPr="00295D20">
        <w:t>Koledžu reģionālais izvietojums un to piedāvāto programmu atbilstība reģiona attīstības vajadzībām</w:t>
      </w:r>
      <w:bookmarkEnd w:id="9"/>
    </w:p>
    <w:p w:rsidR="008D6FCC" w:rsidRPr="00D42476" w:rsidRDefault="008D6FCC" w:rsidP="008D6FCC">
      <w:pPr>
        <w:autoSpaceDE w:val="0"/>
        <w:autoSpaceDN w:val="0"/>
        <w:adjustRightInd w:val="0"/>
        <w:ind w:left="113" w:right="113" w:firstLine="607"/>
        <w:jc w:val="center"/>
        <w:rPr>
          <w:color w:val="365F91" w:themeColor="accent1" w:themeShade="BF"/>
          <w:szCs w:val="24"/>
        </w:rPr>
      </w:pPr>
    </w:p>
    <w:p w:rsidR="00D42476" w:rsidRPr="00C274FD" w:rsidRDefault="00D42476" w:rsidP="000423B7">
      <w:pPr>
        <w:ind w:firstLine="720"/>
        <w:rPr>
          <w:b/>
          <w:szCs w:val="24"/>
        </w:rPr>
      </w:pPr>
      <w:r w:rsidRPr="00C274FD">
        <w:rPr>
          <w:szCs w:val="24"/>
        </w:rPr>
        <w:t>Izglītības iestāžu</w:t>
      </w:r>
      <w:r>
        <w:rPr>
          <w:szCs w:val="24"/>
        </w:rPr>
        <w:t>, tajā skaitā koledžu,</w:t>
      </w:r>
      <w:r w:rsidRPr="00C274FD">
        <w:rPr>
          <w:szCs w:val="24"/>
        </w:rPr>
        <w:t xml:space="preserve"> teritoriālais izvietojums ir svarīgs arī reģionālās attīstības kontekstā, lai nodrošinātu </w:t>
      </w:r>
      <w:proofErr w:type="spellStart"/>
      <w:r w:rsidRPr="00C274FD">
        <w:rPr>
          <w:szCs w:val="24"/>
        </w:rPr>
        <w:t>cilvēk</w:t>
      </w:r>
      <w:r w:rsidR="006C4693">
        <w:rPr>
          <w:szCs w:val="24"/>
        </w:rPr>
        <w:t>kapitāla</w:t>
      </w:r>
      <w:proofErr w:type="spellEnd"/>
      <w:r w:rsidRPr="00C274FD">
        <w:rPr>
          <w:szCs w:val="24"/>
        </w:rPr>
        <w:t xml:space="preserve"> attīstību reģionos, nodrošinātu</w:t>
      </w:r>
      <w:r w:rsidR="006C4693">
        <w:rPr>
          <w:szCs w:val="24"/>
        </w:rPr>
        <w:t xml:space="preserve"> izglītības pieejamību un</w:t>
      </w:r>
      <w:r w:rsidRPr="00C274FD">
        <w:rPr>
          <w:szCs w:val="24"/>
        </w:rPr>
        <w:t xml:space="preserve"> darbaspēku reģiona tautsaimniecības attīstībai</w:t>
      </w:r>
      <w:r>
        <w:rPr>
          <w:szCs w:val="24"/>
        </w:rPr>
        <w:t>.</w:t>
      </w:r>
      <w:r w:rsidRPr="00C274FD">
        <w:rPr>
          <w:rStyle w:val="FootnoteReference"/>
          <w:szCs w:val="24"/>
        </w:rPr>
        <w:footnoteReference w:id="11"/>
      </w:r>
    </w:p>
    <w:p w:rsidR="00723D60" w:rsidRPr="00723D60" w:rsidRDefault="00723D60" w:rsidP="000423B7">
      <w:pPr>
        <w:pStyle w:val="CommentText"/>
        <w:ind w:firstLine="720"/>
        <w:rPr>
          <w:sz w:val="24"/>
          <w:szCs w:val="24"/>
        </w:rPr>
      </w:pPr>
      <w:r w:rsidRPr="00723D60">
        <w:rPr>
          <w:sz w:val="24"/>
          <w:szCs w:val="24"/>
        </w:rPr>
        <w:t xml:space="preserve">Gan valsts, gan reģiona interesēs ir kvalificēta darbaspēka nodrošināšana ilgtermiņā, plānojot izglītības programmas tā, lai jebkura izglītības līmeņa absolventi spētu vienkārši un ātri iekļauties darba tirgū, bet darba devējs </w:t>
      </w:r>
      <w:r w:rsidR="00CA186A">
        <w:rPr>
          <w:sz w:val="24"/>
          <w:szCs w:val="24"/>
        </w:rPr>
        <w:t>–</w:t>
      </w:r>
      <w:r w:rsidRPr="00723D60">
        <w:rPr>
          <w:sz w:val="24"/>
          <w:szCs w:val="24"/>
        </w:rPr>
        <w:t xml:space="preserve"> saņemt speciālistu, kura </w:t>
      </w:r>
      <w:r w:rsidR="006C4693">
        <w:rPr>
          <w:sz w:val="24"/>
          <w:szCs w:val="24"/>
        </w:rPr>
        <w:t xml:space="preserve">kompetences ir ne tikai </w:t>
      </w:r>
      <w:r w:rsidRPr="00723D60">
        <w:rPr>
          <w:sz w:val="24"/>
          <w:szCs w:val="24"/>
        </w:rPr>
        <w:t>pietiekamas un adekvātas karjeras uzsākšanai konkrētajā jomā</w:t>
      </w:r>
      <w:r w:rsidR="006C4693">
        <w:rPr>
          <w:sz w:val="24"/>
          <w:szCs w:val="24"/>
        </w:rPr>
        <w:t>, bet var nodrošināt jomas izaugsmi atbilstoši viedās specializācijas stratēģija</w:t>
      </w:r>
      <w:r w:rsidR="009948E4">
        <w:rPr>
          <w:sz w:val="24"/>
          <w:szCs w:val="24"/>
        </w:rPr>
        <w:t>s</w:t>
      </w:r>
      <w:r w:rsidR="006C4693">
        <w:rPr>
          <w:sz w:val="24"/>
          <w:szCs w:val="24"/>
        </w:rPr>
        <w:t xml:space="preserve"> nostādnēm</w:t>
      </w:r>
      <w:r w:rsidRPr="00723D60">
        <w:rPr>
          <w:sz w:val="24"/>
          <w:szCs w:val="24"/>
        </w:rPr>
        <w:t>.</w:t>
      </w:r>
    </w:p>
    <w:p w:rsidR="002D1AE4" w:rsidRPr="00E52F72" w:rsidRDefault="002D1AE4" w:rsidP="00722156">
      <w:pPr>
        <w:numPr>
          <w:ilvl w:val="0"/>
          <w:numId w:val="1"/>
        </w:numPr>
        <w:shd w:val="clear" w:color="auto" w:fill="FFFFFF"/>
        <w:tabs>
          <w:tab w:val="clear" w:pos="0"/>
          <w:tab w:val="num" w:pos="709"/>
        </w:tabs>
        <w:rPr>
          <w:bCs/>
        </w:rPr>
      </w:pPr>
      <w:r w:rsidRPr="0008360A">
        <w:t>No koledžu kopskaita 2</w:t>
      </w:r>
      <w:r>
        <w:t>1</w:t>
      </w:r>
      <w:r w:rsidRPr="0008360A">
        <w:t xml:space="preserve"> koledža</w:t>
      </w:r>
      <w:r>
        <w:t xml:space="preserve"> </w:t>
      </w:r>
      <w:r w:rsidRPr="007E4EFE">
        <w:t>(</w:t>
      </w:r>
      <w:r w:rsidRPr="001350B8">
        <w:t>12</w:t>
      </w:r>
      <w:r w:rsidRPr="007E4EFE">
        <w:t xml:space="preserve"> </w:t>
      </w:r>
      <w:r>
        <w:t>valsts un visas privātās koledžas)</w:t>
      </w:r>
      <w:r w:rsidRPr="00331687">
        <w:t xml:space="preserve"> atrodas Rīgā un </w:t>
      </w:r>
      <w:r>
        <w:t>Rī</w:t>
      </w:r>
      <w:r w:rsidRPr="00331687">
        <w:t>gas reģionā, 3</w:t>
      </w:r>
      <w:r w:rsidR="00CA186A">
        <w:t xml:space="preserve"> </w:t>
      </w:r>
      <w:r w:rsidR="00CA186A" w:rsidRPr="00331687">
        <w:t>–</w:t>
      </w:r>
      <w:r w:rsidRPr="00331687">
        <w:t xml:space="preserve"> Latgales reģionā, 1 – Zemgales un 1 </w:t>
      </w:r>
      <w:r w:rsidR="00704BED" w:rsidRPr="00331687">
        <w:t>–</w:t>
      </w:r>
      <w:r w:rsidRPr="00331687">
        <w:t xml:space="preserve"> Kurzem</w:t>
      </w:r>
      <w:r w:rsidRPr="00E97617">
        <w:t>es reģionā.</w:t>
      </w:r>
      <w:r>
        <w:t xml:space="preserve"> 3 valsts </w:t>
      </w:r>
      <w:r>
        <w:lastRenderedPageBreak/>
        <w:t>koledžas un 1 privātā koledža īsteno studiju programmas arī to filiālēs. 1.</w:t>
      </w:r>
      <w:r w:rsidR="00B03774">
        <w:t>4</w:t>
      </w:r>
      <w:r>
        <w:t>.attēlā atspoguļots koledžu un to filiāļu izvietojums un sadalījums pēc studējošo skaita.</w:t>
      </w:r>
    </w:p>
    <w:p w:rsidR="002D1AE4" w:rsidRDefault="002D1AE4" w:rsidP="002D1AE4">
      <w:pPr>
        <w:pStyle w:val="NormalWeb"/>
        <w:shd w:val="clear" w:color="auto" w:fill="FFFFFF"/>
        <w:spacing w:before="0" w:beforeAutospacing="0" w:after="0" w:afterAutospacing="0"/>
        <w:jc w:val="right"/>
        <w:rPr>
          <w:bCs/>
        </w:rPr>
      </w:pPr>
      <w:r>
        <w:rPr>
          <w:bCs/>
        </w:rPr>
        <w:t>1.</w:t>
      </w:r>
      <w:r w:rsidR="00B03774">
        <w:rPr>
          <w:bCs/>
        </w:rPr>
        <w:t xml:space="preserve">4. </w:t>
      </w:r>
      <w:r>
        <w:rPr>
          <w:bCs/>
        </w:rPr>
        <w:t>attēls</w:t>
      </w:r>
    </w:p>
    <w:p w:rsidR="002D1AE4" w:rsidRPr="00B03774" w:rsidRDefault="00B03774" w:rsidP="00B03774">
      <w:pPr>
        <w:pStyle w:val="NormalWeb"/>
        <w:shd w:val="clear" w:color="auto" w:fill="FFFFFF"/>
        <w:spacing w:before="0" w:beforeAutospacing="0" w:after="0" w:afterAutospacing="0"/>
        <w:jc w:val="center"/>
        <w:rPr>
          <w:b/>
          <w:bCs/>
        </w:rPr>
      </w:pPr>
      <w:r w:rsidRPr="00B03774">
        <w:rPr>
          <w:b/>
          <w:bCs/>
        </w:rPr>
        <w:t>Koledžu un to filiāļu teritoriālais izvietojums</w:t>
      </w:r>
    </w:p>
    <w:p w:rsidR="002D1AE4" w:rsidRDefault="002D1AE4" w:rsidP="002D1AE4">
      <w:pPr>
        <w:pStyle w:val="NormalWeb"/>
        <w:shd w:val="clear" w:color="auto" w:fill="FFFFFF"/>
        <w:spacing w:before="0" w:beforeAutospacing="0" w:after="0" w:afterAutospacing="0"/>
        <w:jc w:val="right"/>
        <w:rPr>
          <w:bCs/>
        </w:rPr>
      </w:pPr>
      <w:r w:rsidRPr="0017216A">
        <w:rPr>
          <w:bCs/>
          <w:noProof/>
        </w:rPr>
        <w:drawing>
          <wp:inline distT="0" distB="0" distL="0" distR="0">
            <wp:extent cx="6305550" cy="4476750"/>
            <wp:effectExtent l="0" t="0" r="0" b="0"/>
            <wp:docPr id="5" name="Picture 5" descr="C:\Users\vesma.abizare-vagre\AppData\Local\Microsoft\Windows\INetCache\Content.Outlook\DRAAL3TM\koledzas0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sma.abizare-vagre\AppData\Local\Microsoft\Windows\INetCache\Content.Outlook\DRAAL3TM\koledzas011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5771" cy="4476907"/>
                    </a:xfrm>
                    <a:prstGeom prst="rect">
                      <a:avLst/>
                    </a:prstGeom>
                    <a:noFill/>
                    <a:ln>
                      <a:noFill/>
                    </a:ln>
                  </pic:spPr>
                </pic:pic>
              </a:graphicData>
            </a:graphic>
          </wp:inline>
        </w:drawing>
      </w:r>
    </w:p>
    <w:p w:rsidR="002D1AE4" w:rsidRDefault="002D1AE4" w:rsidP="002D1AE4">
      <w:pPr>
        <w:pStyle w:val="NormalWeb"/>
        <w:shd w:val="clear" w:color="auto" w:fill="FFFFFF"/>
        <w:spacing w:before="0" w:beforeAutospacing="0" w:after="0" w:afterAutospacing="0"/>
        <w:jc w:val="both"/>
        <w:rPr>
          <w:bCs/>
        </w:rPr>
      </w:pPr>
    </w:p>
    <w:p w:rsidR="002D1AE4" w:rsidRDefault="002D1AE4" w:rsidP="000423B7">
      <w:pPr>
        <w:pStyle w:val="CommentText"/>
        <w:ind w:firstLine="720"/>
        <w:rPr>
          <w:sz w:val="24"/>
          <w:szCs w:val="24"/>
        </w:rPr>
      </w:pPr>
    </w:p>
    <w:p w:rsidR="002D1AE4" w:rsidRDefault="002D1AE4" w:rsidP="000423B7">
      <w:pPr>
        <w:pStyle w:val="CommentText"/>
        <w:ind w:firstLine="720"/>
        <w:rPr>
          <w:sz w:val="24"/>
          <w:szCs w:val="24"/>
        </w:rPr>
      </w:pPr>
    </w:p>
    <w:p w:rsidR="00D42476" w:rsidRPr="001647DA" w:rsidRDefault="001647DA" w:rsidP="000423B7">
      <w:pPr>
        <w:pStyle w:val="CommentText"/>
        <w:ind w:firstLine="720"/>
        <w:rPr>
          <w:sz w:val="24"/>
          <w:szCs w:val="24"/>
        </w:rPr>
      </w:pPr>
      <w:r w:rsidRPr="001647DA">
        <w:rPr>
          <w:sz w:val="24"/>
          <w:szCs w:val="24"/>
        </w:rPr>
        <w:t>Koledžām ir nozīmīga loma augstākās izglītības pieejamības veicināšanai reģionos, jo attiecībā uz koledžu izvēli lielu lomu spēlē teritoriālais aspekts (t.i.</w:t>
      </w:r>
      <w:r w:rsidR="009948E4">
        <w:rPr>
          <w:sz w:val="24"/>
          <w:szCs w:val="24"/>
        </w:rPr>
        <w:t>,</w:t>
      </w:r>
      <w:r w:rsidRPr="001647DA">
        <w:rPr>
          <w:sz w:val="24"/>
          <w:szCs w:val="24"/>
        </w:rPr>
        <w:t xml:space="preserve"> sasniedzamība / pieejamība)</w:t>
      </w:r>
      <w:r w:rsidR="007E758B">
        <w:rPr>
          <w:sz w:val="24"/>
          <w:szCs w:val="24"/>
        </w:rPr>
        <w:t>.</w:t>
      </w:r>
      <w:r w:rsidRPr="001647DA">
        <w:rPr>
          <w:sz w:val="24"/>
          <w:szCs w:val="24"/>
        </w:rPr>
        <w:t xml:space="preserve"> </w:t>
      </w:r>
    </w:p>
    <w:p w:rsidR="00D42476" w:rsidRDefault="00BB705B" w:rsidP="007E758B">
      <w:pPr>
        <w:pStyle w:val="CommentText"/>
        <w:ind w:firstLine="720"/>
        <w:rPr>
          <w:sz w:val="24"/>
          <w:szCs w:val="24"/>
        </w:rPr>
      </w:pPr>
      <w:r>
        <w:rPr>
          <w:sz w:val="24"/>
          <w:szCs w:val="24"/>
        </w:rPr>
        <w:t>K</w:t>
      </w:r>
      <w:r w:rsidR="00D42476">
        <w:rPr>
          <w:sz w:val="24"/>
          <w:szCs w:val="24"/>
        </w:rPr>
        <w:t>oledžā</w:t>
      </w:r>
      <w:r>
        <w:rPr>
          <w:sz w:val="24"/>
          <w:szCs w:val="24"/>
        </w:rPr>
        <w:t>s</w:t>
      </w:r>
      <w:r w:rsidR="00D42476">
        <w:rPr>
          <w:sz w:val="24"/>
          <w:szCs w:val="24"/>
        </w:rPr>
        <w:t xml:space="preserve"> pamatā tiek uzņemti studenti no attiecīgā reģiona.</w:t>
      </w:r>
      <w:r w:rsidR="001A0EBB">
        <w:rPr>
          <w:sz w:val="24"/>
          <w:szCs w:val="24"/>
        </w:rPr>
        <w:t xml:space="preserve"> </w:t>
      </w:r>
      <w:r w:rsidR="00D42476">
        <w:rPr>
          <w:sz w:val="24"/>
          <w:szCs w:val="24"/>
        </w:rPr>
        <w:t>IZM apkopotie dati</w:t>
      </w:r>
      <w:r w:rsidR="00D42476" w:rsidRPr="00E06714">
        <w:rPr>
          <w:sz w:val="24"/>
          <w:szCs w:val="24"/>
        </w:rPr>
        <w:t xml:space="preserve"> </w:t>
      </w:r>
      <w:r>
        <w:rPr>
          <w:sz w:val="24"/>
          <w:szCs w:val="24"/>
        </w:rPr>
        <w:t xml:space="preserve">liecina, ka </w:t>
      </w:r>
      <w:r w:rsidR="00C20DCC" w:rsidRPr="00E06714">
        <w:rPr>
          <w:sz w:val="24"/>
          <w:szCs w:val="24"/>
        </w:rPr>
        <w:t>20</w:t>
      </w:r>
      <w:r w:rsidR="00C20DCC">
        <w:rPr>
          <w:sz w:val="24"/>
          <w:szCs w:val="24"/>
        </w:rPr>
        <w:t>15</w:t>
      </w:r>
      <w:r w:rsidR="00D42476">
        <w:rPr>
          <w:sz w:val="24"/>
          <w:szCs w:val="24"/>
        </w:rPr>
        <w:t>./</w:t>
      </w:r>
      <w:r w:rsidR="00C20DCC">
        <w:rPr>
          <w:sz w:val="24"/>
          <w:szCs w:val="24"/>
        </w:rPr>
        <w:t>2016</w:t>
      </w:r>
      <w:r w:rsidR="00D42476">
        <w:rPr>
          <w:sz w:val="24"/>
          <w:szCs w:val="24"/>
        </w:rPr>
        <w:t xml:space="preserve">.ak.gadā no </w:t>
      </w:r>
      <w:r w:rsidR="00910A8F">
        <w:rPr>
          <w:sz w:val="24"/>
          <w:szCs w:val="24"/>
        </w:rPr>
        <w:t xml:space="preserve">valsts </w:t>
      </w:r>
      <w:r w:rsidR="00D42476">
        <w:rPr>
          <w:sz w:val="24"/>
          <w:szCs w:val="24"/>
        </w:rPr>
        <w:t xml:space="preserve">koledžās imatrikulēto studentu skaita </w:t>
      </w:r>
      <w:r w:rsidR="0091395E">
        <w:rPr>
          <w:sz w:val="24"/>
          <w:szCs w:val="24"/>
        </w:rPr>
        <w:t>51</w:t>
      </w:r>
      <w:r w:rsidR="000003FD">
        <w:rPr>
          <w:sz w:val="24"/>
          <w:szCs w:val="24"/>
        </w:rPr>
        <w:t xml:space="preserve"> </w:t>
      </w:r>
      <w:r w:rsidR="00D42476">
        <w:rPr>
          <w:sz w:val="24"/>
          <w:szCs w:val="24"/>
        </w:rPr>
        <w:t xml:space="preserve">% dzīves vieta ir Rīgas reģions, </w:t>
      </w:r>
      <w:r w:rsidR="0091395E">
        <w:rPr>
          <w:sz w:val="24"/>
          <w:szCs w:val="24"/>
        </w:rPr>
        <w:t>17</w:t>
      </w:r>
      <w:r w:rsidR="000003FD">
        <w:rPr>
          <w:sz w:val="24"/>
          <w:szCs w:val="24"/>
        </w:rPr>
        <w:t xml:space="preserve"> </w:t>
      </w:r>
      <w:r w:rsidR="00D42476">
        <w:rPr>
          <w:sz w:val="24"/>
          <w:szCs w:val="24"/>
        </w:rPr>
        <w:t xml:space="preserve">% </w:t>
      </w:r>
      <w:r w:rsidR="00CA186A" w:rsidRPr="00331687">
        <w:t>–</w:t>
      </w:r>
      <w:r w:rsidR="00D42476">
        <w:rPr>
          <w:sz w:val="24"/>
          <w:szCs w:val="24"/>
        </w:rPr>
        <w:t xml:space="preserve"> Latgales reģions, </w:t>
      </w:r>
      <w:r w:rsidR="00910A8F">
        <w:rPr>
          <w:sz w:val="24"/>
          <w:szCs w:val="24"/>
        </w:rPr>
        <w:t>9</w:t>
      </w:r>
      <w:r w:rsidR="000003FD">
        <w:rPr>
          <w:sz w:val="24"/>
          <w:szCs w:val="24"/>
        </w:rPr>
        <w:t xml:space="preserve"> </w:t>
      </w:r>
      <w:r w:rsidR="00D42476">
        <w:rPr>
          <w:sz w:val="24"/>
          <w:szCs w:val="24"/>
        </w:rPr>
        <w:t xml:space="preserve">% </w:t>
      </w:r>
      <w:r w:rsidR="00CA186A" w:rsidRPr="00331687">
        <w:t>–</w:t>
      </w:r>
      <w:r w:rsidR="00CA186A">
        <w:t xml:space="preserve"> </w:t>
      </w:r>
      <w:r w:rsidR="00D42476">
        <w:rPr>
          <w:sz w:val="24"/>
          <w:szCs w:val="24"/>
        </w:rPr>
        <w:t xml:space="preserve">Vidzemes reģions, </w:t>
      </w:r>
      <w:r w:rsidR="0091395E">
        <w:rPr>
          <w:sz w:val="24"/>
          <w:szCs w:val="24"/>
        </w:rPr>
        <w:t>13</w:t>
      </w:r>
      <w:r w:rsidR="000003FD">
        <w:rPr>
          <w:sz w:val="24"/>
          <w:szCs w:val="24"/>
        </w:rPr>
        <w:t xml:space="preserve"> </w:t>
      </w:r>
      <w:r w:rsidR="00D42476">
        <w:rPr>
          <w:sz w:val="24"/>
          <w:szCs w:val="24"/>
        </w:rPr>
        <w:t>%</w:t>
      </w:r>
      <w:r w:rsidR="00CA186A">
        <w:rPr>
          <w:sz w:val="24"/>
          <w:szCs w:val="24"/>
        </w:rPr>
        <w:t xml:space="preserve"> </w:t>
      </w:r>
      <w:r w:rsidR="00CA186A" w:rsidRPr="00331687">
        <w:t>–</w:t>
      </w:r>
      <w:r w:rsidR="00D42476">
        <w:rPr>
          <w:sz w:val="24"/>
          <w:szCs w:val="24"/>
        </w:rPr>
        <w:t xml:space="preserve"> Zemgales reģions, bet </w:t>
      </w:r>
      <w:r w:rsidR="0091395E">
        <w:rPr>
          <w:sz w:val="24"/>
          <w:szCs w:val="24"/>
        </w:rPr>
        <w:t>10</w:t>
      </w:r>
      <w:r w:rsidR="000003FD">
        <w:rPr>
          <w:sz w:val="24"/>
          <w:szCs w:val="24"/>
        </w:rPr>
        <w:t xml:space="preserve"> </w:t>
      </w:r>
      <w:r w:rsidR="00D42476">
        <w:rPr>
          <w:sz w:val="24"/>
          <w:szCs w:val="24"/>
        </w:rPr>
        <w:t xml:space="preserve">% </w:t>
      </w:r>
      <w:r w:rsidR="00CA186A" w:rsidRPr="00331687">
        <w:t>–</w:t>
      </w:r>
      <w:r w:rsidR="00CA186A">
        <w:t xml:space="preserve"> </w:t>
      </w:r>
      <w:r w:rsidR="00D42476">
        <w:rPr>
          <w:sz w:val="24"/>
          <w:szCs w:val="24"/>
        </w:rPr>
        <w:t>Kurzemes reģions.</w:t>
      </w:r>
      <w:r w:rsidR="007E758B">
        <w:rPr>
          <w:sz w:val="24"/>
          <w:szCs w:val="24"/>
        </w:rPr>
        <w:t xml:space="preserve"> </w:t>
      </w:r>
      <w:r>
        <w:rPr>
          <w:sz w:val="24"/>
          <w:szCs w:val="24"/>
        </w:rPr>
        <w:t>Koledžu r</w:t>
      </w:r>
      <w:r w:rsidR="007E758B" w:rsidRPr="001647DA">
        <w:rPr>
          <w:sz w:val="24"/>
          <w:szCs w:val="24"/>
        </w:rPr>
        <w:t xml:space="preserve">eflektanti </w:t>
      </w:r>
      <w:r w:rsidR="000C3FAF">
        <w:rPr>
          <w:sz w:val="24"/>
          <w:szCs w:val="24"/>
        </w:rPr>
        <w:t>pamatā</w:t>
      </w:r>
      <w:r w:rsidR="007E758B" w:rsidRPr="001647DA">
        <w:rPr>
          <w:sz w:val="24"/>
          <w:szCs w:val="24"/>
        </w:rPr>
        <w:t xml:space="preserve"> dod priekšroku tuvākajām mācību iestādēm, izņemot Vidzemi, kur nav koledžu un jaunieši galvenokārt dodas studēt uz Rīgā piedāvātajām pirmā līmeņa profesionālās augstākās izglītības studiju programmām</w:t>
      </w:r>
      <w:r w:rsidR="007E758B">
        <w:rPr>
          <w:sz w:val="24"/>
          <w:szCs w:val="24"/>
        </w:rPr>
        <w:t>.</w:t>
      </w:r>
    </w:p>
    <w:p w:rsidR="00E85785" w:rsidRDefault="00E85785" w:rsidP="00E85785">
      <w:pPr>
        <w:pStyle w:val="CommentText"/>
        <w:ind w:firstLine="720"/>
        <w:rPr>
          <w:sz w:val="24"/>
          <w:szCs w:val="24"/>
        </w:rPr>
      </w:pPr>
      <w:r>
        <w:rPr>
          <w:sz w:val="24"/>
          <w:szCs w:val="24"/>
        </w:rPr>
        <w:t xml:space="preserve">Mazāk izteikta saistība starp dzīvesvietu un izvēlēto koledžu ir koledžām, kas ir specializējušās noteiktā jomā </w:t>
      </w:r>
      <w:r w:rsidRPr="00331687">
        <w:t>–</w:t>
      </w:r>
      <w:r>
        <w:rPr>
          <w:sz w:val="24"/>
          <w:szCs w:val="24"/>
        </w:rPr>
        <w:t xml:space="preserve"> Valsts </w:t>
      </w:r>
      <w:r w:rsidRPr="00F4121A">
        <w:rPr>
          <w:sz w:val="24"/>
          <w:szCs w:val="24"/>
        </w:rPr>
        <w:t xml:space="preserve">Policijas koledžai, Ugunsdrošības un civilās aizsardzības koledžai, </w:t>
      </w:r>
      <w:r>
        <w:rPr>
          <w:sz w:val="24"/>
          <w:szCs w:val="24"/>
        </w:rPr>
        <w:t>Liepājas Jūrniecības koledžai</w:t>
      </w:r>
      <w:r w:rsidRPr="00F4121A">
        <w:rPr>
          <w:sz w:val="24"/>
          <w:szCs w:val="24"/>
        </w:rPr>
        <w:t>, kā arī tām medicīnas koledžām, kas atrodas Rīgā.</w:t>
      </w:r>
    </w:p>
    <w:p w:rsidR="00E85785" w:rsidRDefault="00E85785" w:rsidP="007E758B">
      <w:pPr>
        <w:pStyle w:val="CommentText"/>
        <w:ind w:firstLine="720"/>
        <w:rPr>
          <w:sz w:val="24"/>
          <w:szCs w:val="24"/>
        </w:rPr>
      </w:pPr>
    </w:p>
    <w:p w:rsidR="009266D1" w:rsidRDefault="009266D1" w:rsidP="00D42476">
      <w:pPr>
        <w:pStyle w:val="CommentText"/>
        <w:jc w:val="right"/>
        <w:rPr>
          <w:sz w:val="24"/>
          <w:szCs w:val="24"/>
        </w:rPr>
      </w:pPr>
      <w:r>
        <w:rPr>
          <w:sz w:val="24"/>
          <w:szCs w:val="24"/>
        </w:rPr>
        <w:br w:type="page"/>
      </w:r>
    </w:p>
    <w:p w:rsidR="00D42476" w:rsidRDefault="00D42476" w:rsidP="00D42476">
      <w:pPr>
        <w:pStyle w:val="CommentText"/>
        <w:jc w:val="right"/>
        <w:rPr>
          <w:sz w:val="24"/>
          <w:szCs w:val="24"/>
        </w:rPr>
      </w:pPr>
      <w:r>
        <w:rPr>
          <w:sz w:val="24"/>
          <w:szCs w:val="24"/>
        </w:rPr>
        <w:lastRenderedPageBreak/>
        <w:t>1.</w:t>
      </w:r>
      <w:r w:rsidR="00D9522C">
        <w:rPr>
          <w:sz w:val="24"/>
          <w:szCs w:val="24"/>
        </w:rPr>
        <w:t>1</w:t>
      </w:r>
      <w:r>
        <w:rPr>
          <w:sz w:val="24"/>
          <w:szCs w:val="24"/>
        </w:rPr>
        <w:t>.tabula</w:t>
      </w:r>
    </w:p>
    <w:p w:rsidR="00D42476" w:rsidRPr="00AB6CFD" w:rsidRDefault="00D9522C" w:rsidP="00D42476">
      <w:pPr>
        <w:pStyle w:val="CommentText"/>
        <w:jc w:val="center"/>
        <w:rPr>
          <w:b/>
          <w:sz w:val="24"/>
          <w:szCs w:val="24"/>
        </w:rPr>
      </w:pPr>
      <w:r w:rsidRPr="006A03AC">
        <w:rPr>
          <w:b/>
          <w:sz w:val="24"/>
          <w:szCs w:val="24"/>
        </w:rPr>
        <w:t>201</w:t>
      </w:r>
      <w:r>
        <w:rPr>
          <w:b/>
          <w:sz w:val="24"/>
          <w:szCs w:val="24"/>
        </w:rPr>
        <w:t>5</w:t>
      </w:r>
      <w:r w:rsidR="00D42476" w:rsidRPr="006A03AC">
        <w:rPr>
          <w:b/>
          <w:sz w:val="24"/>
          <w:szCs w:val="24"/>
        </w:rPr>
        <w:t>./</w:t>
      </w:r>
      <w:r w:rsidRPr="006A03AC">
        <w:rPr>
          <w:b/>
          <w:sz w:val="24"/>
          <w:szCs w:val="24"/>
        </w:rPr>
        <w:t>201</w:t>
      </w:r>
      <w:r>
        <w:rPr>
          <w:b/>
          <w:sz w:val="24"/>
          <w:szCs w:val="24"/>
        </w:rPr>
        <w:t>6</w:t>
      </w:r>
      <w:r w:rsidR="00D42476" w:rsidRPr="006A03AC">
        <w:rPr>
          <w:b/>
          <w:sz w:val="24"/>
          <w:szCs w:val="24"/>
        </w:rPr>
        <w:t xml:space="preserve">.ak.gadā valsts koledžās </w:t>
      </w:r>
      <w:r w:rsidR="00E82697">
        <w:rPr>
          <w:b/>
          <w:sz w:val="24"/>
          <w:szCs w:val="24"/>
        </w:rPr>
        <w:t>pirmā līmeņa augstākās izglītības</w:t>
      </w:r>
      <w:r w:rsidR="000C3FAF">
        <w:rPr>
          <w:b/>
          <w:sz w:val="24"/>
          <w:szCs w:val="24"/>
        </w:rPr>
        <w:t xml:space="preserve"> studiju programmās imatrikulēto</w:t>
      </w:r>
      <w:r w:rsidR="00E82697">
        <w:rPr>
          <w:b/>
          <w:sz w:val="24"/>
          <w:szCs w:val="24"/>
        </w:rPr>
        <w:t xml:space="preserve"> </w:t>
      </w:r>
      <w:r w:rsidR="000C3FAF">
        <w:rPr>
          <w:b/>
          <w:sz w:val="24"/>
          <w:szCs w:val="24"/>
        </w:rPr>
        <w:t xml:space="preserve">pilna laika </w:t>
      </w:r>
      <w:r w:rsidR="00D42476" w:rsidRPr="006A03AC">
        <w:rPr>
          <w:b/>
          <w:sz w:val="24"/>
          <w:szCs w:val="24"/>
        </w:rPr>
        <w:t>studentu sadalījums pēc dzīvesvietas</w:t>
      </w:r>
      <w:r w:rsidR="00D42476" w:rsidRPr="00AB6CFD">
        <w:rPr>
          <w:b/>
          <w:sz w:val="24"/>
          <w:szCs w:val="24"/>
        </w:rPr>
        <w:t>*</w:t>
      </w:r>
    </w:p>
    <w:p w:rsidR="00D42476" w:rsidRDefault="00D42476" w:rsidP="00722156">
      <w:pPr>
        <w:pStyle w:val="CommentText"/>
        <w:numPr>
          <w:ilvl w:val="0"/>
          <w:numId w:val="1"/>
        </w:numPr>
        <w:jc w:val="center"/>
        <w:rPr>
          <w:sz w:val="24"/>
          <w:szCs w:val="24"/>
        </w:rPr>
      </w:pPr>
    </w:p>
    <w:tbl>
      <w:tblPr>
        <w:tblStyle w:val="TableGrid"/>
        <w:tblW w:w="0" w:type="auto"/>
        <w:tblLayout w:type="fixed"/>
        <w:tblLook w:val="04A0"/>
      </w:tblPr>
      <w:tblGrid>
        <w:gridCol w:w="704"/>
        <w:gridCol w:w="1985"/>
        <w:gridCol w:w="1134"/>
        <w:gridCol w:w="1134"/>
        <w:gridCol w:w="1134"/>
        <w:gridCol w:w="1134"/>
        <w:gridCol w:w="992"/>
        <w:gridCol w:w="844"/>
      </w:tblGrid>
      <w:tr w:rsidR="00D42476" w:rsidTr="00D42476">
        <w:tc>
          <w:tcPr>
            <w:tcW w:w="704" w:type="dxa"/>
          </w:tcPr>
          <w:p w:rsidR="00D42476" w:rsidRPr="00E80380" w:rsidRDefault="00D42476" w:rsidP="00722156">
            <w:pPr>
              <w:pStyle w:val="CommentText"/>
              <w:numPr>
                <w:ilvl w:val="0"/>
                <w:numId w:val="1"/>
              </w:numPr>
              <w:rPr>
                <w:sz w:val="22"/>
                <w:szCs w:val="22"/>
              </w:rPr>
            </w:pPr>
            <w:proofErr w:type="spellStart"/>
            <w:r>
              <w:rPr>
                <w:sz w:val="22"/>
                <w:szCs w:val="22"/>
              </w:rPr>
              <w:t>Nr.p.k</w:t>
            </w:r>
            <w:proofErr w:type="spellEnd"/>
            <w:r>
              <w:rPr>
                <w:sz w:val="22"/>
                <w:szCs w:val="22"/>
              </w:rPr>
              <w:t>.</w:t>
            </w:r>
          </w:p>
        </w:tc>
        <w:tc>
          <w:tcPr>
            <w:tcW w:w="1985" w:type="dxa"/>
          </w:tcPr>
          <w:p w:rsidR="00D42476" w:rsidRPr="00E80380" w:rsidRDefault="00D42476" w:rsidP="00722156">
            <w:pPr>
              <w:pStyle w:val="CommentText"/>
              <w:numPr>
                <w:ilvl w:val="0"/>
                <w:numId w:val="1"/>
              </w:numPr>
              <w:rPr>
                <w:sz w:val="22"/>
                <w:szCs w:val="22"/>
              </w:rPr>
            </w:pPr>
            <w:r w:rsidRPr="00E80380">
              <w:rPr>
                <w:sz w:val="22"/>
                <w:szCs w:val="22"/>
              </w:rPr>
              <w:t>Koledža</w:t>
            </w:r>
          </w:p>
        </w:tc>
        <w:tc>
          <w:tcPr>
            <w:tcW w:w="1134" w:type="dxa"/>
          </w:tcPr>
          <w:p w:rsidR="00D42476" w:rsidRPr="00E80380" w:rsidRDefault="00D42476" w:rsidP="00722156">
            <w:pPr>
              <w:pStyle w:val="CommentText"/>
              <w:numPr>
                <w:ilvl w:val="0"/>
                <w:numId w:val="1"/>
              </w:numPr>
              <w:rPr>
                <w:sz w:val="22"/>
                <w:szCs w:val="22"/>
              </w:rPr>
            </w:pPr>
            <w:r w:rsidRPr="00E80380">
              <w:rPr>
                <w:sz w:val="22"/>
                <w:szCs w:val="22"/>
              </w:rPr>
              <w:t>Rīgas reģions</w:t>
            </w:r>
          </w:p>
        </w:tc>
        <w:tc>
          <w:tcPr>
            <w:tcW w:w="1134" w:type="dxa"/>
          </w:tcPr>
          <w:p w:rsidR="00D42476" w:rsidRPr="00E80380" w:rsidRDefault="00D42476" w:rsidP="00722156">
            <w:pPr>
              <w:pStyle w:val="CommentText"/>
              <w:numPr>
                <w:ilvl w:val="0"/>
                <w:numId w:val="1"/>
              </w:numPr>
              <w:rPr>
                <w:sz w:val="22"/>
                <w:szCs w:val="22"/>
              </w:rPr>
            </w:pPr>
            <w:r w:rsidRPr="00E80380">
              <w:rPr>
                <w:sz w:val="22"/>
                <w:szCs w:val="22"/>
              </w:rPr>
              <w:t>Vidzemes reģions</w:t>
            </w:r>
          </w:p>
        </w:tc>
        <w:tc>
          <w:tcPr>
            <w:tcW w:w="1134" w:type="dxa"/>
          </w:tcPr>
          <w:p w:rsidR="00D42476" w:rsidRPr="00E80380" w:rsidRDefault="00D42476" w:rsidP="00722156">
            <w:pPr>
              <w:pStyle w:val="CommentText"/>
              <w:numPr>
                <w:ilvl w:val="0"/>
                <w:numId w:val="1"/>
              </w:numPr>
              <w:rPr>
                <w:sz w:val="22"/>
                <w:szCs w:val="22"/>
              </w:rPr>
            </w:pPr>
            <w:r w:rsidRPr="00E80380">
              <w:rPr>
                <w:sz w:val="22"/>
                <w:szCs w:val="22"/>
              </w:rPr>
              <w:t>Kurzemes reģions</w:t>
            </w:r>
          </w:p>
        </w:tc>
        <w:tc>
          <w:tcPr>
            <w:tcW w:w="1134" w:type="dxa"/>
          </w:tcPr>
          <w:p w:rsidR="00D42476" w:rsidRPr="00E80380" w:rsidRDefault="00D42476" w:rsidP="00722156">
            <w:pPr>
              <w:pStyle w:val="CommentText"/>
              <w:numPr>
                <w:ilvl w:val="0"/>
                <w:numId w:val="1"/>
              </w:numPr>
              <w:rPr>
                <w:sz w:val="22"/>
                <w:szCs w:val="22"/>
              </w:rPr>
            </w:pPr>
            <w:r w:rsidRPr="00E80380">
              <w:rPr>
                <w:sz w:val="22"/>
                <w:szCs w:val="22"/>
              </w:rPr>
              <w:t>Zemgales reģions</w:t>
            </w:r>
          </w:p>
        </w:tc>
        <w:tc>
          <w:tcPr>
            <w:tcW w:w="992" w:type="dxa"/>
          </w:tcPr>
          <w:p w:rsidR="00D42476" w:rsidRPr="00E80380" w:rsidRDefault="00D42476" w:rsidP="00722156">
            <w:pPr>
              <w:pStyle w:val="CommentText"/>
              <w:numPr>
                <w:ilvl w:val="0"/>
                <w:numId w:val="1"/>
              </w:numPr>
              <w:rPr>
                <w:sz w:val="22"/>
                <w:szCs w:val="22"/>
              </w:rPr>
            </w:pPr>
            <w:r w:rsidRPr="00E80380">
              <w:rPr>
                <w:sz w:val="22"/>
                <w:szCs w:val="22"/>
              </w:rPr>
              <w:t>Latgales reģions</w:t>
            </w:r>
          </w:p>
        </w:tc>
        <w:tc>
          <w:tcPr>
            <w:tcW w:w="844" w:type="dxa"/>
          </w:tcPr>
          <w:p w:rsidR="00D42476" w:rsidRPr="00E80380" w:rsidRDefault="00D42476" w:rsidP="00722156">
            <w:pPr>
              <w:pStyle w:val="CommentText"/>
              <w:numPr>
                <w:ilvl w:val="0"/>
                <w:numId w:val="1"/>
              </w:numPr>
              <w:rPr>
                <w:sz w:val="22"/>
                <w:szCs w:val="22"/>
              </w:rPr>
            </w:pPr>
            <w:r w:rsidRPr="00E80380">
              <w:rPr>
                <w:sz w:val="22"/>
                <w:szCs w:val="22"/>
              </w:rPr>
              <w:t>Kopā</w:t>
            </w:r>
          </w:p>
        </w:tc>
      </w:tr>
      <w:tr w:rsidR="00D42476" w:rsidTr="00D42476">
        <w:tc>
          <w:tcPr>
            <w:tcW w:w="9061" w:type="dxa"/>
            <w:gridSpan w:val="8"/>
          </w:tcPr>
          <w:p w:rsidR="00D42476" w:rsidRPr="00E80380" w:rsidRDefault="00D42476" w:rsidP="00722156">
            <w:pPr>
              <w:pStyle w:val="CommentText"/>
              <w:numPr>
                <w:ilvl w:val="0"/>
                <w:numId w:val="1"/>
              </w:numPr>
              <w:rPr>
                <w:sz w:val="22"/>
                <w:szCs w:val="22"/>
              </w:rPr>
            </w:pPr>
            <w:r w:rsidRPr="00E80380">
              <w:rPr>
                <w:sz w:val="22"/>
                <w:szCs w:val="22"/>
              </w:rPr>
              <w:t>Rīgas reģions</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1.</w:t>
            </w:r>
          </w:p>
        </w:tc>
        <w:tc>
          <w:tcPr>
            <w:tcW w:w="1985" w:type="dxa"/>
            <w:vAlign w:val="center"/>
          </w:tcPr>
          <w:p w:rsidR="00D42476" w:rsidRPr="00E80380" w:rsidRDefault="00D42476" w:rsidP="00722156">
            <w:pPr>
              <w:pStyle w:val="CommentText"/>
              <w:numPr>
                <w:ilvl w:val="0"/>
                <w:numId w:val="1"/>
              </w:numPr>
              <w:rPr>
                <w:sz w:val="22"/>
                <w:szCs w:val="22"/>
              </w:rPr>
            </w:pPr>
            <w:r w:rsidRPr="00E80380">
              <w:rPr>
                <w:color w:val="000000"/>
                <w:sz w:val="22"/>
                <w:szCs w:val="22"/>
              </w:rPr>
              <w:t>Rīgas Celtniecības koledža</w:t>
            </w:r>
          </w:p>
        </w:tc>
        <w:tc>
          <w:tcPr>
            <w:tcW w:w="1134" w:type="dxa"/>
          </w:tcPr>
          <w:p w:rsidR="00D42476" w:rsidRPr="00E80380" w:rsidRDefault="00FA69BC" w:rsidP="00722156">
            <w:pPr>
              <w:pStyle w:val="CommentText"/>
              <w:numPr>
                <w:ilvl w:val="0"/>
                <w:numId w:val="1"/>
              </w:numPr>
              <w:jc w:val="center"/>
              <w:rPr>
                <w:sz w:val="22"/>
                <w:szCs w:val="22"/>
              </w:rPr>
            </w:pPr>
            <w:r>
              <w:rPr>
                <w:sz w:val="22"/>
                <w:szCs w:val="22"/>
              </w:rPr>
              <w:t>158</w:t>
            </w:r>
          </w:p>
        </w:tc>
        <w:tc>
          <w:tcPr>
            <w:tcW w:w="1134" w:type="dxa"/>
          </w:tcPr>
          <w:p w:rsidR="00D42476" w:rsidRPr="00E80380" w:rsidRDefault="00FA69BC" w:rsidP="00722156">
            <w:pPr>
              <w:pStyle w:val="CommentText"/>
              <w:numPr>
                <w:ilvl w:val="0"/>
                <w:numId w:val="1"/>
              </w:numPr>
              <w:jc w:val="center"/>
              <w:rPr>
                <w:sz w:val="22"/>
                <w:szCs w:val="22"/>
              </w:rPr>
            </w:pPr>
            <w:r>
              <w:rPr>
                <w:sz w:val="22"/>
                <w:szCs w:val="22"/>
              </w:rPr>
              <w:t>17</w:t>
            </w:r>
          </w:p>
        </w:tc>
        <w:tc>
          <w:tcPr>
            <w:tcW w:w="1134" w:type="dxa"/>
          </w:tcPr>
          <w:p w:rsidR="00D42476" w:rsidRPr="00E80380" w:rsidRDefault="00FA69BC" w:rsidP="00722156">
            <w:pPr>
              <w:pStyle w:val="CommentText"/>
              <w:numPr>
                <w:ilvl w:val="0"/>
                <w:numId w:val="1"/>
              </w:numPr>
              <w:jc w:val="center"/>
              <w:rPr>
                <w:sz w:val="22"/>
                <w:szCs w:val="22"/>
              </w:rPr>
            </w:pPr>
            <w:r>
              <w:rPr>
                <w:sz w:val="22"/>
                <w:szCs w:val="22"/>
              </w:rPr>
              <w:t>11</w:t>
            </w:r>
          </w:p>
        </w:tc>
        <w:tc>
          <w:tcPr>
            <w:tcW w:w="1134" w:type="dxa"/>
          </w:tcPr>
          <w:p w:rsidR="00D42476" w:rsidRPr="00E80380" w:rsidRDefault="00FA69BC" w:rsidP="00722156">
            <w:pPr>
              <w:pStyle w:val="CommentText"/>
              <w:numPr>
                <w:ilvl w:val="0"/>
                <w:numId w:val="1"/>
              </w:numPr>
              <w:jc w:val="center"/>
              <w:rPr>
                <w:sz w:val="22"/>
                <w:szCs w:val="22"/>
              </w:rPr>
            </w:pPr>
            <w:r>
              <w:rPr>
                <w:sz w:val="22"/>
                <w:szCs w:val="22"/>
              </w:rPr>
              <w:t>23</w:t>
            </w:r>
          </w:p>
        </w:tc>
        <w:tc>
          <w:tcPr>
            <w:tcW w:w="992" w:type="dxa"/>
          </w:tcPr>
          <w:p w:rsidR="00D42476" w:rsidRPr="00E80380" w:rsidRDefault="00FA69BC" w:rsidP="00722156">
            <w:pPr>
              <w:pStyle w:val="CommentText"/>
              <w:numPr>
                <w:ilvl w:val="0"/>
                <w:numId w:val="1"/>
              </w:numPr>
              <w:jc w:val="center"/>
              <w:rPr>
                <w:sz w:val="22"/>
                <w:szCs w:val="22"/>
              </w:rPr>
            </w:pPr>
            <w:r>
              <w:rPr>
                <w:sz w:val="22"/>
                <w:szCs w:val="22"/>
              </w:rPr>
              <w:t>10</w:t>
            </w:r>
          </w:p>
        </w:tc>
        <w:tc>
          <w:tcPr>
            <w:tcW w:w="844" w:type="dxa"/>
          </w:tcPr>
          <w:p w:rsidR="00D42476" w:rsidRPr="00E80380" w:rsidRDefault="00FA69BC" w:rsidP="00722156">
            <w:pPr>
              <w:pStyle w:val="CommentText"/>
              <w:numPr>
                <w:ilvl w:val="0"/>
                <w:numId w:val="1"/>
              </w:numPr>
              <w:jc w:val="center"/>
              <w:rPr>
                <w:sz w:val="22"/>
                <w:szCs w:val="22"/>
              </w:rPr>
            </w:pPr>
            <w:r>
              <w:rPr>
                <w:sz w:val="22"/>
                <w:szCs w:val="22"/>
              </w:rPr>
              <w:t>219</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2.</w:t>
            </w:r>
          </w:p>
        </w:tc>
        <w:tc>
          <w:tcPr>
            <w:tcW w:w="1985" w:type="dxa"/>
            <w:vAlign w:val="center"/>
          </w:tcPr>
          <w:p w:rsidR="00D42476" w:rsidRPr="00E80380" w:rsidRDefault="00DC56D6" w:rsidP="00722156">
            <w:pPr>
              <w:pStyle w:val="CommentText"/>
              <w:numPr>
                <w:ilvl w:val="0"/>
                <w:numId w:val="1"/>
              </w:numPr>
              <w:rPr>
                <w:sz w:val="22"/>
                <w:szCs w:val="22"/>
              </w:rPr>
            </w:pPr>
            <w:r>
              <w:rPr>
                <w:color w:val="000000"/>
                <w:sz w:val="22"/>
                <w:szCs w:val="22"/>
              </w:rPr>
              <w:t xml:space="preserve">Banku augstskolas </w:t>
            </w:r>
            <w:r w:rsidR="00D42476" w:rsidRPr="00E80380">
              <w:rPr>
                <w:color w:val="000000"/>
                <w:sz w:val="22"/>
                <w:szCs w:val="22"/>
              </w:rPr>
              <w:t>Uzņēmējdarbības koledža</w:t>
            </w:r>
          </w:p>
        </w:tc>
        <w:tc>
          <w:tcPr>
            <w:tcW w:w="1134" w:type="dxa"/>
          </w:tcPr>
          <w:p w:rsidR="00D42476" w:rsidRPr="00E80380" w:rsidRDefault="00DC56D6" w:rsidP="00722156">
            <w:pPr>
              <w:pStyle w:val="CommentText"/>
              <w:numPr>
                <w:ilvl w:val="0"/>
                <w:numId w:val="1"/>
              </w:numPr>
              <w:jc w:val="center"/>
              <w:rPr>
                <w:sz w:val="22"/>
                <w:szCs w:val="22"/>
              </w:rPr>
            </w:pPr>
            <w:r>
              <w:rPr>
                <w:sz w:val="22"/>
                <w:szCs w:val="22"/>
              </w:rPr>
              <w:t>19</w:t>
            </w:r>
          </w:p>
        </w:tc>
        <w:tc>
          <w:tcPr>
            <w:tcW w:w="1134" w:type="dxa"/>
          </w:tcPr>
          <w:p w:rsidR="00D42476" w:rsidRPr="00E80380" w:rsidRDefault="00DC56D6" w:rsidP="00722156">
            <w:pPr>
              <w:pStyle w:val="CommentText"/>
              <w:numPr>
                <w:ilvl w:val="0"/>
                <w:numId w:val="1"/>
              </w:numPr>
              <w:jc w:val="center"/>
              <w:rPr>
                <w:sz w:val="22"/>
                <w:szCs w:val="22"/>
              </w:rPr>
            </w:pPr>
            <w:r>
              <w:rPr>
                <w:sz w:val="22"/>
                <w:szCs w:val="22"/>
              </w:rPr>
              <w:t>10</w:t>
            </w:r>
          </w:p>
        </w:tc>
        <w:tc>
          <w:tcPr>
            <w:tcW w:w="1134" w:type="dxa"/>
          </w:tcPr>
          <w:p w:rsidR="00D42476" w:rsidRPr="00E80380" w:rsidRDefault="00DC56D6" w:rsidP="00722156">
            <w:pPr>
              <w:pStyle w:val="CommentText"/>
              <w:numPr>
                <w:ilvl w:val="0"/>
                <w:numId w:val="1"/>
              </w:numPr>
              <w:jc w:val="center"/>
              <w:rPr>
                <w:sz w:val="22"/>
                <w:szCs w:val="22"/>
              </w:rPr>
            </w:pPr>
            <w:r>
              <w:rPr>
                <w:sz w:val="22"/>
                <w:szCs w:val="22"/>
              </w:rPr>
              <w:t>3</w:t>
            </w:r>
          </w:p>
        </w:tc>
        <w:tc>
          <w:tcPr>
            <w:tcW w:w="1134" w:type="dxa"/>
          </w:tcPr>
          <w:p w:rsidR="00D42476" w:rsidRPr="00E80380" w:rsidRDefault="00DC56D6" w:rsidP="00722156">
            <w:pPr>
              <w:pStyle w:val="CommentText"/>
              <w:numPr>
                <w:ilvl w:val="0"/>
                <w:numId w:val="1"/>
              </w:numPr>
              <w:jc w:val="center"/>
              <w:rPr>
                <w:sz w:val="22"/>
                <w:szCs w:val="22"/>
              </w:rPr>
            </w:pPr>
            <w:r>
              <w:rPr>
                <w:sz w:val="22"/>
                <w:szCs w:val="22"/>
              </w:rPr>
              <w:t>2</w:t>
            </w:r>
          </w:p>
        </w:tc>
        <w:tc>
          <w:tcPr>
            <w:tcW w:w="992" w:type="dxa"/>
          </w:tcPr>
          <w:p w:rsidR="00D42476" w:rsidRPr="00E80380" w:rsidRDefault="00DC56D6" w:rsidP="00722156">
            <w:pPr>
              <w:pStyle w:val="CommentText"/>
              <w:numPr>
                <w:ilvl w:val="0"/>
                <w:numId w:val="1"/>
              </w:numPr>
              <w:jc w:val="center"/>
              <w:rPr>
                <w:sz w:val="22"/>
                <w:szCs w:val="22"/>
              </w:rPr>
            </w:pPr>
            <w:r>
              <w:rPr>
                <w:sz w:val="22"/>
                <w:szCs w:val="22"/>
              </w:rPr>
              <w:t>7</w:t>
            </w:r>
          </w:p>
        </w:tc>
        <w:tc>
          <w:tcPr>
            <w:tcW w:w="844" w:type="dxa"/>
          </w:tcPr>
          <w:p w:rsidR="00D42476" w:rsidRPr="00E80380" w:rsidRDefault="00DC56D6" w:rsidP="00722156">
            <w:pPr>
              <w:pStyle w:val="CommentText"/>
              <w:numPr>
                <w:ilvl w:val="0"/>
                <w:numId w:val="1"/>
              </w:numPr>
              <w:jc w:val="center"/>
              <w:rPr>
                <w:sz w:val="22"/>
                <w:szCs w:val="22"/>
              </w:rPr>
            </w:pPr>
            <w:r>
              <w:rPr>
                <w:sz w:val="22"/>
                <w:szCs w:val="22"/>
              </w:rPr>
              <w:t>41</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3.</w:t>
            </w:r>
          </w:p>
        </w:tc>
        <w:tc>
          <w:tcPr>
            <w:tcW w:w="1985" w:type="dxa"/>
            <w:vAlign w:val="center"/>
          </w:tcPr>
          <w:p w:rsidR="00D42476" w:rsidRPr="00E80380" w:rsidRDefault="00D42476" w:rsidP="00722156">
            <w:pPr>
              <w:pStyle w:val="CommentText"/>
              <w:numPr>
                <w:ilvl w:val="0"/>
                <w:numId w:val="1"/>
              </w:numPr>
              <w:rPr>
                <w:sz w:val="22"/>
                <w:szCs w:val="22"/>
              </w:rPr>
            </w:pPr>
            <w:r w:rsidRPr="00E80380">
              <w:rPr>
                <w:color w:val="000000"/>
                <w:sz w:val="22"/>
                <w:szCs w:val="22"/>
              </w:rPr>
              <w:t xml:space="preserve">PIKC </w:t>
            </w:r>
            <w:r w:rsidR="00D34B97">
              <w:rPr>
                <w:color w:val="000000"/>
                <w:sz w:val="22"/>
                <w:szCs w:val="22"/>
              </w:rPr>
              <w:t>„</w:t>
            </w:r>
            <w:r w:rsidRPr="00E80380">
              <w:rPr>
                <w:color w:val="000000"/>
                <w:sz w:val="22"/>
                <w:szCs w:val="22"/>
              </w:rPr>
              <w:t>Rīgas Tehniskā koledža</w:t>
            </w:r>
            <w:r w:rsidR="00D34B97">
              <w:rPr>
                <w:color w:val="000000"/>
                <w:sz w:val="22"/>
                <w:szCs w:val="22"/>
              </w:rPr>
              <w:t>”</w:t>
            </w:r>
          </w:p>
        </w:tc>
        <w:tc>
          <w:tcPr>
            <w:tcW w:w="1134" w:type="dxa"/>
          </w:tcPr>
          <w:p w:rsidR="00D42476" w:rsidRPr="00E80380" w:rsidRDefault="008B0D0E" w:rsidP="00722156">
            <w:pPr>
              <w:pStyle w:val="CommentText"/>
              <w:numPr>
                <w:ilvl w:val="0"/>
                <w:numId w:val="1"/>
              </w:numPr>
              <w:jc w:val="center"/>
              <w:rPr>
                <w:sz w:val="22"/>
                <w:szCs w:val="22"/>
              </w:rPr>
            </w:pPr>
            <w:r>
              <w:rPr>
                <w:sz w:val="22"/>
                <w:szCs w:val="22"/>
              </w:rPr>
              <w:t>154</w:t>
            </w:r>
          </w:p>
        </w:tc>
        <w:tc>
          <w:tcPr>
            <w:tcW w:w="1134" w:type="dxa"/>
          </w:tcPr>
          <w:p w:rsidR="00D42476" w:rsidRPr="00E80380" w:rsidRDefault="008B0D0E" w:rsidP="00722156">
            <w:pPr>
              <w:pStyle w:val="CommentText"/>
              <w:numPr>
                <w:ilvl w:val="0"/>
                <w:numId w:val="1"/>
              </w:numPr>
              <w:jc w:val="center"/>
              <w:rPr>
                <w:sz w:val="22"/>
                <w:szCs w:val="22"/>
              </w:rPr>
            </w:pPr>
            <w:r>
              <w:rPr>
                <w:sz w:val="22"/>
                <w:szCs w:val="22"/>
              </w:rPr>
              <w:t>42</w:t>
            </w:r>
          </w:p>
        </w:tc>
        <w:tc>
          <w:tcPr>
            <w:tcW w:w="1134" w:type="dxa"/>
          </w:tcPr>
          <w:p w:rsidR="00D42476" w:rsidRPr="00E80380" w:rsidRDefault="008B0D0E" w:rsidP="00722156">
            <w:pPr>
              <w:pStyle w:val="CommentText"/>
              <w:numPr>
                <w:ilvl w:val="0"/>
                <w:numId w:val="1"/>
              </w:numPr>
              <w:jc w:val="center"/>
              <w:rPr>
                <w:sz w:val="22"/>
                <w:szCs w:val="22"/>
              </w:rPr>
            </w:pPr>
            <w:r>
              <w:rPr>
                <w:sz w:val="22"/>
                <w:szCs w:val="22"/>
              </w:rPr>
              <w:t>16</w:t>
            </w:r>
          </w:p>
        </w:tc>
        <w:tc>
          <w:tcPr>
            <w:tcW w:w="1134" w:type="dxa"/>
          </w:tcPr>
          <w:p w:rsidR="00D42476" w:rsidRPr="00E80380" w:rsidRDefault="008B0D0E" w:rsidP="00722156">
            <w:pPr>
              <w:pStyle w:val="CommentText"/>
              <w:numPr>
                <w:ilvl w:val="0"/>
                <w:numId w:val="1"/>
              </w:numPr>
              <w:jc w:val="center"/>
              <w:rPr>
                <w:sz w:val="22"/>
                <w:szCs w:val="22"/>
              </w:rPr>
            </w:pPr>
            <w:r>
              <w:rPr>
                <w:sz w:val="22"/>
                <w:szCs w:val="22"/>
              </w:rPr>
              <w:t>41</w:t>
            </w:r>
          </w:p>
        </w:tc>
        <w:tc>
          <w:tcPr>
            <w:tcW w:w="992" w:type="dxa"/>
          </w:tcPr>
          <w:p w:rsidR="00D42476" w:rsidRPr="00E80380" w:rsidRDefault="008B0D0E" w:rsidP="00722156">
            <w:pPr>
              <w:pStyle w:val="CommentText"/>
              <w:numPr>
                <w:ilvl w:val="0"/>
                <w:numId w:val="1"/>
              </w:numPr>
              <w:jc w:val="center"/>
              <w:rPr>
                <w:sz w:val="22"/>
                <w:szCs w:val="22"/>
              </w:rPr>
            </w:pPr>
            <w:r>
              <w:rPr>
                <w:sz w:val="22"/>
                <w:szCs w:val="22"/>
              </w:rPr>
              <w:t>41</w:t>
            </w:r>
          </w:p>
        </w:tc>
        <w:tc>
          <w:tcPr>
            <w:tcW w:w="844" w:type="dxa"/>
          </w:tcPr>
          <w:p w:rsidR="00D42476" w:rsidRPr="00E80380" w:rsidRDefault="00C20DCC" w:rsidP="00722156">
            <w:pPr>
              <w:pStyle w:val="CommentText"/>
              <w:numPr>
                <w:ilvl w:val="0"/>
                <w:numId w:val="1"/>
              </w:numPr>
              <w:jc w:val="center"/>
              <w:rPr>
                <w:sz w:val="22"/>
                <w:szCs w:val="22"/>
              </w:rPr>
            </w:pPr>
            <w:r>
              <w:rPr>
                <w:sz w:val="22"/>
                <w:szCs w:val="22"/>
              </w:rPr>
              <w:t>294</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4.</w:t>
            </w:r>
          </w:p>
        </w:tc>
        <w:tc>
          <w:tcPr>
            <w:tcW w:w="1985" w:type="dxa"/>
            <w:vAlign w:val="center"/>
          </w:tcPr>
          <w:p w:rsidR="00D42476" w:rsidRPr="00E80380" w:rsidRDefault="00D42476" w:rsidP="00722156">
            <w:pPr>
              <w:pStyle w:val="CommentText"/>
              <w:numPr>
                <w:ilvl w:val="0"/>
                <w:numId w:val="1"/>
              </w:numPr>
              <w:rPr>
                <w:sz w:val="22"/>
                <w:szCs w:val="22"/>
              </w:rPr>
            </w:pPr>
            <w:r w:rsidRPr="007F2D89">
              <w:rPr>
                <w:color w:val="000000"/>
                <w:sz w:val="22"/>
                <w:szCs w:val="22"/>
              </w:rPr>
              <w:t>Olaines Mehānikas un tehnoloģijas koledža</w:t>
            </w:r>
          </w:p>
        </w:tc>
        <w:tc>
          <w:tcPr>
            <w:tcW w:w="1134" w:type="dxa"/>
          </w:tcPr>
          <w:p w:rsidR="00D42476" w:rsidRPr="00E80380" w:rsidRDefault="00DC56D6" w:rsidP="00722156">
            <w:pPr>
              <w:pStyle w:val="CommentText"/>
              <w:numPr>
                <w:ilvl w:val="0"/>
                <w:numId w:val="1"/>
              </w:numPr>
              <w:jc w:val="center"/>
              <w:rPr>
                <w:sz w:val="22"/>
                <w:szCs w:val="22"/>
              </w:rPr>
            </w:pPr>
            <w:r>
              <w:rPr>
                <w:sz w:val="22"/>
                <w:szCs w:val="22"/>
              </w:rPr>
              <w:t>4</w:t>
            </w:r>
            <w:r w:rsidR="007F2D89">
              <w:rPr>
                <w:sz w:val="22"/>
                <w:szCs w:val="22"/>
              </w:rPr>
              <w:t>8</w:t>
            </w:r>
          </w:p>
        </w:tc>
        <w:tc>
          <w:tcPr>
            <w:tcW w:w="1134" w:type="dxa"/>
          </w:tcPr>
          <w:p w:rsidR="00D42476" w:rsidRPr="00E80380" w:rsidRDefault="007F2D89" w:rsidP="00722156">
            <w:pPr>
              <w:pStyle w:val="CommentText"/>
              <w:numPr>
                <w:ilvl w:val="0"/>
                <w:numId w:val="1"/>
              </w:numPr>
              <w:jc w:val="center"/>
              <w:rPr>
                <w:sz w:val="22"/>
                <w:szCs w:val="22"/>
              </w:rPr>
            </w:pPr>
            <w:r>
              <w:rPr>
                <w:sz w:val="22"/>
                <w:szCs w:val="22"/>
              </w:rPr>
              <w:t>3</w:t>
            </w:r>
          </w:p>
        </w:tc>
        <w:tc>
          <w:tcPr>
            <w:tcW w:w="1134" w:type="dxa"/>
          </w:tcPr>
          <w:p w:rsidR="00D42476" w:rsidRPr="00E80380" w:rsidRDefault="007F2D89" w:rsidP="00722156">
            <w:pPr>
              <w:pStyle w:val="CommentText"/>
              <w:numPr>
                <w:ilvl w:val="0"/>
                <w:numId w:val="1"/>
              </w:numPr>
              <w:jc w:val="center"/>
              <w:rPr>
                <w:sz w:val="22"/>
                <w:szCs w:val="22"/>
              </w:rPr>
            </w:pPr>
            <w:r>
              <w:rPr>
                <w:sz w:val="22"/>
                <w:szCs w:val="22"/>
              </w:rPr>
              <w:t>8</w:t>
            </w:r>
          </w:p>
        </w:tc>
        <w:tc>
          <w:tcPr>
            <w:tcW w:w="1134" w:type="dxa"/>
          </w:tcPr>
          <w:p w:rsidR="00D42476" w:rsidRPr="00E80380" w:rsidRDefault="007F2D89" w:rsidP="00722156">
            <w:pPr>
              <w:pStyle w:val="CommentText"/>
              <w:numPr>
                <w:ilvl w:val="0"/>
                <w:numId w:val="1"/>
              </w:numPr>
              <w:jc w:val="center"/>
              <w:rPr>
                <w:sz w:val="22"/>
                <w:szCs w:val="22"/>
              </w:rPr>
            </w:pPr>
            <w:r>
              <w:rPr>
                <w:sz w:val="22"/>
                <w:szCs w:val="22"/>
              </w:rPr>
              <w:t>8</w:t>
            </w:r>
          </w:p>
        </w:tc>
        <w:tc>
          <w:tcPr>
            <w:tcW w:w="992" w:type="dxa"/>
          </w:tcPr>
          <w:p w:rsidR="00D42476" w:rsidRPr="00E80380" w:rsidRDefault="00DC56D6" w:rsidP="00722156">
            <w:pPr>
              <w:pStyle w:val="CommentText"/>
              <w:numPr>
                <w:ilvl w:val="0"/>
                <w:numId w:val="1"/>
              </w:numPr>
              <w:jc w:val="center"/>
              <w:rPr>
                <w:sz w:val="22"/>
                <w:szCs w:val="22"/>
              </w:rPr>
            </w:pPr>
            <w:r>
              <w:rPr>
                <w:sz w:val="22"/>
                <w:szCs w:val="22"/>
              </w:rPr>
              <w:t>5</w:t>
            </w:r>
          </w:p>
        </w:tc>
        <w:tc>
          <w:tcPr>
            <w:tcW w:w="844" w:type="dxa"/>
          </w:tcPr>
          <w:p w:rsidR="00D42476" w:rsidRPr="00E80380" w:rsidRDefault="007F2D89" w:rsidP="00722156">
            <w:pPr>
              <w:pStyle w:val="CommentText"/>
              <w:numPr>
                <w:ilvl w:val="0"/>
                <w:numId w:val="1"/>
              </w:numPr>
              <w:jc w:val="center"/>
              <w:rPr>
                <w:sz w:val="22"/>
                <w:szCs w:val="22"/>
              </w:rPr>
            </w:pPr>
            <w:r>
              <w:rPr>
                <w:sz w:val="22"/>
                <w:szCs w:val="22"/>
              </w:rPr>
              <w:t>72</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5.</w:t>
            </w:r>
          </w:p>
        </w:tc>
        <w:tc>
          <w:tcPr>
            <w:tcW w:w="1985" w:type="dxa"/>
            <w:vAlign w:val="center"/>
          </w:tcPr>
          <w:p w:rsidR="00D42476" w:rsidRPr="00C74538" w:rsidRDefault="00D42476" w:rsidP="00722156">
            <w:pPr>
              <w:pStyle w:val="CommentText"/>
              <w:numPr>
                <w:ilvl w:val="0"/>
                <w:numId w:val="1"/>
              </w:numPr>
              <w:rPr>
                <w:sz w:val="22"/>
                <w:szCs w:val="22"/>
              </w:rPr>
            </w:pPr>
            <w:r w:rsidRPr="00A92B1F">
              <w:rPr>
                <w:color w:val="000000"/>
                <w:sz w:val="22"/>
                <w:szCs w:val="22"/>
              </w:rPr>
              <w:t>Latvijas Kultūras akadēmijas Latvijas Kultūras koledža</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102</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22</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24</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25</w:t>
            </w:r>
          </w:p>
        </w:tc>
        <w:tc>
          <w:tcPr>
            <w:tcW w:w="992" w:type="dxa"/>
          </w:tcPr>
          <w:p w:rsidR="00D42476" w:rsidRPr="00E80380" w:rsidRDefault="00A92B1F" w:rsidP="00722156">
            <w:pPr>
              <w:pStyle w:val="CommentText"/>
              <w:numPr>
                <w:ilvl w:val="0"/>
                <w:numId w:val="1"/>
              </w:numPr>
              <w:jc w:val="center"/>
              <w:rPr>
                <w:sz w:val="22"/>
                <w:szCs w:val="22"/>
              </w:rPr>
            </w:pPr>
            <w:r>
              <w:rPr>
                <w:sz w:val="22"/>
                <w:szCs w:val="22"/>
              </w:rPr>
              <w:t>20</w:t>
            </w:r>
          </w:p>
        </w:tc>
        <w:tc>
          <w:tcPr>
            <w:tcW w:w="844" w:type="dxa"/>
          </w:tcPr>
          <w:p w:rsidR="00D42476" w:rsidRPr="00E80380" w:rsidRDefault="00A92B1F" w:rsidP="00722156">
            <w:pPr>
              <w:pStyle w:val="CommentText"/>
              <w:numPr>
                <w:ilvl w:val="0"/>
                <w:numId w:val="1"/>
              </w:numPr>
              <w:jc w:val="center"/>
              <w:rPr>
                <w:sz w:val="22"/>
                <w:szCs w:val="22"/>
              </w:rPr>
            </w:pPr>
            <w:r>
              <w:rPr>
                <w:sz w:val="22"/>
                <w:szCs w:val="22"/>
              </w:rPr>
              <w:t>193</w:t>
            </w:r>
          </w:p>
        </w:tc>
      </w:tr>
      <w:tr w:rsidR="00AF133C" w:rsidTr="003F43D4">
        <w:tc>
          <w:tcPr>
            <w:tcW w:w="704" w:type="dxa"/>
          </w:tcPr>
          <w:p w:rsidR="00AF133C" w:rsidRPr="00E80380" w:rsidRDefault="00AF133C" w:rsidP="00AF133C">
            <w:pPr>
              <w:pStyle w:val="CommentText"/>
              <w:rPr>
                <w:sz w:val="22"/>
                <w:szCs w:val="22"/>
              </w:rPr>
            </w:pPr>
            <w:r w:rsidRPr="00E80380">
              <w:rPr>
                <w:sz w:val="22"/>
                <w:szCs w:val="22"/>
              </w:rPr>
              <w:t>6.</w:t>
            </w:r>
          </w:p>
        </w:tc>
        <w:tc>
          <w:tcPr>
            <w:tcW w:w="1985" w:type="dxa"/>
            <w:vAlign w:val="center"/>
          </w:tcPr>
          <w:p w:rsidR="00AF133C" w:rsidRPr="0091395E" w:rsidRDefault="00AF133C" w:rsidP="00722156">
            <w:pPr>
              <w:pStyle w:val="CommentText"/>
              <w:numPr>
                <w:ilvl w:val="0"/>
                <w:numId w:val="1"/>
              </w:numPr>
              <w:rPr>
                <w:sz w:val="22"/>
                <w:szCs w:val="22"/>
                <w:highlight w:val="green"/>
              </w:rPr>
            </w:pPr>
            <w:r w:rsidRPr="0067200B">
              <w:rPr>
                <w:color w:val="000000"/>
                <w:sz w:val="22"/>
                <w:szCs w:val="22"/>
              </w:rPr>
              <w:t>Ugunsdzēsības un civilās aizsardzības koledža</w:t>
            </w:r>
          </w:p>
        </w:tc>
        <w:tc>
          <w:tcPr>
            <w:tcW w:w="1134" w:type="dxa"/>
          </w:tcPr>
          <w:p w:rsidR="00AF133C" w:rsidRPr="00E80380" w:rsidRDefault="00AF133C" w:rsidP="003F43D4">
            <w:pPr>
              <w:pStyle w:val="CommentText"/>
              <w:numPr>
                <w:ilvl w:val="0"/>
                <w:numId w:val="1"/>
              </w:numPr>
              <w:jc w:val="center"/>
              <w:rPr>
                <w:sz w:val="22"/>
                <w:szCs w:val="22"/>
              </w:rPr>
            </w:pPr>
            <w:r>
              <w:rPr>
                <w:color w:val="000000"/>
                <w:sz w:val="22"/>
                <w:szCs w:val="22"/>
              </w:rPr>
              <w:t>15</w:t>
            </w:r>
          </w:p>
        </w:tc>
        <w:tc>
          <w:tcPr>
            <w:tcW w:w="1134" w:type="dxa"/>
          </w:tcPr>
          <w:p w:rsidR="00AF133C" w:rsidRPr="00E80380" w:rsidRDefault="00AF133C" w:rsidP="003F43D4">
            <w:pPr>
              <w:pStyle w:val="CommentText"/>
              <w:numPr>
                <w:ilvl w:val="0"/>
                <w:numId w:val="1"/>
              </w:numPr>
              <w:jc w:val="center"/>
              <w:rPr>
                <w:sz w:val="22"/>
                <w:szCs w:val="22"/>
              </w:rPr>
            </w:pPr>
            <w:r>
              <w:rPr>
                <w:color w:val="000000"/>
                <w:sz w:val="22"/>
                <w:szCs w:val="22"/>
              </w:rPr>
              <w:t>7</w:t>
            </w:r>
          </w:p>
        </w:tc>
        <w:tc>
          <w:tcPr>
            <w:tcW w:w="1134" w:type="dxa"/>
          </w:tcPr>
          <w:p w:rsidR="00AF133C" w:rsidRPr="00E80380" w:rsidRDefault="00AF133C" w:rsidP="003F43D4">
            <w:pPr>
              <w:pStyle w:val="CommentText"/>
              <w:numPr>
                <w:ilvl w:val="0"/>
                <w:numId w:val="1"/>
              </w:numPr>
              <w:jc w:val="center"/>
              <w:rPr>
                <w:sz w:val="22"/>
                <w:szCs w:val="22"/>
              </w:rPr>
            </w:pPr>
            <w:r>
              <w:rPr>
                <w:color w:val="000000"/>
                <w:sz w:val="22"/>
                <w:szCs w:val="22"/>
              </w:rPr>
              <w:t>5</w:t>
            </w:r>
          </w:p>
        </w:tc>
        <w:tc>
          <w:tcPr>
            <w:tcW w:w="1134" w:type="dxa"/>
          </w:tcPr>
          <w:p w:rsidR="00AF133C" w:rsidRPr="00E80380" w:rsidRDefault="00AF133C" w:rsidP="003F43D4">
            <w:pPr>
              <w:pStyle w:val="CommentText"/>
              <w:numPr>
                <w:ilvl w:val="0"/>
                <w:numId w:val="1"/>
              </w:numPr>
              <w:jc w:val="center"/>
              <w:rPr>
                <w:sz w:val="22"/>
                <w:szCs w:val="22"/>
              </w:rPr>
            </w:pPr>
            <w:r>
              <w:rPr>
                <w:color w:val="000000"/>
                <w:sz w:val="22"/>
                <w:szCs w:val="22"/>
              </w:rPr>
              <w:t>8</w:t>
            </w:r>
          </w:p>
        </w:tc>
        <w:tc>
          <w:tcPr>
            <w:tcW w:w="992" w:type="dxa"/>
          </w:tcPr>
          <w:p w:rsidR="00AF133C" w:rsidRPr="00E80380" w:rsidRDefault="00AF133C" w:rsidP="003F43D4">
            <w:pPr>
              <w:pStyle w:val="CommentText"/>
              <w:numPr>
                <w:ilvl w:val="0"/>
                <w:numId w:val="1"/>
              </w:numPr>
              <w:jc w:val="center"/>
              <w:rPr>
                <w:sz w:val="22"/>
                <w:szCs w:val="22"/>
              </w:rPr>
            </w:pPr>
            <w:r>
              <w:rPr>
                <w:color w:val="000000"/>
                <w:sz w:val="22"/>
                <w:szCs w:val="22"/>
              </w:rPr>
              <w:t>10</w:t>
            </w:r>
          </w:p>
        </w:tc>
        <w:tc>
          <w:tcPr>
            <w:tcW w:w="844" w:type="dxa"/>
          </w:tcPr>
          <w:p w:rsidR="00AF133C" w:rsidRPr="00E80380" w:rsidRDefault="00AF133C" w:rsidP="00722156">
            <w:pPr>
              <w:pStyle w:val="CommentText"/>
              <w:numPr>
                <w:ilvl w:val="0"/>
                <w:numId w:val="1"/>
              </w:numPr>
              <w:jc w:val="center"/>
              <w:rPr>
                <w:sz w:val="22"/>
                <w:szCs w:val="22"/>
              </w:rPr>
            </w:pPr>
            <w:r>
              <w:rPr>
                <w:sz w:val="22"/>
                <w:szCs w:val="22"/>
              </w:rPr>
              <w:t>45</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7.</w:t>
            </w:r>
          </w:p>
        </w:tc>
        <w:tc>
          <w:tcPr>
            <w:tcW w:w="1985" w:type="dxa"/>
            <w:vAlign w:val="center"/>
          </w:tcPr>
          <w:p w:rsidR="00D42476" w:rsidRPr="0067200B" w:rsidRDefault="00D42476" w:rsidP="00722156">
            <w:pPr>
              <w:pStyle w:val="CommentText"/>
              <w:numPr>
                <w:ilvl w:val="0"/>
                <w:numId w:val="1"/>
              </w:numPr>
              <w:rPr>
                <w:sz w:val="22"/>
                <w:szCs w:val="22"/>
              </w:rPr>
            </w:pPr>
            <w:r w:rsidRPr="0067200B">
              <w:rPr>
                <w:color w:val="000000"/>
                <w:sz w:val="22"/>
                <w:szCs w:val="22"/>
              </w:rPr>
              <w:t xml:space="preserve">Sociālās integrācijas valsts aģentūras koledža </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61</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9</w:t>
            </w:r>
          </w:p>
        </w:tc>
        <w:tc>
          <w:tcPr>
            <w:tcW w:w="1134" w:type="dxa"/>
          </w:tcPr>
          <w:p w:rsidR="00D42476" w:rsidRPr="00E80380" w:rsidRDefault="0067200B" w:rsidP="00722156">
            <w:pPr>
              <w:pStyle w:val="CommentText"/>
              <w:numPr>
                <w:ilvl w:val="0"/>
                <w:numId w:val="1"/>
              </w:numPr>
              <w:jc w:val="center"/>
              <w:rPr>
                <w:sz w:val="22"/>
                <w:szCs w:val="22"/>
              </w:rPr>
            </w:pPr>
            <w:r>
              <w:rPr>
                <w:sz w:val="22"/>
                <w:szCs w:val="22"/>
              </w:rPr>
              <w:t>18</w:t>
            </w:r>
          </w:p>
        </w:tc>
        <w:tc>
          <w:tcPr>
            <w:tcW w:w="1134" w:type="dxa"/>
          </w:tcPr>
          <w:p w:rsidR="00D42476" w:rsidRPr="00E80380" w:rsidRDefault="0067200B" w:rsidP="00722156">
            <w:pPr>
              <w:pStyle w:val="CommentText"/>
              <w:numPr>
                <w:ilvl w:val="0"/>
                <w:numId w:val="1"/>
              </w:numPr>
              <w:jc w:val="center"/>
              <w:rPr>
                <w:sz w:val="22"/>
                <w:szCs w:val="22"/>
              </w:rPr>
            </w:pPr>
            <w:r>
              <w:rPr>
                <w:sz w:val="22"/>
                <w:szCs w:val="22"/>
              </w:rPr>
              <w:t>3</w:t>
            </w:r>
          </w:p>
        </w:tc>
        <w:tc>
          <w:tcPr>
            <w:tcW w:w="992" w:type="dxa"/>
          </w:tcPr>
          <w:p w:rsidR="00D42476" w:rsidRPr="00E80380" w:rsidRDefault="0067200B" w:rsidP="00722156">
            <w:pPr>
              <w:pStyle w:val="CommentText"/>
              <w:numPr>
                <w:ilvl w:val="0"/>
                <w:numId w:val="1"/>
              </w:numPr>
              <w:jc w:val="center"/>
              <w:rPr>
                <w:sz w:val="22"/>
                <w:szCs w:val="22"/>
              </w:rPr>
            </w:pPr>
            <w:r>
              <w:rPr>
                <w:sz w:val="22"/>
                <w:szCs w:val="22"/>
              </w:rPr>
              <w:t>6</w:t>
            </w:r>
          </w:p>
        </w:tc>
        <w:tc>
          <w:tcPr>
            <w:tcW w:w="844" w:type="dxa"/>
          </w:tcPr>
          <w:p w:rsidR="00D42476" w:rsidRPr="00E80380" w:rsidRDefault="0067200B" w:rsidP="00722156">
            <w:pPr>
              <w:pStyle w:val="CommentText"/>
              <w:numPr>
                <w:ilvl w:val="0"/>
                <w:numId w:val="1"/>
              </w:numPr>
              <w:jc w:val="center"/>
              <w:rPr>
                <w:sz w:val="22"/>
                <w:szCs w:val="22"/>
              </w:rPr>
            </w:pPr>
            <w:r>
              <w:rPr>
                <w:sz w:val="22"/>
                <w:szCs w:val="22"/>
              </w:rPr>
              <w:t>97</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8.</w:t>
            </w:r>
          </w:p>
        </w:tc>
        <w:tc>
          <w:tcPr>
            <w:tcW w:w="1985" w:type="dxa"/>
            <w:vAlign w:val="center"/>
          </w:tcPr>
          <w:p w:rsidR="00D42476" w:rsidRPr="0067200B" w:rsidRDefault="00D42476" w:rsidP="00722156">
            <w:pPr>
              <w:pStyle w:val="CommentText"/>
              <w:numPr>
                <w:ilvl w:val="0"/>
                <w:numId w:val="1"/>
              </w:numPr>
              <w:rPr>
                <w:sz w:val="22"/>
                <w:szCs w:val="22"/>
              </w:rPr>
            </w:pPr>
            <w:r w:rsidRPr="0067200B">
              <w:rPr>
                <w:color w:val="000000"/>
                <w:sz w:val="22"/>
                <w:szCs w:val="22"/>
              </w:rPr>
              <w:t>Latvijas Universitātes P.Stradiņa medicīnas koledža</w:t>
            </w:r>
          </w:p>
        </w:tc>
        <w:tc>
          <w:tcPr>
            <w:tcW w:w="1134" w:type="dxa"/>
          </w:tcPr>
          <w:p w:rsidR="00D42476" w:rsidRPr="00E80380" w:rsidRDefault="00F304CE" w:rsidP="00722156">
            <w:pPr>
              <w:pStyle w:val="CommentText"/>
              <w:numPr>
                <w:ilvl w:val="0"/>
                <w:numId w:val="1"/>
              </w:numPr>
              <w:jc w:val="center"/>
              <w:rPr>
                <w:sz w:val="22"/>
                <w:szCs w:val="22"/>
              </w:rPr>
            </w:pPr>
            <w:r>
              <w:rPr>
                <w:sz w:val="22"/>
                <w:szCs w:val="22"/>
              </w:rPr>
              <w:t>320</w:t>
            </w:r>
          </w:p>
        </w:tc>
        <w:tc>
          <w:tcPr>
            <w:tcW w:w="1134" w:type="dxa"/>
          </w:tcPr>
          <w:p w:rsidR="00D42476" w:rsidRPr="00E80380" w:rsidRDefault="00F304CE" w:rsidP="00722156">
            <w:pPr>
              <w:pStyle w:val="CommentText"/>
              <w:numPr>
                <w:ilvl w:val="0"/>
                <w:numId w:val="1"/>
              </w:numPr>
              <w:jc w:val="center"/>
              <w:rPr>
                <w:sz w:val="22"/>
                <w:szCs w:val="22"/>
              </w:rPr>
            </w:pPr>
            <w:r>
              <w:rPr>
                <w:sz w:val="22"/>
                <w:szCs w:val="22"/>
              </w:rPr>
              <w:t>31</w:t>
            </w:r>
          </w:p>
        </w:tc>
        <w:tc>
          <w:tcPr>
            <w:tcW w:w="1134" w:type="dxa"/>
          </w:tcPr>
          <w:p w:rsidR="00D42476" w:rsidRPr="00E80380" w:rsidRDefault="00F304CE" w:rsidP="00722156">
            <w:pPr>
              <w:pStyle w:val="CommentText"/>
              <w:numPr>
                <w:ilvl w:val="0"/>
                <w:numId w:val="1"/>
              </w:numPr>
              <w:jc w:val="center"/>
              <w:rPr>
                <w:sz w:val="22"/>
                <w:szCs w:val="22"/>
              </w:rPr>
            </w:pPr>
            <w:r>
              <w:rPr>
                <w:sz w:val="22"/>
                <w:szCs w:val="22"/>
              </w:rPr>
              <w:t>32</w:t>
            </w:r>
          </w:p>
        </w:tc>
        <w:tc>
          <w:tcPr>
            <w:tcW w:w="1134" w:type="dxa"/>
          </w:tcPr>
          <w:p w:rsidR="00D42476" w:rsidRPr="00E80380" w:rsidRDefault="00F304CE" w:rsidP="00722156">
            <w:pPr>
              <w:pStyle w:val="CommentText"/>
              <w:numPr>
                <w:ilvl w:val="0"/>
                <w:numId w:val="1"/>
              </w:numPr>
              <w:jc w:val="center"/>
              <w:rPr>
                <w:sz w:val="22"/>
                <w:szCs w:val="22"/>
              </w:rPr>
            </w:pPr>
            <w:r>
              <w:rPr>
                <w:sz w:val="22"/>
                <w:szCs w:val="22"/>
              </w:rPr>
              <w:t>36</w:t>
            </w:r>
          </w:p>
        </w:tc>
        <w:tc>
          <w:tcPr>
            <w:tcW w:w="992" w:type="dxa"/>
          </w:tcPr>
          <w:p w:rsidR="00D42476" w:rsidRPr="00E80380" w:rsidRDefault="00F304CE" w:rsidP="00722156">
            <w:pPr>
              <w:pStyle w:val="CommentText"/>
              <w:numPr>
                <w:ilvl w:val="0"/>
                <w:numId w:val="1"/>
              </w:numPr>
              <w:jc w:val="center"/>
              <w:rPr>
                <w:sz w:val="22"/>
                <w:szCs w:val="22"/>
              </w:rPr>
            </w:pPr>
            <w:r>
              <w:rPr>
                <w:sz w:val="22"/>
                <w:szCs w:val="22"/>
              </w:rPr>
              <w:t>66</w:t>
            </w:r>
          </w:p>
        </w:tc>
        <w:tc>
          <w:tcPr>
            <w:tcW w:w="844" w:type="dxa"/>
          </w:tcPr>
          <w:p w:rsidR="00D42476" w:rsidRPr="00E80380" w:rsidRDefault="00F304CE" w:rsidP="00722156">
            <w:pPr>
              <w:pStyle w:val="CommentText"/>
              <w:numPr>
                <w:ilvl w:val="0"/>
                <w:numId w:val="1"/>
              </w:numPr>
              <w:jc w:val="center"/>
              <w:rPr>
                <w:sz w:val="22"/>
                <w:szCs w:val="22"/>
              </w:rPr>
            </w:pPr>
            <w:r>
              <w:rPr>
                <w:sz w:val="22"/>
                <w:szCs w:val="22"/>
              </w:rPr>
              <w:t>485</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9.</w:t>
            </w:r>
          </w:p>
        </w:tc>
        <w:tc>
          <w:tcPr>
            <w:tcW w:w="1985" w:type="dxa"/>
            <w:vAlign w:val="center"/>
          </w:tcPr>
          <w:p w:rsidR="00D42476" w:rsidRPr="00E80380" w:rsidRDefault="004C085F" w:rsidP="00722156">
            <w:pPr>
              <w:pStyle w:val="CommentText"/>
              <w:numPr>
                <w:ilvl w:val="0"/>
                <w:numId w:val="1"/>
              </w:numPr>
              <w:rPr>
                <w:sz w:val="22"/>
                <w:szCs w:val="22"/>
              </w:rPr>
            </w:pPr>
            <w:r>
              <w:rPr>
                <w:color w:val="000000"/>
                <w:sz w:val="22"/>
                <w:szCs w:val="22"/>
              </w:rPr>
              <w:t>Latvijas Universitātes Rīgas M</w:t>
            </w:r>
            <w:r w:rsidR="00D42476" w:rsidRPr="00E80380">
              <w:rPr>
                <w:color w:val="000000"/>
                <w:sz w:val="22"/>
                <w:szCs w:val="22"/>
              </w:rPr>
              <w:t xml:space="preserve">edicīnas koledža </w:t>
            </w:r>
          </w:p>
        </w:tc>
        <w:tc>
          <w:tcPr>
            <w:tcW w:w="1134" w:type="dxa"/>
          </w:tcPr>
          <w:p w:rsidR="00D42476" w:rsidRPr="00E80380" w:rsidRDefault="00F304CE" w:rsidP="00722156">
            <w:pPr>
              <w:pStyle w:val="CommentText"/>
              <w:numPr>
                <w:ilvl w:val="0"/>
                <w:numId w:val="1"/>
              </w:numPr>
              <w:jc w:val="center"/>
              <w:rPr>
                <w:sz w:val="22"/>
                <w:szCs w:val="22"/>
              </w:rPr>
            </w:pPr>
            <w:r>
              <w:rPr>
                <w:sz w:val="22"/>
                <w:szCs w:val="22"/>
              </w:rPr>
              <w:t>182</w:t>
            </w:r>
          </w:p>
        </w:tc>
        <w:tc>
          <w:tcPr>
            <w:tcW w:w="1134" w:type="dxa"/>
          </w:tcPr>
          <w:p w:rsidR="00D42476" w:rsidRPr="00E80380" w:rsidRDefault="00F304CE" w:rsidP="00722156">
            <w:pPr>
              <w:pStyle w:val="CommentText"/>
              <w:numPr>
                <w:ilvl w:val="0"/>
                <w:numId w:val="1"/>
              </w:numPr>
              <w:jc w:val="center"/>
              <w:rPr>
                <w:sz w:val="22"/>
                <w:szCs w:val="22"/>
              </w:rPr>
            </w:pPr>
            <w:r>
              <w:rPr>
                <w:sz w:val="22"/>
                <w:szCs w:val="22"/>
              </w:rPr>
              <w:t>37</w:t>
            </w:r>
          </w:p>
        </w:tc>
        <w:tc>
          <w:tcPr>
            <w:tcW w:w="1134" w:type="dxa"/>
          </w:tcPr>
          <w:p w:rsidR="00D42476" w:rsidRPr="00E80380" w:rsidRDefault="00F304CE" w:rsidP="00722156">
            <w:pPr>
              <w:pStyle w:val="CommentText"/>
              <w:numPr>
                <w:ilvl w:val="0"/>
                <w:numId w:val="1"/>
              </w:numPr>
              <w:jc w:val="center"/>
              <w:rPr>
                <w:sz w:val="22"/>
                <w:szCs w:val="22"/>
              </w:rPr>
            </w:pPr>
            <w:r>
              <w:rPr>
                <w:sz w:val="22"/>
                <w:szCs w:val="22"/>
              </w:rPr>
              <w:t>30</w:t>
            </w:r>
          </w:p>
        </w:tc>
        <w:tc>
          <w:tcPr>
            <w:tcW w:w="1134" w:type="dxa"/>
          </w:tcPr>
          <w:p w:rsidR="00D42476" w:rsidRPr="00E80380" w:rsidRDefault="00F304CE" w:rsidP="00722156">
            <w:pPr>
              <w:pStyle w:val="CommentText"/>
              <w:numPr>
                <w:ilvl w:val="0"/>
                <w:numId w:val="1"/>
              </w:numPr>
              <w:jc w:val="center"/>
              <w:rPr>
                <w:sz w:val="22"/>
                <w:szCs w:val="22"/>
              </w:rPr>
            </w:pPr>
            <w:r>
              <w:rPr>
                <w:sz w:val="22"/>
                <w:szCs w:val="22"/>
              </w:rPr>
              <w:t>46</w:t>
            </w:r>
          </w:p>
        </w:tc>
        <w:tc>
          <w:tcPr>
            <w:tcW w:w="992" w:type="dxa"/>
          </w:tcPr>
          <w:p w:rsidR="00D42476" w:rsidRPr="00E80380" w:rsidRDefault="00F304CE" w:rsidP="00722156">
            <w:pPr>
              <w:pStyle w:val="CommentText"/>
              <w:numPr>
                <w:ilvl w:val="0"/>
                <w:numId w:val="1"/>
              </w:numPr>
              <w:jc w:val="center"/>
              <w:rPr>
                <w:sz w:val="22"/>
                <w:szCs w:val="22"/>
              </w:rPr>
            </w:pPr>
            <w:r>
              <w:rPr>
                <w:sz w:val="22"/>
                <w:szCs w:val="22"/>
              </w:rPr>
              <w:t>37</w:t>
            </w:r>
          </w:p>
        </w:tc>
        <w:tc>
          <w:tcPr>
            <w:tcW w:w="844" w:type="dxa"/>
          </w:tcPr>
          <w:p w:rsidR="00D42476" w:rsidRPr="00E80380" w:rsidRDefault="00F304CE" w:rsidP="00722156">
            <w:pPr>
              <w:pStyle w:val="CommentText"/>
              <w:numPr>
                <w:ilvl w:val="0"/>
                <w:numId w:val="1"/>
              </w:numPr>
              <w:jc w:val="center"/>
              <w:rPr>
                <w:sz w:val="22"/>
                <w:szCs w:val="22"/>
              </w:rPr>
            </w:pPr>
            <w:r>
              <w:rPr>
                <w:sz w:val="22"/>
                <w:szCs w:val="22"/>
              </w:rPr>
              <w:t>332</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10.</w:t>
            </w:r>
          </w:p>
        </w:tc>
        <w:tc>
          <w:tcPr>
            <w:tcW w:w="1985" w:type="dxa"/>
            <w:vAlign w:val="center"/>
          </w:tcPr>
          <w:p w:rsidR="00D42476" w:rsidRPr="00E80380" w:rsidRDefault="00D42476" w:rsidP="00722156">
            <w:pPr>
              <w:pStyle w:val="CommentText"/>
              <w:numPr>
                <w:ilvl w:val="0"/>
                <w:numId w:val="1"/>
              </w:numPr>
              <w:rPr>
                <w:sz w:val="22"/>
                <w:szCs w:val="22"/>
              </w:rPr>
            </w:pPr>
            <w:r w:rsidRPr="00C74538">
              <w:rPr>
                <w:color w:val="000000"/>
                <w:sz w:val="22"/>
                <w:szCs w:val="22"/>
              </w:rPr>
              <w:t>Rīgas Stradiņa universitātes Sarkanā Krusta medicīnas koledža</w:t>
            </w:r>
          </w:p>
        </w:tc>
        <w:tc>
          <w:tcPr>
            <w:tcW w:w="1134" w:type="dxa"/>
          </w:tcPr>
          <w:p w:rsidR="00D42476" w:rsidRPr="00E80380" w:rsidRDefault="0067200B" w:rsidP="00722156">
            <w:pPr>
              <w:pStyle w:val="CommentText"/>
              <w:numPr>
                <w:ilvl w:val="0"/>
                <w:numId w:val="1"/>
              </w:numPr>
              <w:jc w:val="center"/>
              <w:rPr>
                <w:sz w:val="22"/>
                <w:szCs w:val="22"/>
              </w:rPr>
            </w:pPr>
            <w:r>
              <w:rPr>
                <w:sz w:val="22"/>
                <w:szCs w:val="22"/>
              </w:rPr>
              <w:t>82</w:t>
            </w:r>
          </w:p>
        </w:tc>
        <w:tc>
          <w:tcPr>
            <w:tcW w:w="1134" w:type="dxa"/>
          </w:tcPr>
          <w:p w:rsidR="00D42476" w:rsidRPr="00E80380" w:rsidRDefault="00D85F8E" w:rsidP="00722156">
            <w:pPr>
              <w:pStyle w:val="CommentText"/>
              <w:numPr>
                <w:ilvl w:val="0"/>
                <w:numId w:val="1"/>
              </w:numPr>
              <w:jc w:val="center"/>
              <w:rPr>
                <w:sz w:val="22"/>
                <w:szCs w:val="22"/>
              </w:rPr>
            </w:pPr>
            <w:r>
              <w:rPr>
                <w:sz w:val="22"/>
                <w:szCs w:val="22"/>
              </w:rPr>
              <w:t>11</w:t>
            </w:r>
          </w:p>
        </w:tc>
        <w:tc>
          <w:tcPr>
            <w:tcW w:w="1134" w:type="dxa"/>
          </w:tcPr>
          <w:p w:rsidR="00D42476" w:rsidRPr="00E80380" w:rsidRDefault="00D85F8E" w:rsidP="00722156">
            <w:pPr>
              <w:pStyle w:val="CommentText"/>
              <w:numPr>
                <w:ilvl w:val="0"/>
                <w:numId w:val="1"/>
              </w:numPr>
              <w:jc w:val="center"/>
              <w:rPr>
                <w:sz w:val="22"/>
                <w:szCs w:val="22"/>
              </w:rPr>
            </w:pPr>
            <w:r>
              <w:rPr>
                <w:sz w:val="22"/>
                <w:szCs w:val="22"/>
              </w:rPr>
              <w:t>7</w:t>
            </w:r>
          </w:p>
        </w:tc>
        <w:tc>
          <w:tcPr>
            <w:tcW w:w="1134" w:type="dxa"/>
          </w:tcPr>
          <w:p w:rsidR="00D42476" w:rsidRPr="00E80380" w:rsidRDefault="00D85F8E" w:rsidP="00722156">
            <w:pPr>
              <w:pStyle w:val="CommentText"/>
              <w:numPr>
                <w:ilvl w:val="0"/>
                <w:numId w:val="1"/>
              </w:numPr>
              <w:jc w:val="center"/>
              <w:rPr>
                <w:sz w:val="22"/>
                <w:szCs w:val="22"/>
              </w:rPr>
            </w:pPr>
            <w:r>
              <w:rPr>
                <w:sz w:val="22"/>
                <w:szCs w:val="22"/>
              </w:rPr>
              <w:t>73</w:t>
            </w:r>
          </w:p>
        </w:tc>
        <w:tc>
          <w:tcPr>
            <w:tcW w:w="992" w:type="dxa"/>
          </w:tcPr>
          <w:p w:rsidR="00D42476" w:rsidRPr="00E80380" w:rsidRDefault="00D85F8E" w:rsidP="00722156">
            <w:pPr>
              <w:pStyle w:val="CommentText"/>
              <w:numPr>
                <w:ilvl w:val="0"/>
                <w:numId w:val="1"/>
              </w:numPr>
              <w:jc w:val="center"/>
              <w:rPr>
                <w:sz w:val="22"/>
                <w:szCs w:val="22"/>
              </w:rPr>
            </w:pPr>
            <w:r>
              <w:rPr>
                <w:sz w:val="22"/>
                <w:szCs w:val="22"/>
              </w:rPr>
              <w:t>5</w:t>
            </w:r>
          </w:p>
        </w:tc>
        <w:tc>
          <w:tcPr>
            <w:tcW w:w="844" w:type="dxa"/>
          </w:tcPr>
          <w:p w:rsidR="00D42476" w:rsidRPr="00E80380" w:rsidRDefault="00D85F8E" w:rsidP="00722156">
            <w:pPr>
              <w:pStyle w:val="CommentText"/>
              <w:numPr>
                <w:ilvl w:val="0"/>
                <w:numId w:val="1"/>
              </w:numPr>
              <w:jc w:val="center"/>
              <w:rPr>
                <w:sz w:val="22"/>
                <w:szCs w:val="22"/>
              </w:rPr>
            </w:pPr>
            <w:r>
              <w:rPr>
                <w:sz w:val="22"/>
                <w:szCs w:val="22"/>
              </w:rPr>
              <w:t>17</w:t>
            </w:r>
            <w:r w:rsidR="0067200B">
              <w:rPr>
                <w:sz w:val="22"/>
                <w:szCs w:val="22"/>
              </w:rPr>
              <w:t>8</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11.</w:t>
            </w:r>
          </w:p>
        </w:tc>
        <w:tc>
          <w:tcPr>
            <w:tcW w:w="1985" w:type="dxa"/>
            <w:vAlign w:val="center"/>
          </w:tcPr>
          <w:p w:rsidR="00D42476" w:rsidRPr="00E80380" w:rsidRDefault="00D42476" w:rsidP="00722156">
            <w:pPr>
              <w:pStyle w:val="CommentText"/>
              <w:numPr>
                <w:ilvl w:val="0"/>
                <w:numId w:val="1"/>
              </w:numPr>
              <w:rPr>
                <w:color w:val="000000"/>
                <w:sz w:val="22"/>
                <w:szCs w:val="22"/>
              </w:rPr>
            </w:pPr>
            <w:r w:rsidRPr="00E80380">
              <w:rPr>
                <w:color w:val="000000"/>
                <w:sz w:val="22"/>
                <w:szCs w:val="22"/>
              </w:rPr>
              <w:t>Rīgas 1.medicīnas koledža</w:t>
            </w:r>
          </w:p>
        </w:tc>
        <w:tc>
          <w:tcPr>
            <w:tcW w:w="1134" w:type="dxa"/>
          </w:tcPr>
          <w:p w:rsidR="00D42476" w:rsidRPr="00E80380" w:rsidRDefault="00F1154C" w:rsidP="00722156">
            <w:pPr>
              <w:pStyle w:val="CommentText"/>
              <w:numPr>
                <w:ilvl w:val="0"/>
                <w:numId w:val="1"/>
              </w:numPr>
              <w:jc w:val="center"/>
              <w:rPr>
                <w:sz w:val="22"/>
                <w:szCs w:val="22"/>
              </w:rPr>
            </w:pPr>
            <w:r>
              <w:rPr>
                <w:sz w:val="22"/>
                <w:szCs w:val="22"/>
              </w:rPr>
              <w:t>179</w:t>
            </w:r>
          </w:p>
        </w:tc>
        <w:tc>
          <w:tcPr>
            <w:tcW w:w="1134" w:type="dxa"/>
          </w:tcPr>
          <w:p w:rsidR="00D42476" w:rsidRPr="00E80380" w:rsidRDefault="00F1154C" w:rsidP="00722156">
            <w:pPr>
              <w:pStyle w:val="CommentText"/>
              <w:numPr>
                <w:ilvl w:val="0"/>
                <w:numId w:val="1"/>
              </w:numPr>
              <w:jc w:val="center"/>
              <w:rPr>
                <w:sz w:val="22"/>
                <w:szCs w:val="22"/>
              </w:rPr>
            </w:pPr>
            <w:r>
              <w:rPr>
                <w:sz w:val="22"/>
                <w:szCs w:val="22"/>
              </w:rPr>
              <w:t>17</w:t>
            </w:r>
          </w:p>
        </w:tc>
        <w:tc>
          <w:tcPr>
            <w:tcW w:w="1134" w:type="dxa"/>
          </w:tcPr>
          <w:p w:rsidR="00D42476" w:rsidRPr="00E80380" w:rsidRDefault="00F1154C" w:rsidP="00722156">
            <w:pPr>
              <w:pStyle w:val="CommentText"/>
              <w:numPr>
                <w:ilvl w:val="0"/>
                <w:numId w:val="1"/>
              </w:numPr>
              <w:jc w:val="center"/>
              <w:rPr>
                <w:sz w:val="22"/>
                <w:szCs w:val="22"/>
              </w:rPr>
            </w:pPr>
            <w:r>
              <w:rPr>
                <w:sz w:val="22"/>
                <w:szCs w:val="22"/>
              </w:rPr>
              <w:t>15</w:t>
            </w:r>
          </w:p>
        </w:tc>
        <w:tc>
          <w:tcPr>
            <w:tcW w:w="1134" w:type="dxa"/>
          </w:tcPr>
          <w:p w:rsidR="00D42476" w:rsidRPr="00E80380" w:rsidRDefault="00F1154C" w:rsidP="00722156">
            <w:pPr>
              <w:pStyle w:val="CommentText"/>
              <w:numPr>
                <w:ilvl w:val="0"/>
                <w:numId w:val="1"/>
              </w:numPr>
              <w:jc w:val="center"/>
              <w:rPr>
                <w:sz w:val="22"/>
                <w:szCs w:val="22"/>
              </w:rPr>
            </w:pPr>
            <w:r>
              <w:rPr>
                <w:sz w:val="22"/>
                <w:szCs w:val="22"/>
              </w:rPr>
              <w:t>19</w:t>
            </w:r>
          </w:p>
        </w:tc>
        <w:tc>
          <w:tcPr>
            <w:tcW w:w="992" w:type="dxa"/>
          </w:tcPr>
          <w:p w:rsidR="00D42476" w:rsidRPr="00E80380" w:rsidRDefault="00F1154C" w:rsidP="00722156">
            <w:pPr>
              <w:pStyle w:val="CommentText"/>
              <w:numPr>
                <w:ilvl w:val="0"/>
                <w:numId w:val="1"/>
              </w:numPr>
              <w:jc w:val="center"/>
              <w:rPr>
                <w:sz w:val="22"/>
                <w:szCs w:val="22"/>
              </w:rPr>
            </w:pPr>
            <w:r>
              <w:rPr>
                <w:sz w:val="22"/>
                <w:szCs w:val="22"/>
              </w:rPr>
              <w:t>21</w:t>
            </w:r>
          </w:p>
        </w:tc>
        <w:tc>
          <w:tcPr>
            <w:tcW w:w="844" w:type="dxa"/>
          </w:tcPr>
          <w:p w:rsidR="00D42476" w:rsidRPr="00E80380" w:rsidRDefault="00F1154C" w:rsidP="00722156">
            <w:pPr>
              <w:pStyle w:val="CommentText"/>
              <w:numPr>
                <w:ilvl w:val="0"/>
                <w:numId w:val="1"/>
              </w:numPr>
              <w:jc w:val="center"/>
              <w:rPr>
                <w:sz w:val="22"/>
                <w:szCs w:val="22"/>
              </w:rPr>
            </w:pPr>
            <w:r>
              <w:rPr>
                <w:sz w:val="22"/>
                <w:szCs w:val="22"/>
              </w:rPr>
              <w:t>251</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12.</w:t>
            </w:r>
          </w:p>
        </w:tc>
        <w:tc>
          <w:tcPr>
            <w:tcW w:w="1985" w:type="dxa"/>
            <w:vAlign w:val="center"/>
          </w:tcPr>
          <w:p w:rsidR="00D42476" w:rsidRPr="00E80380" w:rsidRDefault="00D42476" w:rsidP="00722156">
            <w:pPr>
              <w:pStyle w:val="CommentText"/>
              <w:numPr>
                <w:ilvl w:val="0"/>
                <w:numId w:val="1"/>
              </w:numPr>
              <w:rPr>
                <w:color w:val="000000"/>
                <w:sz w:val="22"/>
                <w:szCs w:val="22"/>
              </w:rPr>
            </w:pPr>
            <w:r w:rsidRPr="00A92B1F">
              <w:rPr>
                <w:color w:val="000000"/>
                <w:sz w:val="22"/>
                <w:szCs w:val="22"/>
              </w:rPr>
              <w:t>Valsts Policijas koledža</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49</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17</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9</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21</w:t>
            </w:r>
          </w:p>
        </w:tc>
        <w:tc>
          <w:tcPr>
            <w:tcW w:w="992" w:type="dxa"/>
          </w:tcPr>
          <w:p w:rsidR="00D42476" w:rsidRPr="00E80380" w:rsidRDefault="00A92B1F" w:rsidP="00722156">
            <w:pPr>
              <w:pStyle w:val="CommentText"/>
              <w:numPr>
                <w:ilvl w:val="0"/>
                <w:numId w:val="1"/>
              </w:numPr>
              <w:jc w:val="center"/>
              <w:rPr>
                <w:sz w:val="22"/>
                <w:szCs w:val="22"/>
              </w:rPr>
            </w:pPr>
            <w:r>
              <w:rPr>
                <w:sz w:val="22"/>
                <w:szCs w:val="22"/>
              </w:rPr>
              <w:t>26</w:t>
            </w:r>
          </w:p>
        </w:tc>
        <w:tc>
          <w:tcPr>
            <w:tcW w:w="844" w:type="dxa"/>
          </w:tcPr>
          <w:p w:rsidR="00D42476" w:rsidRPr="00E80380" w:rsidRDefault="00A92B1F" w:rsidP="00722156">
            <w:pPr>
              <w:pStyle w:val="CommentText"/>
              <w:numPr>
                <w:ilvl w:val="0"/>
                <w:numId w:val="1"/>
              </w:numPr>
              <w:jc w:val="center"/>
              <w:rPr>
                <w:sz w:val="22"/>
                <w:szCs w:val="22"/>
              </w:rPr>
            </w:pPr>
            <w:r>
              <w:rPr>
                <w:sz w:val="22"/>
                <w:szCs w:val="22"/>
              </w:rPr>
              <w:t>122</w:t>
            </w:r>
          </w:p>
        </w:tc>
      </w:tr>
      <w:tr w:rsidR="00D42476" w:rsidTr="00D42476">
        <w:tc>
          <w:tcPr>
            <w:tcW w:w="9061" w:type="dxa"/>
            <w:gridSpan w:val="8"/>
          </w:tcPr>
          <w:p w:rsidR="00D42476" w:rsidRPr="00E80380" w:rsidRDefault="00D42476" w:rsidP="00722156">
            <w:pPr>
              <w:pStyle w:val="CommentText"/>
              <w:numPr>
                <w:ilvl w:val="0"/>
                <w:numId w:val="1"/>
              </w:numPr>
              <w:rPr>
                <w:sz w:val="22"/>
                <w:szCs w:val="22"/>
              </w:rPr>
            </w:pPr>
            <w:r w:rsidRPr="00E80380">
              <w:rPr>
                <w:sz w:val="22"/>
                <w:szCs w:val="22"/>
              </w:rPr>
              <w:t xml:space="preserve">Pārējie Latvijas reģioni </w:t>
            </w:r>
          </w:p>
        </w:tc>
      </w:tr>
      <w:tr w:rsidR="00D42476" w:rsidTr="00D42476">
        <w:tc>
          <w:tcPr>
            <w:tcW w:w="704" w:type="dxa"/>
          </w:tcPr>
          <w:p w:rsidR="00D42476" w:rsidRPr="00B0785B" w:rsidRDefault="00D42476" w:rsidP="00D42476">
            <w:pPr>
              <w:pStyle w:val="CommentText"/>
              <w:rPr>
                <w:sz w:val="22"/>
                <w:szCs w:val="22"/>
              </w:rPr>
            </w:pPr>
            <w:r w:rsidRPr="00B0785B">
              <w:rPr>
                <w:sz w:val="22"/>
                <w:szCs w:val="22"/>
              </w:rPr>
              <w:t>13.</w:t>
            </w:r>
          </w:p>
        </w:tc>
        <w:tc>
          <w:tcPr>
            <w:tcW w:w="1985" w:type="dxa"/>
            <w:vAlign w:val="center"/>
          </w:tcPr>
          <w:p w:rsidR="00D42476" w:rsidRPr="0091395E" w:rsidRDefault="00D42476" w:rsidP="00722156">
            <w:pPr>
              <w:pStyle w:val="CommentText"/>
              <w:numPr>
                <w:ilvl w:val="0"/>
                <w:numId w:val="1"/>
              </w:numPr>
              <w:rPr>
                <w:color w:val="000000"/>
                <w:sz w:val="22"/>
                <w:szCs w:val="22"/>
                <w:highlight w:val="green"/>
              </w:rPr>
            </w:pPr>
            <w:r w:rsidRPr="0067200B">
              <w:rPr>
                <w:color w:val="000000"/>
                <w:sz w:val="22"/>
                <w:szCs w:val="22"/>
              </w:rPr>
              <w:t>Liepājas Jūrniecības koledža</w:t>
            </w:r>
          </w:p>
        </w:tc>
        <w:tc>
          <w:tcPr>
            <w:tcW w:w="1134" w:type="dxa"/>
          </w:tcPr>
          <w:p w:rsidR="00D42476" w:rsidRPr="00E80380" w:rsidRDefault="0067200B" w:rsidP="00722156">
            <w:pPr>
              <w:pStyle w:val="CommentText"/>
              <w:numPr>
                <w:ilvl w:val="0"/>
                <w:numId w:val="1"/>
              </w:numPr>
              <w:jc w:val="center"/>
              <w:rPr>
                <w:sz w:val="22"/>
                <w:szCs w:val="22"/>
              </w:rPr>
            </w:pPr>
            <w:r>
              <w:rPr>
                <w:sz w:val="22"/>
                <w:szCs w:val="22"/>
              </w:rPr>
              <w:t>85</w:t>
            </w:r>
          </w:p>
        </w:tc>
        <w:tc>
          <w:tcPr>
            <w:tcW w:w="1134" w:type="dxa"/>
          </w:tcPr>
          <w:p w:rsidR="00D42476" w:rsidRPr="00E80380" w:rsidRDefault="007F2D89" w:rsidP="00722156">
            <w:pPr>
              <w:pStyle w:val="CommentText"/>
              <w:numPr>
                <w:ilvl w:val="0"/>
                <w:numId w:val="1"/>
              </w:numPr>
              <w:jc w:val="center"/>
              <w:rPr>
                <w:sz w:val="22"/>
                <w:szCs w:val="22"/>
              </w:rPr>
            </w:pPr>
            <w:r>
              <w:rPr>
                <w:sz w:val="22"/>
                <w:szCs w:val="22"/>
              </w:rPr>
              <w:t>3</w:t>
            </w:r>
          </w:p>
        </w:tc>
        <w:tc>
          <w:tcPr>
            <w:tcW w:w="1134" w:type="dxa"/>
            <w:shd w:val="clear" w:color="auto" w:fill="D9D9D9" w:themeFill="background1" w:themeFillShade="D9"/>
          </w:tcPr>
          <w:p w:rsidR="00D42476" w:rsidRPr="00E80380" w:rsidRDefault="007F2D89" w:rsidP="00722156">
            <w:pPr>
              <w:pStyle w:val="CommentText"/>
              <w:numPr>
                <w:ilvl w:val="0"/>
                <w:numId w:val="1"/>
              </w:numPr>
              <w:jc w:val="center"/>
              <w:rPr>
                <w:sz w:val="22"/>
                <w:szCs w:val="22"/>
              </w:rPr>
            </w:pPr>
            <w:r>
              <w:rPr>
                <w:sz w:val="22"/>
                <w:szCs w:val="22"/>
              </w:rPr>
              <w:t>105</w:t>
            </w:r>
          </w:p>
        </w:tc>
        <w:tc>
          <w:tcPr>
            <w:tcW w:w="1134" w:type="dxa"/>
          </w:tcPr>
          <w:p w:rsidR="00D42476" w:rsidRPr="00E80380" w:rsidRDefault="007F2D89" w:rsidP="00722156">
            <w:pPr>
              <w:pStyle w:val="CommentText"/>
              <w:numPr>
                <w:ilvl w:val="0"/>
                <w:numId w:val="1"/>
              </w:numPr>
              <w:jc w:val="center"/>
              <w:rPr>
                <w:sz w:val="22"/>
                <w:szCs w:val="22"/>
              </w:rPr>
            </w:pPr>
            <w:r>
              <w:rPr>
                <w:sz w:val="22"/>
                <w:szCs w:val="22"/>
              </w:rPr>
              <w:t>8</w:t>
            </w:r>
          </w:p>
        </w:tc>
        <w:tc>
          <w:tcPr>
            <w:tcW w:w="992" w:type="dxa"/>
          </w:tcPr>
          <w:p w:rsidR="00D42476" w:rsidRPr="00E80380" w:rsidRDefault="0067200B" w:rsidP="00722156">
            <w:pPr>
              <w:pStyle w:val="CommentText"/>
              <w:numPr>
                <w:ilvl w:val="0"/>
                <w:numId w:val="1"/>
              </w:numPr>
              <w:jc w:val="center"/>
              <w:rPr>
                <w:sz w:val="22"/>
                <w:szCs w:val="22"/>
              </w:rPr>
            </w:pPr>
            <w:r>
              <w:rPr>
                <w:sz w:val="22"/>
                <w:szCs w:val="22"/>
              </w:rPr>
              <w:t>12</w:t>
            </w:r>
          </w:p>
        </w:tc>
        <w:tc>
          <w:tcPr>
            <w:tcW w:w="844" w:type="dxa"/>
          </w:tcPr>
          <w:p w:rsidR="00D42476" w:rsidRPr="00E80380" w:rsidRDefault="007F2D89" w:rsidP="00722156">
            <w:pPr>
              <w:pStyle w:val="CommentText"/>
              <w:numPr>
                <w:ilvl w:val="0"/>
                <w:numId w:val="1"/>
              </w:numPr>
              <w:jc w:val="center"/>
              <w:rPr>
                <w:sz w:val="22"/>
                <w:szCs w:val="22"/>
              </w:rPr>
            </w:pPr>
            <w:r>
              <w:rPr>
                <w:sz w:val="22"/>
                <w:szCs w:val="22"/>
              </w:rPr>
              <w:t>213</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14.</w:t>
            </w:r>
          </w:p>
        </w:tc>
        <w:tc>
          <w:tcPr>
            <w:tcW w:w="1985" w:type="dxa"/>
            <w:vAlign w:val="center"/>
          </w:tcPr>
          <w:p w:rsidR="00D42476" w:rsidRPr="0091395E" w:rsidRDefault="00D42476" w:rsidP="00722156">
            <w:pPr>
              <w:pStyle w:val="CommentText"/>
              <w:numPr>
                <w:ilvl w:val="0"/>
                <w:numId w:val="1"/>
              </w:numPr>
              <w:rPr>
                <w:color w:val="000000"/>
                <w:sz w:val="22"/>
                <w:szCs w:val="22"/>
                <w:highlight w:val="green"/>
              </w:rPr>
            </w:pPr>
            <w:r w:rsidRPr="007F2D89">
              <w:rPr>
                <w:color w:val="000000"/>
                <w:sz w:val="22"/>
                <w:szCs w:val="22"/>
              </w:rPr>
              <w:t xml:space="preserve">Jēkabpils </w:t>
            </w:r>
            <w:proofErr w:type="spellStart"/>
            <w:r w:rsidRPr="007F2D89">
              <w:rPr>
                <w:color w:val="000000"/>
                <w:sz w:val="22"/>
                <w:szCs w:val="22"/>
              </w:rPr>
              <w:t>Agrobiznesa</w:t>
            </w:r>
            <w:proofErr w:type="spellEnd"/>
            <w:r w:rsidRPr="007F2D89">
              <w:rPr>
                <w:color w:val="000000"/>
                <w:sz w:val="22"/>
                <w:szCs w:val="22"/>
              </w:rPr>
              <w:t xml:space="preserve"> koledža</w:t>
            </w:r>
          </w:p>
        </w:tc>
        <w:tc>
          <w:tcPr>
            <w:tcW w:w="1134" w:type="dxa"/>
          </w:tcPr>
          <w:p w:rsidR="00D42476" w:rsidRPr="00E80380" w:rsidRDefault="00DC56D6" w:rsidP="00722156">
            <w:pPr>
              <w:pStyle w:val="CommentText"/>
              <w:numPr>
                <w:ilvl w:val="0"/>
                <w:numId w:val="1"/>
              </w:numPr>
              <w:jc w:val="center"/>
              <w:rPr>
                <w:sz w:val="22"/>
                <w:szCs w:val="22"/>
              </w:rPr>
            </w:pPr>
            <w:r>
              <w:rPr>
                <w:sz w:val="22"/>
                <w:szCs w:val="22"/>
              </w:rPr>
              <w:t>3</w:t>
            </w:r>
          </w:p>
        </w:tc>
        <w:tc>
          <w:tcPr>
            <w:tcW w:w="1134" w:type="dxa"/>
          </w:tcPr>
          <w:p w:rsidR="00D42476" w:rsidRPr="00E80380" w:rsidRDefault="00DC56D6" w:rsidP="00722156">
            <w:pPr>
              <w:pStyle w:val="CommentText"/>
              <w:numPr>
                <w:ilvl w:val="0"/>
                <w:numId w:val="1"/>
              </w:numPr>
              <w:jc w:val="center"/>
              <w:rPr>
                <w:sz w:val="22"/>
                <w:szCs w:val="22"/>
              </w:rPr>
            </w:pPr>
            <w:r>
              <w:rPr>
                <w:sz w:val="22"/>
                <w:szCs w:val="22"/>
              </w:rPr>
              <w:t>2</w:t>
            </w:r>
            <w:r w:rsidR="007F2D89">
              <w:rPr>
                <w:sz w:val="22"/>
                <w:szCs w:val="22"/>
              </w:rPr>
              <w:t>3</w:t>
            </w:r>
          </w:p>
        </w:tc>
        <w:tc>
          <w:tcPr>
            <w:tcW w:w="1134" w:type="dxa"/>
          </w:tcPr>
          <w:p w:rsidR="00D42476" w:rsidRPr="00E80380" w:rsidRDefault="007F2D89" w:rsidP="00722156">
            <w:pPr>
              <w:pStyle w:val="CommentText"/>
              <w:numPr>
                <w:ilvl w:val="0"/>
                <w:numId w:val="1"/>
              </w:numPr>
              <w:jc w:val="center"/>
              <w:rPr>
                <w:sz w:val="22"/>
                <w:szCs w:val="22"/>
              </w:rPr>
            </w:pPr>
            <w:r>
              <w:rPr>
                <w:sz w:val="22"/>
                <w:szCs w:val="22"/>
              </w:rPr>
              <w:t>2</w:t>
            </w:r>
          </w:p>
        </w:tc>
        <w:tc>
          <w:tcPr>
            <w:tcW w:w="1134" w:type="dxa"/>
            <w:shd w:val="clear" w:color="auto" w:fill="D9D9D9" w:themeFill="background1" w:themeFillShade="D9"/>
          </w:tcPr>
          <w:p w:rsidR="00D42476" w:rsidRPr="00E80380" w:rsidRDefault="007F2D89" w:rsidP="00722156">
            <w:pPr>
              <w:pStyle w:val="CommentText"/>
              <w:numPr>
                <w:ilvl w:val="0"/>
                <w:numId w:val="1"/>
              </w:numPr>
              <w:jc w:val="center"/>
              <w:rPr>
                <w:sz w:val="22"/>
                <w:szCs w:val="22"/>
              </w:rPr>
            </w:pPr>
            <w:r>
              <w:rPr>
                <w:sz w:val="22"/>
                <w:szCs w:val="22"/>
              </w:rPr>
              <w:t>66</w:t>
            </w:r>
          </w:p>
        </w:tc>
        <w:tc>
          <w:tcPr>
            <w:tcW w:w="992" w:type="dxa"/>
          </w:tcPr>
          <w:p w:rsidR="00D42476" w:rsidRPr="00E80380" w:rsidRDefault="007F2D89" w:rsidP="00722156">
            <w:pPr>
              <w:pStyle w:val="CommentText"/>
              <w:numPr>
                <w:ilvl w:val="0"/>
                <w:numId w:val="1"/>
              </w:numPr>
              <w:jc w:val="center"/>
              <w:rPr>
                <w:sz w:val="22"/>
                <w:szCs w:val="22"/>
              </w:rPr>
            </w:pPr>
            <w:r>
              <w:rPr>
                <w:sz w:val="22"/>
                <w:szCs w:val="22"/>
              </w:rPr>
              <w:t>7</w:t>
            </w:r>
          </w:p>
        </w:tc>
        <w:tc>
          <w:tcPr>
            <w:tcW w:w="844" w:type="dxa"/>
          </w:tcPr>
          <w:p w:rsidR="00D42476" w:rsidRPr="00E80380" w:rsidRDefault="007F2D89" w:rsidP="00722156">
            <w:pPr>
              <w:pStyle w:val="CommentText"/>
              <w:numPr>
                <w:ilvl w:val="0"/>
                <w:numId w:val="1"/>
              </w:numPr>
              <w:jc w:val="center"/>
              <w:rPr>
                <w:sz w:val="22"/>
                <w:szCs w:val="22"/>
              </w:rPr>
            </w:pPr>
            <w:r>
              <w:rPr>
                <w:sz w:val="22"/>
                <w:szCs w:val="22"/>
              </w:rPr>
              <w:t>101</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15.</w:t>
            </w:r>
          </w:p>
        </w:tc>
        <w:tc>
          <w:tcPr>
            <w:tcW w:w="1985" w:type="dxa"/>
            <w:vAlign w:val="center"/>
          </w:tcPr>
          <w:p w:rsidR="00D42476" w:rsidRPr="00E80380" w:rsidRDefault="00D42476" w:rsidP="00722156">
            <w:pPr>
              <w:pStyle w:val="CommentText"/>
              <w:numPr>
                <w:ilvl w:val="0"/>
                <w:numId w:val="1"/>
              </w:numPr>
              <w:rPr>
                <w:color w:val="000000"/>
                <w:sz w:val="22"/>
                <w:szCs w:val="22"/>
              </w:rPr>
            </w:pPr>
            <w:r w:rsidRPr="00A92B1F">
              <w:rPr>
                <w:color w:val="000000"/>
                <w:sz w:val="22"/>
                <w:szCs w:val="22"/>
              </w:rPr>
              <w:t>Valsts Robežsardzes koledža</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1</w:t>
            </w:r>
          </w:p>
        </w:tc>
        <w:tc>
          <w:tcPr>
            <w:tcW w:w="1134" w:type="dxa"/>
          </w:tcPr>
          <w:p w:rsidR="00D42476" w:rsidRPr="00E80380" w:rsidRDefault="008B0D0E" w:rsidP="00722156">
            <w:pPr>
              <w:pStyle w:val="CommentText"/>
              <w:numPr>
                <w:ilvl w:val="0"/>
                <w:numId w:val="1"/>
              </w:numPr>
              <w:jc w:val="center"/>
              <w:rPr>
                <w:sz w:val="22"/>
                <w:szCs w:val="22"/>
              </w:rPr>
            </w:pPr>
            <w:r>
              <w:rPr>
                <w:sz w:val="22"/>
                <w:szCs w:val="22"/>
              </w:rPr>
              <w:t>3</w:t>
            </w:r>
          </w:p>
        </w:tc>
        <w:tc>
          <w:tcPr>
            <w:tcW w:w="1134" w:type="dxa"/>
          </w:tcPr>
          <w:p w:rsidR="00D42476" w:rsidRPr="00E80380" w:rsidRDefault="008B0D0E" w:rsidP="00722156">
            <w:pPr>
              <w:pStyle w:val="CommentText"/>
              <w:numPr>
                <w:ilvl w:val="0"/>
                <w:numId w:val="1"/>
              </w:numPr>
              <w:jc w:val="center"/>
              <w:rPr>
                <w:sz w:val="22"/>
                <w:szCs w:val="22"/>
              </w:rPr>
            </w:pPr>
            <w:r>
              <w:rPr>
                <w:sz w:val="22"/>
                <w:szCs w:val="22"/>
              </w:rPr>
              <w:t>2</w:t>
            </w:r>
          </w:p>
        </w:tc>
        <w:tc>
          <w:tcPr>
            <w:tcW w:w="1134" w:type="dxa"/>
          </w:tcPr>
          <w:p w:rsidR="00D42476" w:rsidRPr="00E80380" w:rsidRDefault="008B0D0E" w:rsidP="00722156">
            <w:pPr>
              <w:pStyle w:val="CommentText"/>
              <w:numPr>
                <w:ilvl w:val="0"/>
                <w:numId w:val="1"/>
              </w:numPr>
              <w:jc w:val="center"/>
              <w:rPr>
                <w:sz w:val="22"/>
                <w:szCs w:val="22"/>
              </w:rPr>
            </w:pPr>
            <w:r>
              <w:rPr>
                <w:sz w:val="22"/>
                <w:szCs w:val="22"/>
              </w:rPr>
              <w:t>0</w:t>
            </w:r>
          </w:p>
        </w:tc>
        <w:tc>
          <w:tcPr>
            <w:tcW w:w="992" w:type="dxa"/>
            <w:shd w:val="clear" w:color="auto" w:fill="D9D9D9" w:themeFill="background1" w:themeFillShade="D9"/>
          </w:tcPr>
          <w:p w:rsidR="00D42476" w:rsidRPr="00E80380" w:rsidRDefault="00A92B1F" w:rsidP="00722156">
            <w:pPr>
              <w:pStyle w:val="CommentText"/>
              <w:numPr>
                <w:ilvl w:val="0"/>
                <w:numId w:val="1"/>
              </w:numPr>
              <w:jc w:val="center"/>
              <w:rPr>
                <w:sz w:val="22"/>
                <w:szCs w:val="22"/>
              </w:rPr>
            </w:pPr>
            <w:r>
              <w:rPr>
                <w:sz w:val="22"/>
                <w:szCs w:val="22"/>
              </w:rPr>
              <w:t>36</w:t>
            </w:r>
          </w:p>
        </w:tc>
        <w:tc>
          <w:tcPr>
            <w:tcW w:w="844" w:type="dxa"/>
          </w:tcPr>
          <w:p w:rsidR="00D42476" w:rsidRPr="00E80380" w:rsidRDefault="00A92B1F" w:rsidP="00722156">
            <w:pPr>
              <w:pStyle w:val="CommentText"/>
              <w:numPr>
                <w:ilvl w:val="0"/>
                <w:numId w:val="1"/>
              </w:numPr>
              <w:jc w:val="center"/>
              <w:rPr>
                <w:sz w:val="22"/>
                <w:szCs w:val="22"/>
              </w:rPr>
            </w:pPr>
            <w:r>
              <w:rPr>
                <w:sz w:val="22"/>
                <w:szCs w:val="22"/>
              </w:rPr>
              <w:t>42</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16.</w:t>
            </w:r>
          </w:p>
        </w:tc>
        <w:tc>
          <w:tcPr>
            <w:tcW w:w="1985" w:type="dxa"/>
            <w:vAlign w:val="center"/>
          </w:tcPr>
          <w:p w:rsidR="00D42476" w:rsidRPr="00E80380" w:rsidRDefault="00D42476" w:rsidP="00722156">
            <w:pPr>
              <w:pStyle w:val="CommentText"/>
              <w:numPr>
                <w:ilvl w:val="0"/>
                <w:numId w:val="1"/>
              </w:numPr>
              <w:rPr>
                <w:color w:val="000000"/>
                <w:sz w:val="22"/>
                <w:szCs w:val="22"/>
              </w:rPr>
            </w:pPr>
            <w:r w:rsidRPr="00E80380">
              <w:rPr>
                <w:color w:val="000000"/>
                <w:sz w:val="22"/>
                <w:szCs w:val="22"/>
              </w:rPr>
              <w:t>Daugavpils medicīnas koledža</w:t>
            </w:r>
          </w:p>
        </w:tc>
        <w:tc>
          <w:tcPr>
            <w:tcW w:w="1134" w:type="dxa"/>
          </w:tcPr>
          <w:p w:rsidR="00D42476" w:rsidRPr="00E80380" w:rsidRDefault="00D42476" w:rsidP="00722156">
            <w:pPr>
              <w:pStyle w:val="CommentText"/>
              <w:numPr>
                <w:ilvl w:val="0"/>
                <w:numId w:val="1"/>
              </w:numPr>
              <w:jc w:val="center"/>
              <w:rPr>
                <w:sz w:val="22"/>
                <w:szCs w:val="22"/>
              </w:rPr>
            </w:pPr>
            <w:r w:rsidRPr="00E80380">
              <w:rPr>
                <w:sz w:val="22"/>
                <w:szCs w:val="22"/>
              </w:rPr>
              <w:t>0</w:t>
            </w:r>
          </w:p>
        </w:tc>
        <w:tc>
          <w:tcPr>
            <w:tcW w:w="1134" w:type="dxa"/>
          </w:tcPr>
          <w:p w:rsidR="00D42476" w:rsidRPr="00E80380" w:rsidRDefault="00D42476" w:rsidP="00722156">
            <w:pPr>
              <w:pStyle w:val="CommentText"/>
              <w:numPr>
                <w:ilvl w:val="0"/>
                <w:numId w:val="1"/>
              </w:numPr>
              <w:jc w:val="center"/>
              <w:rPr>
                <w:sz w:val="22"/>
                <w:szCs w:val="22"/>
              </w:rPr>
            </w:pPr>
            <w:r w:rsidRPr="00E80380">
              <w:rPr>
                <w:sz w:val="22"/>
                <w:szCs w:val="22"/>
              </w:rPr>
              <w:t>0</w:t>
            </w:r>
          </w:p>
        </w:tc>
        <w:tc>
          <w:tcPr>
            <w:tcW w:w="1134" w:type="dxa"/>
          </w:tcPr>
          <w:p w:rsidR="00D42476" w:rsidRPr="00E80380" w:rsidRDefault="00D42476" w:rsidP="00722156">
            <w:pPr>
              <w:pStyle w:val="CommentText"/>
              <w:numPr>
                <w:ilvl w:val="0"/>
                <w:numId w:val="1"/>
              </w:numPr>
              <w:jc w:val="center"/>
              <w:rPr>
                <w:sz w:val="22"/>
                <w:szCs w:val="22"/>
              </w:rPr>
            </w:pPr>
            <w:r w:rsidRPr="00E80380">
              <w:rPr>
                <w:sz w:val="22"/>
                <w:szCs w:val="22"/>
              </w:rPr>
              <w:t>0</w:t>
            </w:r>
          </w:p>
        </w:tc>
        <w:tc>
          <w:tcPr>
            <w:tcW w:w="1134" w:type="dxa"/>
          </w:tcPr>
          <w:p w:rsidR="00D42476" w:rsidRPr="00E80380" w:rsidRDefault="00DC56D6" w:rsidP="00722156">
            <w:pPr>
              <w:pStyle w:val="CommentText"/>
              <w:numPr>
                <w:ilvl w:val="0"/>
                <w:numId w:val="1"/>
              </w:numPr>
              <w:jc w:val="center"/>
              <w:rPr>
                <w:sz w:val="22"/>
                <w:szCs w:val="22"/>
              </w:rPr>
            </w:pPr>
            <w:r>
              <w:rPr>
                <w:sz w:val="22"/>
                <w:szCs w:val="22"/>
              </w:rPr>
              <w:t>3</w:t>
            </w:r>
          </w:p>
        </w:tc>
        <w:tc>
          <w:tcPr>
            <w:tcW w:w="992" w:type="dxa"/>
            <w:shd w:val="clear" w:color="auto" w:fill="D9D9D9" w:themeFill="background1" w:themeFillShade="D9"/>
          </w:tcPr>
          <w:p w:rsidR="00D42476" w:rsidRPr="00E80380" w:rsidRDefault="00DC56D6" w:rsidP="00722156">
            <w:pPr>
              <w:pStyle w:val="CommentText"/>
              <w:numPr>
                <w:ilvl w:val="0"/>
                <w:numId w:val="1"/>
              </w:numPr>
              <w:jc w:val="center"/>
              <w:rPr>
                <w:sz w:val="22"/>
                <w:szCs w:val="22"/>
              </w:rPr>
            </w:pPr>
            <w:r>
              <w:rPr>
                <w:sz w:val="22"/>
                <w:szCs w:val="22"/>
              </w:rPr>
              <w:t>80</w:t>
            </w:r>
          </w:p>
        </w:tc>
        <w:tc>
          <w:tcPr>
            <w:tcW w:w="844" w:type="dxa"/>
          </w:tcPr>
          <w:p w:rsidR="00D42476" w:rsidRPr="00E80380" w:rsidRDefault="00DC56D6" w:rsidP="00722156">
            <w:pPr>
              <w:pStyle w:val="CommentText"/>
              <w:numPr>
                <w:ilvl w:val="0"/>
                <w:numId w:val="1"/>
              </w:numPr>
              <w:jc w:val="center"/>
              <w:rPr>
                <w:sz w:val="22"/>
                <w:szCs w:val="22"/>
              </w:rPr>
            </w:pPr>
            <w:r>
              <w:rPr>
                <w:sz w:val="22"/>
                <w:szCs w:val="22"/>
              </w:rPr>
              <w:t>83</w:t>
            </w:r>
          </w:p>
        </w:tc>
      </w:tr>
      <w:tr w:rsidR="00D42476" w:rsidTr="00D42476">
        <w:tc>
          <w:tcPr>
            <w:tcW w:w="704" w:type="dxa"/>
          </w:tcPr>
          <w:p w:rsidR="00D42476" w:rsidRPr="00E80380" w:rsidRDefault="00D42476" w:rsidP="00D42476">
            <w:pPr>
              <w:pStyle w:val="CommentText"/>
              <w:rPr>
                <w:sz w:val="22"/>
                <w:szCs w:val="22"/>
              </w:rPr>
            </w:pPr>
            <w:r w:rsidRPr="00E80380">
              <w:rPr>
                <w:sz w:val="22"/>
                <w:szCs w:val="22"/>
              </w:rPr>
              <w:t>17</w:t>
            </w:r>
            <w:r w:rsidR="00723D60">
              <w:rPr>
                <w:sz w:val="22"/>
                <w:szCs w:val="22"/>
              </w:rPr>
              <w:t>.</w:t>
            </w:r>
          </w:p>
        </w:tc>
        <w:tc>
          <w:tcPr>
            <w:tcW w:w="1985" w:type="dxa"/>
            <w:vAlign w:val="center"/>
          </w:tcPr>
          <w:p w:rsidR="00D42476" w:rsidRPr="00A92B1F" w:rsidRDefault="00D42476" w:rsidP="00722156">
            <w:pPr>
              <w:pStyle w:val="CommentText"/>
              <w:numPr>
                <w:ilvl w:val="0"/>
                <w:numId w:val="1"/>
              </w:numPr>
              <w:rPr>
                <w:color w:val="000000"/>
                <w:sz w:val="22"/>
                <w:szCs w:val="22"/>
              </w:rPr>
            </w:pPr>
            <w:r w:rsidRPr="00A92B1F">
              <w:rPr>
                <w:color w:val="000000"/>
                <w:sz w:val="22"/>
                <w:szCs w:val="22"/>
              </w:rPr>
              <w:t>Malnavas koledža</w:t>
            </w:r>
          </w:p>
        </w:tc>
        <w:tc>
          <w:tcPr>
            <w:tcW w:w="1134" w:type="dxa"/>
          </w:tcPr>
          <w:p w:rsidR="00D42476" w:rsidRPr="00C74538" w:rsidRDefault="00A92B1F" w:rsidP="00722156">
            <w:pPr>
              <w:pStyle w:val="CommentText"/>
              <w:numPr>
                <w:ilvl w:val="0"/>
                <w:numId w:val="1"/>
              </w:numPr>
              <w:jc w:val="center"/>
              <w:rPr>
                <w:sz w:val="22"/>
                <w:szCs w:val="22"/>
              </w:rPr>
            </w:pPr>
            <w:r w:rsidRPr="00C74538">
              <w:rPr>
                <w:sz w:val="22"/>
                <w:szCs w:val="22"/>
              </w:rPr>
              <w:t>4</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9</w:t>
            </w:r>
          </w:p>
        </w:tc>
        <w:tc>
          <w:tcPr>
            <w:tcW w:w="1134" w:type="dxa"/>
          </w:tcPr>
          <w:p w:rsidR="00D42476" w:rsidRPr="00E80380" w:rsidRDefault="00D42476" w:rsidP="00722156">
            <w:pPr>
              <w:pStyle w:val="CommentText"/>
              <w:numPr>
                <w:ilvl w:val="0"/>
                <w:numId w:val="1"/>
              </w:numPr>
              <w:jc w:val="center"/>
              <w:rPr>
                <w:sz w:val="22"/>
                <w:szCs w:val="22"/>
              </w:rPr>
            </w:pPr>
            <w:r w:rsidRPr="00E80380">
              <w:rPr>
                <w:sz w:val="22"/>
                <w:szCs w:val="22"/>
              </w:rPr>
              <w:t>0</w:t>
            </w:r>
          </w:p>
        </w:tc>
        <w:tc>
          <w:tcPr>
            <w:tcW w:w="1134" w:type="dxa"/>
          </w:tcPr>
          <w:p w:rsidR="00D42476" w:rsidRPr="00E80380" w:rsidRDefault="00A92B1F" w:rsidP="00722156">
            <w:pPr>
              <w:pStyle w:val="CommentText"/>
              <w:numPr>
                <w:ilvl w:val="0"/>
                <w:numId w:val="1"/>
              </w:numPr>
              <w:jc w:val="center"/>
              <w:rPr>
                <w:sz w:val="22"/>
                <w:szCs w:val="22"/>
              </w:rPr>
            </w:pPr>
            <w:r>
              <w:rPr>
                <w:sz w:val="22"/>
                <w:szCs w:val="22"/>
              </w:rPr>
              <w:t>2</w:t>
            </w:r>
          </w:p>
        </w:tc>
        <w:tc>
          <w:tcPr>
            <w:tcW w:w="992" w:type="dxa"/>
            <w:shd w:val="clear" w:color="auto" w:fill="D9D9D9" w:themeFill="background1" w:themeFillShade="D9"/>
          </w:tcPr>
          <w:p w:rsidR="00D42476" w:rsidRPr="00E80380" w:rsidRDefault="00A92B1F" w:rsidP="00722156">
            <w:pPr>
              <w:pStyle w:val="CommentText"/>
              <w:numPr>
                <w:ilvl w:val="0"/>
                <w:numId w:val="1"/>
              </w:numPr>
              <w:jc w:val="center"/>
              <w:rPr>
                <w:sz w:val="22"/>
                <w:szCs w:val="22"/>
              </w:rPr>
            </w:pPr>
            <w:r>
              <w:rPr>
                <w:sz w:val="22"/>
                <w:szCs w:val="22"/>
              </w:rPr>
              <w:t>105</w:t>
            </w:r>
          </w:p>
        </w:tc>
        <w:tc>
          <w:tcPr>
            <w:tcW w:w="844" w:type="dxa"/>
          </w:tcPr>
          <w:p w:rsidR="00D42476" w:rsidRPr="00E80380" w:rsidRDefault="00A92B1F" w:rsidP="00722156">
            <w:pPr>
              <w:pStyle w:val="CommentText"/>
              <w:numPr>
                <w:ilvl w:val="0"/>
                <w:numId w:val="1"/>
              </w:numPr>
              <w:jc w:val="center"/>
              <w:rPr>
                <w:sz w:val="22"/>
                <w:szCs w:val="22"/>
              </w:rPr>
            </w:pPr>
            <w:r>
              <w:rPr>
                <w:sz w:val="22"/>
                <w:szCs w:val="22"/>
              </w:rPr>
              <w:t>120</w:t>
            </w:r>
          </w:p>
        </w:tc>
      </w:tr>
      <w:tr w:rsidR="00FE5A2E" w:rsidTr="00AA4D5A">
        <w:tc>
          <w:tcPr>
            <w:tcW w:w="704" w:type="dxa"/>
          </w:tcPr>
          <w:p w:rsidR="00FE5A2E" w:rsidRPr="00E80380" w:rsidRDefault="00FE5A2E" w:rsidP="00FE5A2E">
            <w:pPr>
              <w:pStyle w:val="CommentText"/>
              <w:rPr>
                <w:sz w:val="22"/>
                <w:szCs w:val="22"/>
              </w:rPr>
            </w:pPr>
          </w:p>
        </w:tc>
        <w:tc>
          <w:tcPr>
            <w:tcW w:w="1985" w:type="dxa"/>
            <w:vAlign w:val="center"/>
          </w:tcPr>
          <w:p w:rsidR="00FE5A2E" w:rsidRPr="00E80380" w:rsidRDefault="00FE5A2E" w:rsidP="00722156">
            <w:pPr>
              <w:pStyle w:val="CommentText"/>
              <w:numPr>
                <w:ilvl w:val="0"/>
                <w:numId w:val="1"/>
              </w:numPr>
              <w:rPr>
                <w:color w:val="000000"/>
                <w:sz w:val="22"/>
                <w:szCs w:val="22"/>
              </w:rPr>
            </w:pPr>
            <w:r>
              <w:rPr>
                <w:color w:val="000000"/>
                <w:sz w:val="22"/>
                <w:szCs w:val="22"/>
              </w:rPr>
              <w:t>Kopā</w:t>
            </w:r>
          </w:p>
        </w:tc>
        <w:tc>
          <w:tcPr>
            <w:tcW w:w="1134" w:type="dxa"/>
            <w:vAlign w:val="center"/>
          </w:tcPr>
          <w:p w:rsidR="00FE5A2E" w:rsidRPr="00E80380" w:rsidDel="00DC56D6" w:rsidRDefault="00FE5A2E" w:rsidP="00722156">
            <w:pPr>
              <w:pStyle w:val="CommentText"/>
              <w:numPr>
                <w:ilvl w:val="0"/>
                <w:numId w:val="1"/>
              </w:numPr>
              <w:jc w:val="center"/>
              <w:rPr>
                <w:sz w:val="22"/>
                <w:szCs w:val="22"/>
              </w:rPr>
            </w:pPr>
            <w:r>
              <w:rPr>
                <w:color w:val="000000"/>
                <w:sz w:val="22"/>
                <w:szCs w:val="22"/>
              </w:rPr>
              <w:t>1462</w:t>
            </w:r>
          </w:p>
        </w:tc>
        <w:tc>
          <w:tcPr>
            <w:tcW w:w="1134" w:type="dxa"/>
            <w:vAlign w:val="center"/>
          </w:tcPr>
          <w:p w:rsidR="00FE5A2E" w:rsidRPr="00E80380" w:rsidDel="00DC56D6" w:rsidRDefault="00FE5A2E" w:rsidP="00722156">
            <w:pPr>
              <w:pStyle w:val="CommentText"/>
              <w:numPr>
                <w:ilvl w:val="0"/>
                <w:numId w:val="1"/>
              </w:numPr>
              <w:jc w:val="center"/>
              <w:rPr>
                <w:sz w:val="22"/>
                <w:szCs w:val="22"/>
              </w:rPr>
            </w:pPr>
            <w:r>
              <w:rPr>
                <w:color w:val="000000"/>
                <w:sz w:val="22"/>
                <w:szCs w:val="22"/>
              </w:rPr>
              <w:t>261</w:t>
            </w:r>
          </w:p>
        </w:tc>
        <w:tc>
          <w:tcPr>
            <w:tcW w:w="1134" w:type="dxa"/>
            <w:vAlign w:val="center"/>
          </w:tcPr>
          <w:p w:rsidR="00FE5A2E" w:rsidRPr="00E80380" w:rsidRDefault="00FE5A2E" w:rsidP="00722156">
            <w:pPr>
              <w:pStyle w:val="CommentText"/>
              <w:numPr>
                <w:ilvl w:val="0"/>
                <w:numId w:val="1"/>
              </w:numPr>
              <w:jc w:val="center"/>
              <w:rPr>
                <w:sz w:val="22"/>
                <w:szCs w:val="22"/>
              </w:rPr>
            </w:pPr>
            <w:r>
              <w:rPr>
                <w:color w:val="000000"/>
                <w:sz w:val="22"/>
                <w:szCs w:val="22"/>
              </w:rPr>
              <w:t>287</w:t>
            </w:r>
          </w:p>
        </w:tc>
        <w:tc>
          <w:tcPr>
            <w:tcW w:w="1134" w:type="dxa"/>
            <w:vAlign w:val="center"/>
          </w:tcPr>
          <w:p w:rsidR="00FE5A2E" w:rsidRPr="00E80380" w:rsidRDefault="00FE5A2E" w:rsidP="00722156">
            <w:pPr>
              <w:pStyle w:val="CommentText"/>
              <w:numPr>
                <w:ilvl w:val="0"/>
                <w:numId w:val="1"/>
              </w:numPr>
              <w:jc w:val="center"/>
              <w:rPr>
                <w:sz w:val="22"/>
                <w:szCs w:val="22"/>
              </w:rPr>
            </w:pPr>
            <w:r>
              <w:rPr>
                <w:color w:val="000000"/>
                <w:sz w:val="22"/>
                <w:szCs w:val="22"/>
              </w:rPr>
              <w:t>384</w:t>
            </w:r>
          </w:p>
        </w:tc>
        <w:tc>
          <w:tcPr>
            <w:tcW w:w="992" w:type="dxa"/>
            <w:shd w:val="clear" w:color="auto" w:fill="auto"/>
            <w:vAlign w:val="center"/>
          </w:tcPr>
          <w:p w:rsidR="00FE5A2E" w:rsidRPr="00AA4D5A" w:rsidDel="00DC56D6" w:rsidRDefault="00FE5A2E" w:rsidP="00722156">
            <w:pPr>
              <w:pStyle w:val="CommentText"/>
              <w:numPr>
                <w:ilvl w:val="0"/>
                <w:numId w:val="1"/>
              </w:numPr>
              <w:jc w:val="center"/>
              <w:rPr>
                <w:sz w:val="22"/>
                <w:szCs w:val="22"/>
              </w:rPr>
            </w:pPr>
            <w:r w:rsidRPr="00AA4D5A">
              <w:rPr>
                <w:sz w:val="22"/>
                <w:szCs w:val="22"/>
              </w:rPr>
              <w:t>494</w:t>
            </w:r>
          </w:p>
        </w:tc>
        <w:tc>
          <w:tcPr>
            <w:tcW w:w="844" w:type="dxa"/>
            <w:vAlign w:val="center"/>
          </w:tcPr>
          <w:p w:rsidR="00FE5A2E" w:rsidRPr="00E80380" w:rsidDel="00DC56D6" w:rsidRDefault="00FE5A2E" w:rsidP="00722156">
            <w:pPr>
              <w:pStyle w:val="CommentText"/>
              <w:numPr>
                <w:ilvl w:val="0"/>
                <w:numId w:val="1"/>
              </w:numPr>
              <w:jc w:val="center"/>
              <w:rPr>
                <w:sz w:val="22"/>
                <w:szCs w:val="22"/>
              </w:rPr>
            </w:pPr>
            <w:r>
              <w:rPr>
                <w:color w:val="000000"/>
                <w:sz w:val="22"/>
                <w:szCs w:val="22"/>
              </w:rPr>
              <w:t>2888</w:t>
            </w:r>
          </w:p>
        </w:tc>
      </w:tr>
      <w:tr w:rsidR="000C3FAF" w:rsidTr="00AA4D5A">
        <w:tc>
          <w:tcPr>
            <w:tcW w:w="704" w:type="dxa"/>
          </w:tcPr>
          <w:p w:rsidR="000C3FAF" w:rsidRPr="00E80380" w:rsidRDefault="000C3FAF" w:rsidP="00D42476">
            <w:pPr>
              <w:pStyle w:val="CommentText"/>
              <w:rPr>
                <w:sz w:val="22"/>
                <w:szCs w:val="22"/>
              </w:rPr>
            </w:pPr>
          </w:p>
        </w:tc>
        <w:tc>
          <w:tcPr>
            <w:tcW w:w="1985" w:type="dxa"/>
            <w:vAlign w:val="center"/>
          </w:tcPr>
          <w:p w:rsidR="000C3FAF" w:rsidRPr="00E80380" w:rsidRDefault="00AA4D5A" w:rsidP="00722156">
            <w:pPr>
              <w:pStyle w:val="CommentText"/>
              <w:numPr>
                <w:ilvl w:val="0"/>
                <w:numId w:val="1"/>
              </w:numPr>
              <w:rPr>
                <w:color w:val="000000"/>
                <w:sz w:val="22"/>
                <w:szCs w:val="22"/>
              </w:rPr>
            </w:pPr>
            <w:r>
              <w:rPr>
                <w:color w:val="000000"/>
                <w:sz w:val="22"/>
                <w:szCs w:val="22"/>
              </w:rPr>
              <w:t>Īpatsvars</w:t>
            </w:r>
          </w:p>
        </w:tc>
        <w:tc>
          <w:tcPr>
            <w:tcW w:w="1134" w:type="dxa"/>
          </w:tcPr>
          <w:p w:rsidR="000C3FAF" w:rsidRDefault="000C3FAF" w:rsidP="00722156">
            <w:pPr>
              <w:pStyle w:val="CommentText"/>
              <w:numPr>
                <w:ilvl w:val="0"/>
                <w:numId w:val="1"/>
              </w:numPr>
              <w:jc w:val="center"/>
              <w:rPr>
                <w:sz w:val="22"/>
                <w:szCs w:val="22"/>
              </w:rPr>
            </w:pPr>
            <w:r>
              <w:rPr>
                <w:sz w:val="22"/>
                <w:szCs w:val="22"/>
              </w:rPr>
              <w:t>5</w:t>
            </w:r>
            <w:r w:rsidR="00FE5A2E">
              <w:rPr>
                <w:sz w:val="22"/>
                <w:szCs w:val="22"/>
              </w:rPr>
              <w:t>1</w:t>
            </w:r>
            <w:r>
              <w:rPr>
                <w:sz w:val="22"/>
                <w:szCs w:val="22"/>
              </w:rPr>
              <w:t>%</w:t>
            </w:r>
          </w:p>
        </w:tc>
        <w:tc>
          <w:tcPr>
            <w:tcW w:w="1134" w:type="dxa"/>
          </w:tcPr>
          <w:p w:rsidR="000C3FAF" w:rsidRPr="00E80380" w:rsidDel="00DC56D6" w:rsidRDefault="000C3FAF" w:rsidP="00722156">
            <w:pPr>
              <w:pStyle w:val="CommentText"/>
              <w:numPr>
                <w:ilvl w:val="0"/>
                <w:numId w:val="1"/>
              </w:numPr>
              <w:jc w:val="center"/>
              <w:rPr>
                <w:sz w:val="22"/>
                <w:szCs w:val="22"/>
              </w:rPr>
            </w:pPr>
            <w:r>
              <w:rPr>
                <w:sz w:val="22"/>
                <w:szCs w:val="22"/>
              </w:rPr>
              <w:t>9%</w:t>
            </w:r>
          </w:p>
        </w:tc>
        <w:tc>
          <w:tcPr>
            <w:tcW w:w="1134" w:type="dxa"/>
          </w:tcPr>
          <w:p w:rsidR="000C3FAF" w:rsidRPr="00E80380" w:rsidRDefault="00FE5A2E" w:rsidP="00722156">
            <w:pPr>
              <w:pStyle w:val="CommentText"/>
              <w:numPr>
                <w:ilvl w:val="0"/>
                <w:numId w:val="1"/>
              </w:numPr>
              <w:jc w:val="center"/>
              <w:rPr>
                <w:sz w:val="22"/>
                <w:szCs w:val="22"/>
              </w:rPr>
            </w:pPr>
            <w:r>
              <w:rPr>
                <w:sz w:val="22"/>
                <w:szCs w:val="22"/>
              </w:rPr>
              <w:t>10</w:t>
            </w:r>
            <w:r w:rsidR="000C3FAF">
              <w:rPr>
                <w:sz w:val="22"/>
                <w:szCs w:val="22"/>
              </w:rPr>
              <w:t>%</w:t>
            </w:r>
          </w:p>
        </w:tc>
        <w:tc>
          <w:tcPr>
            <w:tcW w:w="1134" w:type="dxa"/>
          </w:tcPr>
          <w:p w:rsidR="000C3FAF" w:rsidRPr="00E80380" w:rsidRDefault="000C3FAF" w:rsidP="00722156">
            <w:pPr>
              <w:pStyle w:val="CommentText"/>
              <w:numPr>
                <w:ilvl w:val="0"/>
                <w:numId w:val="1"/>
              </w:numPr>
              <w:jc w:val="center"/>
              <w:rPr>
                <w:sz w:val="22"/>
                <w:szCs w:val="22"/>
              </w:rPr>
            </w:pPr>
            <w:r>
              <w:rPr>
                <w:sz w:val="22"/>
                <w:szCs w:val="22"/>
              </w:rPr>
              <w:t>1</w:t>
            </w:r>
            <w:r w:rsidR="00FE5A2E">
              <w:rPr>
                <w:sz w:val="22"/>
                <w:szCs w:val="22"/>
              </w:rPr>
              <w:t>3</w:t>
            </w:r>
            <w:r>
              <w:rPr>
                <w:sz w:val="22"/>
                <w:szCs w:val="22"/>
              </w:rPr>
              <w:t>%</w:t>
            </w:r>
          </w:p>
        </w:tc>
        <w:tc>
          <w:tcPr>
            <w:tcW w:w="992" w:type="dxa"/>
            <w:shd w:val="clear" w:color="auto" w:fill="auto"/>
          </w:tcPr>
          <w:p w:rsidR="000C3FAF" w:rsidRPr="00AA4D5A" w:rsidDel="00DC56D6" w:rsidRDefault="000C3FAF" w:rsidP="00722156">
            <w:pPr>
              <w:pStyle w:val="CommentText"/>
              <w:numPr>
                <w:ilvl w:val="0"/>
                <w:numId w:val="1"/>
              </w:numPr>
              <w:jc w:val="center"/>
              <w:rPr>
                <w:sz w:val="22"/>
                <w:szCs w:val="22"/>
              </w:rPr>
            </w:pPr>
            <w:r w:rsidRPr="00AA4D5A">
              <w:rPr>
                <w:sz w:val="22"/>
                <w:szCs w:val="22"/>
              </w:rPr>
              <w:t>1</w:t>
            </w:r>
            <w:r w:rsidR="00FE5A2E" w:rsidRPr="00AA4D5A">
              <w:rPr>
                <w:sz w:val="22"/>
                <w:szCs w:val="22"/>
              </w:rPr>
              <w:t>7</w:t>
            </w:r>
            <w:r w:rsidRPr="00AA4D5A">
              <w:rPr>
                <w:sz w:val="22"/>
                <w:szCs w:val="22"/>
              </w:rPr>
              <w:t>%</w:t>
            </w:r>
          </w:p>
        </w:tc>
        <w:tc>
          <w:tcPr>
            <w:tcW w:w="844" w:type="dxa"/>
          </w:tcPr>
          <w:p w:rsidR="000C3FAF" w:rsidRPr="00E80380" w:rsidDel="00DC56D6" w:rsidRDefault="000C3FAF" w:rsidP="00722156">
            <w:pPr>
              <w:pStyle w:val="CommentText"/>
              <w:numPr>
                <w:ilvl w:val="0"/>
                <w:numId w:val="1"/>
              </w:numPr>
              <w:jc w:val="center"/>
              <w:rPr>
                <w:sz w:val="22"/>
                <w:szCs w:val="22"/>
              </w:rPr>
            </w:pPr>
            <w:r>
              <w:rPr>
                <w:sz w:val="22"/>
                <w:szCs w:val="22"/>
              </w:rPr>
              <w:t>100%</w:t>
            </w:r>
          </w:p>
        </w:tc>
      </w:tr>
    </w:tbl>
    <w:p w:rsidR="008807FF" w:rsidRPr="00901A5B" w:rsidRDefault="008807FF" w:rsidP="00722156">
      <w:pPr>
        <w:pStyle w:val="ListParagraph"/>
        <w:numPr>
          <w:ilvl w:val="0"/>
          <w:numId w:val="1"/>
        </w:numPr>
        <w:contextualSpacing/>
        <w:rPr>
          <w:i/>
          <w:szCs w:val="24"/>
        </w:rPr>
      </w:pPr>
      <w:r w:rsidRPr="00901A5B">
        <w:rPr>
          <w:i/>
          <w:szCs w:val="24"/>
        </w:rPr>
        <w:t>Avots: IZM dati</w:t>
      </w:r>
      <w:r>
        <w:rPr>
          <w:i/>
          <w:szCs w:val="24"/>
        </w:rPr>
        <w:t xml:space="preserve">, </w:t>
      </w:r>
      <w:r w:rsidRPr="00D42476">
        <w:rPr>
          <w:i/>
          <w:sz w:val="22"/>
          <w:szCs w:val="22"/>
        </w:rPr>
        <w:t xml:space="preserve">Pārskats par </w:t>
      </w:r>
      <w:r w:rsidRPr="00D42476">
        <w:rPr>
          <w:rFonts w:eastAsia="Calibri"/>
          <w:bCs/>
          <w:i/>
          <w:color w:val="000000"/>
          <w:sz w:val="22"/>
          <w:szCs w:val="22"/>
          <w:lang w:eastAsia="lv-LV"/>
        </w:rPr>
        <w:t xml:space="preserve">Latvijas augstāko izglītību </w:t>
      </w:r>
      <w:r w:rsidR="00D9522C" w:rsidRPr="00D42476">
        <w:rPr>
          <w:rFonts w:eastAsia="Calibri"/>
          <w:bCs/>
          <w:i/>
          <w:color w:val="000000"/>
          <w:sz w:val="22"/>
          <w:szCs w:val="22"/>
          <w:lang w:eastAsia="lv-LV"/>
        </w:rPr>
        <w:t>201</w:t>
      </w:r>
      <w:r w:rsidR="00D9522C">
        <w:rPr>
          <w:rFonts w:eastAsia="Calibri"/>
          <w:bCs/>
          <w:i/>
          <w:color w:val="000000"/>
          <w:sz w:val="22"/>
          <w:szCs w:val="22"/>
          <w:lang w:eastAsia="lv-LV"/>
        </w:rPr>
        <w:t>5</w:t>
      </w:r>
      <w:r w:rsidRPr="00D42476">
        <w:rPr>
          <w:rFonts w:eastAsia="Calibri"/>
          <w:bCs/>
          <w:i/>
          <w:color w:val="000000"/>
          <w:sz w:val="22"/>
          <w:szCs w:val="22"/>
          <w:lang w:eastAsia="lv-LV"/>
        </w:rPr>
        <w:t>.gads</w:t>
      </w:r>
    </w:p>
    <w:p w:rsidR="00D42476" w:rsidRDefault="00D42476" w:rsidP="00722156">
      <w:pPr>
        <w:pStyle w:val="CommentText"/>
        <w:numPr>
          <w:ilvl w:val="0"/>
          <w:numId w:val="1"/>
        </w:numPr>
        <w:rPr>
          <w:sz w:val="24"/>
          <w:szCs w:val="24"/>
        </w:rPr>
      </w:pPr>
      <w:r>
        <w:rPr>
          <w:sz w:val="24"/>
          <w:szCs w:val="24"/>
        </w:rPr>
        <w:lastRenderedPageBreak/>
        <w:t xml:space="preserve">*- </w:t>
      </w:r>
      <w:r w:rsidRPr="00065F64">
        <w:rPr>
          <w:i/>
          <w:sz w:val="22"/>
          <w:szCs w:val="22"/>
        </w:rPr>
        <w:t>izvērtēšanai izmantot</w:t>
      </w:r>
      <w:r>
        <w:rPr>
          <w:i/>
          <w:sz w:val="22"/>
          <w:szCs w:val="22"/>
        </w:rPr>
        <w:t>i tikai dati</w:t>
      </w:r>
      <w:r w:rsidRPr="00065F64">
        <w:rPr>
          <w:i/>
          <w:sz w:val="22"/>
          <w:szCs w:val="22"/>
        </w:rPr>
        <w:t xml:space="preserve"> </w:t>
      </w:r>
      <w:r>
        <w:rPr>
          <w:i/>
          <w:sz w:val="22"/>
          <w:szCs w:val="22"/>
        </w:rPr>
        <w:t xml:space="preserve">par </w:t>
      </w:r>
      <w:r w:rsidRPr="00065F64">
        <w:rPr>
          <w:i/>
          <w:sz w:val="22"/>
          <w:szCs w:val="22"/>
        </w:rPr>
        <w:t>valsts koledž</w:t>
      </w:r>
      <w:r>
        <w:rPr>
          <w:i/>
          <w:sz w:val="22"/>
          <w:szCs w:val="22"/>
        </w:rPr>
        <w:t>ām</w:t>
      </w:r>
      <w:r w:rsidRPr="00065F64">
        <w:rPr>
          <w:i/>
          <w:sz w:val="22"/>
          <w:szCs w:val="22"/>
        </w:rPr>
        <w:t>, ņemot vērā, ka privātajās koledžās ir salīdzinoši neliels STEM  jomas studentu skaits (</w:t>
      </w:r>
      <w:r w:rsidR="00801C95" w:rsidRPr="00065F64">
        <w:rPr>
          <w:i/>
          <w:sz w:val="22"/>
          <w:szCs w:val="22"/>
        </w:rPr>
        <w:t>3</w:t>
      </w:r>
      <w:r w:rsidR="00801C95">
        <w:rPr>
          <w:i/>
          <w:sz w:val="22"/>
          <w:szCs w:val="22"/>
        </w:rPr>
        <w:t>82</w:t>
      </w:r>
      <w:r w:rsidR="00801C95" w:rsidRPr="00065F64">
        <w:rPr>
          <w:i/>
          <w:sz w:val="22"/>
          <w:szCs w:val="22"/>
        </w:rPr>
        <w:t xml:space="preserve"> </w:t>
      </w:r>
      <w:r w:rsidRPr="00065F64">
        <w:rPr>
          <w:i/>
          <w:sz w:val="22"/>
          <w:szCs w:val="22"/>
        </w:rPr>
        <w:t xml:space="preserve">studenti jeb </w:t>
      </w:r>
      <w:r w:rsidR="00801C95">
        <w:rPr>
          <w:i/>
          <w:sz w:val="22"/>
          <w:szCs w:val="22"/>
        </w:rPr>
        <w:t>8,6</w:t>
      </w:r>
      <w:r w:rsidRPr="00065F64">
        <w:rPr>
          <w:i/>
          <w:sz w:val="22"/>
          <w:szCs w:val="22"/>
        </w:rPr>
        <w:t xml:space="preserve">% no kopējā </w:t>
      </w:r>
      <w:r w:rsidR="00801C95">
        <w:rPr>
          <w:i/>
          <w:sz w:val="22"/>
          <w:szCs w:val="22"/>
        </w:rPr>
        <w:t xml:space="preserve">minētās jomas studējošo </w:t>
      </w:r>
      <w:r w:rsidRPr="00065F64">
        <w:rPr>
          <w:i/>
          <w:sz w:val="22"/>
          <w:szCs w:val="22"/>
        </w:rPr>
        <w:t>skaita).</w:t>
      </w:r>
      <w:r>
        <w:rPr>
          <w:sz w:val="24"/>
          <w:szCs w:val="24"/>
        </w:rPr>
        <w:t xml:space="preserve"> </w:t>
      </w:r>
    </w:p>
    <w:p w:rsidR="00AA4D5A" w:rsidRDefault="00AA4D5A" w:rsidP="00D9522C">
      <w:pPr>
        <w:pStyle w:val="CommentText"/>
        <w:ind w:firstLine="720"/>
        <w:rPr>
          <w:sz w:val="24"/>
          <w:szCs w:val="24"/>
        </w:rPr>
      </w:pPr>
    </w:p>
    <w:p w:rsidR="00D42476" w:rsidRDefault="00D42476" w:rsidP="00D42476">
      <w:pPr>
        <w:autoSpaceDE w:val="0"/>
        <w:autoSpaceDN w:val="0"/>
        <w:adjustRightInd w:val="0"/>
        <w:ind w:right="113" w:firstLine="720"/>
        <w:rPr>
          <w:szCs w:val="24"/>
        </w:rPr>
      </w:pPr>
      <w:r w:rsidRPr="00F4121A">
        <w:rPr>
          <w:szCs w:val="24"/>
        </w:rPr>
        <w:t>Lai padarītu studijas pieejamas citu reģionu potenciālajiem studēt gribētājiem</w:t>
      </w:r>
      <w:r>
        <w:rPr>
          <w:szCs w:val="24"/>
        </w:rPr>
        <w:t xml:space="preserve"> </w:t>
      </w:r>
      <w:r w:rsidRPr="00065F64">
        <w:rPr>
          <w:szCs w:val="24"/>
        </w:rPr>
        <w:t>un palielinātu studējošo skaitu, trīs valsts koledžas un divas privātās koledžas ir atvērušas filiāles. Ievē</w:t>
      </w:r>
      <w:r w:rsidRPr="00F4121A">
        <w:rPr>
          <w:szCs w:val="24"/>
        </w:rPr>
        <w:t xml:space="preserve">rojot to, ka koledžas un to filiāles pamatā atrodas lielākajās Latvijas pilsētās, tad koledžas ir viegli sasniedzamas attiecīgā reģiona studentiem, </w:t>
      </w:r>
      <w:r>
        <w:rPr>
          <w:szCs w:val="24"/>
        </w:rPr>
        <w:t>tā kā</w:t>
      </w:r>
      <w:r w:rsidRPr="00F4121A">
        <w:rPr>
          <w:szCs w:val="24"/>
        </w:rPr>
        <w:t xml:space="preserve"> atrodas pie galvenajiem jeb reģionālajiem ceļiem.</w:t>
      </w:r>
      <w:r>
        <w:rPr>
          <w:szCs w:val="24"/>
        </w:rPr>
        <w:t xml:space="preserve"> Detalizētāka informācija par koledžu filiālēs īstenotajām studiju programmām un t</w:t>
      </w:r>
      <w:r w:rsidR="00DB4E13">
        <w:rPr>
          <w:szCs w:val="24"/>
        </w:rPr>
        <w:t xml:space="preserve">ajās studējošo skaitu apkopota </w:t>
      </w:r>
      <w:r>
        <w:rPr>
          <w:szCs w:val="24"/>
        </w:rPr>
        <w:t>1.</w:t>
      </w:r>
      <w:r w:rsidR="00D9522C">
        <w:rPr>
          <w:szCs w:val="24"/>
        </w:rPr>
        <w:t>2</w:t>
      </w:r>
      <w:r>
        <w:rPr>
          <w:szCs w:val="24"/>
        </w:rPr>
        <w:t xml:space="preserve">.tabulā. </w:t>
      </w:r>
    </w:p>
    <w:p w:rsidR="00D42476" w:rsidRPr="006A03AC" w:rsidRDefault="00D42476" w:rsidP="00D42476">
      <w:pPr>
        <w:autoSpaceDE w:val="0"/>
        <w:autoSpaceDN w:val="0"/>
        <w:adjustRightInd w:val="0"/>
        <w:ind w:right="113"/>
        <w:jc w:val="right"/>
        <w:rPr>
          <w:szCs w:val="24"/>
        </w:rPr>
      </w:pPr>
      <w:r>
        <w:rPr>
          <w:szCs w:val="24"/>
        </w:rPr>
        <w:t>1.</w:t>
      </w:r>
      <w:r w:rsidR="00D9522C">
        <w:rPr>
          <w:szCs w:val="24"/>
        </w:rPr>
        <w:t>2</w:t>
      </w:r>
      <w:r>
        <w:rPr>
          <w:szCs w:val="24"/>
        </w:rPr>
        <w:t>.</w:t>
      </w:r>
      <w:r w:rsidRPr="006A03AC">
        <w:rPr>
          <w:szCs w:val="24"/>
        </w:rPr>
        <w:t xml:space="preserve"> tabula</w:t>
      </w:r>
    </w:p>
    <w:p w:rsidR="00D42476" w:rsidRPr="00976030" w:rsidRDefault="00D42476" w:rsidP="00D42476">
      <w:pPr>
        <w:jc w:val="center"/>
        <w:rPr>
          <w:b/>
          <w:szCs w:val="24"/>
        </w:rPr>
      </w:pPr>
      <w:r w:rsidRPr="00976030">
        <w:rPr>
          <w:b/>
          <w:szCs w:val="24"/>
        </w:rPr>
        <w:t xml:space="preserve">Koledžu filiāles, tajās īstenojamās studiju programmas un studējošo skaits </w:t>
      </w:r>
      <w:r w:rsidR="004A7E9B" w:rsidRPr="00976030">
        <w:rPr>
          <w:b/>
          <w:szCs w:val="24"/>
        </w:rPr>
        <w:t>2015</w:t>
      </w:r>
      <w:r w:rsidRPr="00976030">
        <w:rPr>
          <w:b/>
          <w:szCs w:val="24"/>
        </w:rPr>
        <w:t>./</w:t>
      </w:r>
      <w:r w:rsidR="004A7E9B" w:rsidRPr="00976030">
        <w:rPr>
          <w:b/>
          <w:szCs w:val="24"/>
        </w:rPr>
        <w:t>2016</w:t>
      </w:r>
      <w:r w:rsidRPr="00976030">
        <w:rPr>
          <w:b/>
          <w:szCs w:val="24"/>
        </w:rPr>
        <w:t>.ak.g</w:t>
      </w:r>
      <w:r w:rsidR="0098650E">
        <w:rPr>
          <w:b/>
          <w:szCs w:val="24"/>
        </w:rPr>
        <w:t>adā</w:t>
      </w:r>
    </w:p>
    <w:p w:rsidR="00D42476" w:rsidRPr="00976030" w:rsidRDefault="00D42476" w:rsidP="00D42476">
      <w:pPr>
        <w:jc w:val="cente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4"/>
        <w:gridCol w:w="923"/>
        <w:gridCol w:w="1735"/>
        <w:gridCol w:w="3061"/>
        <w:gridCol w:w="1835"/>
      </w:tblGrid>
      <w:tr w:rsidR="0098650E" w:rsidRPr="005B5073" w:rsidTr="000579B9">
        <w:tc>
          <w:tcPr>
            <w:tcW w:w="933" w:type="pct"/>
            <w:shd w:val="clear" w:color="auto" w:fill="auto"/>
            <w:vAlign w:val="center"/>
          </w:tcPr>
          <w:p w:rsidR="0098650E" w:rsidRPr="00AB6CFD" w:rsidRDefault="0098650E" w:rsidP="00D42476">
            <w:pPr>
              <w:rPr>
                <w:color w:val="000000"/>
                <w:sz w:val="22"/>
                <w:szCs w:val="22"/>
              </w:rPr>
            </w:pPr>
            <w:r w:rsidRPr="00065F64">
              <w:rPr>
                <w:sz w:val="22"/>
                <w:szCs w:val="22"/>
              </w:rPr>
              <w:t>Koledža</w:t>
            </w:r>
          </w:p>
        </w:tc>
        <w:tc>
          <w:tcPr>
            <w:tcW w:w="497" w:type="pct"/>
            <w:shd w:val="clear" w:color="auto" w:fill="auto"/>
            <w:vAlign w:val="center"/>
          </w:tcPr>
          <w:p w:rsidR="0098650E" w:rsidRPr="005B5073" w:rsidRDefault="0098650E" w:rsidP="00D42476">
            <w:pPr>
              <w:jc w:val="center"/>
              <w:rPr>
                <w:szCs w:val="24"/>
              </w:rPr>
            </w:pPr>
            <w:r w:rsidRPr="00065F64">
              <w:rPr>
                <w:sz w:val="22"/>
                <w:szCs w:val="22"/>
              </w:rPr>
              <w:t>Filiāļu skaits</w:t>
            </w:r>
          </w:p>
        </w:tc>
        <w:tc>
          <w:tcPr>
            <w:tcW w:w="934" w:type="pct"/>
            <w:shd w:val="clear" w:color="auto" w:fill="auto"/>
          </w:tcPr>
          <w:p w:rsidR="0098650E" w:rsidRDefault="0098650E" w:rsidP="00D42476">
            <w:pPr>
              <w:rPr>
                <w:szCs w:val="24"/>
              </w:rPr>
            </w:pPr>
            <w:r w:rsidRPr="00065F64">
              <w:rPr>
                <w:sz w:val="22"/>
                <w:szCs w:val="22"/>
              </w:rPr>
              <w:t>Filiāles atrašanās vieta</w:t>
            </w:r>
          </w:p>
        </w:tc>
        <w:tc>
          <w:tcPr>
            <w:tcW w:w="1647" w:type="pct"/>
            <w:shd w:val="clear" w:color="auto" w:fill="auto"/>
          </w:tcPr>
          <w:p w:rsidR="0098650E" w:rsidRDefault="0098650E" w:rsidP="003F43D4">
            <w:pPr>
              <w:pStyle w:val="NoSpacing"/>
              <w:rPr>
                <w:sz w:val="20"/>
              </w:rPr>
            </w:pPr>
            <w:r w:rsidRPr="00065F64">
              <w:rPr>
                <w:sz w:val="22"/>
                <w:szCs w:val="22"/>
              </w:rPr>
              <w:t>Īstenojamās studiju programmas</w:t>
            </w:r>
          </w:p>
        </w:tc>
        <w:tc>
          <w:tcPr>
            <w:tcW w:w="988" w:type="pct"/>
            <w:shd w:val="clear" w:color="auto" w:fill="auto"/>
          </w:tcPr>
          <w:p w:rsidR="0098650E" w:rsidRPr="00634CD9" w:rsidRDefault="0098650E" w:rsidP="00D42476">
            <w:pPr>
              <w:jc w:val="center"/>
              <w:rPr>
                <w:szCs w:val="24"/>
              </w:rPr>
            </w:pPr>
            <w:r>
              <w:rPr>
                <w:sz w:val="22"/>
                <w:szCs w:val="22"/>
              </w:rPr>
              <w:t>Studējošo</w:t>
            </w:r>
            <w:r w:rsidRPr="00065F64">
              <w:rPr>
                <w:sz w:val="22"/>
                <w:szCs w:val="22"/>
              </w:rPr>
              <w:t xml:space="preserve"> skaits</w:t>
            </w:r>
          </w:p>
        </w:tc>
      </w:tr>
      <w:tr w:rsidR="00D42476" w:rsidRPr="005B5073" w:rsidTr="000579B9">
        <w:tc>
          <w:tcPr>
            <w:tcW w:w="933" w:type="pct"/>
            <w:vMerge w:val="restart"/>
            <w:shd w:val="clear" w:color="auto" w:fill="auto"/>
            <w:vAlign w:val="center"/>
          </w:tcPr>
          <w:p w:rsidR="00D42476" w:rsidRPr="00AB6CFD" w:rsidRDefault="00D42476" w:rsidP="00D42476">
            <w:pPr>
              <w:rPr>
                <w:sz w:val="22"/>
                <w:szCs w:val="22"/>
              </w:rPr>
            </w:pPr>
            <w:r w:rsidRPr="00AB6CFD">
              <w:rPr>
                <w:color w:val="000000"/>
                <w:sz w:val="22"/>
                <w:szCs w:val="22"/>
              </w:rPr>
              <w:t xml:space="preserve">PIKC </w:t>
            </w:r>
            <w:r w:rsidR="00D34B97">
              <w:rPr>
                <w:color w:val="000000"/>
                <w:sz w:val="22"/>
                <w:szCs w:val="22"/>
              </w:rPr>
              <w:t>„</w:t>
            </w:r>
            <w:r w:rsidRPr="00AB6CFD">
              <w:rPr>
                <w:color w:val="000000"/>
                <w:sz w:val="22"/>
                <w:szCs w:val="22"/>
              </w:rPr>
              <w:t>Rīgas Tehniskā koledža</w:t>
            </w:r>
            <w:r w:rsidR="00D34B97">
              <w:rPr>
                <w:color w:val="000000"/>
                <w:sz w:val="22"/>
                <w:szCs w:val="22"/>
              </w:rPr>
              <w:t>”</w:t>
            </w:r>
          </w:p>
        </w:tc>
        <w:tc>
          <w:tcPr>
            <w:tcW w:w="497" w:type="pct"/>
            <w:vMerge w:val="restart"/>
            <w:shd w:val="clear" w:color="auto" w:fill="auto"/>
            <w:vAlign w:val="center"/>
          </w:tcPr>
          <w:p w:rsidR="00D42476" w:rsidRPr="00732DC0" w:rsidRDefault="00D42476" w:rsidP="00D42476">
            <w:pPr>
              <w:jc w:val="center"/>
              <w:rPr>
                <w:sz w:val="22"/>
                <w:szCs w:val="22"/>
              </w:rPr>
            </w:pPr>
            <w:r w:rsidRPr="00732DC0">
              <w:rPr>
                <w:sz w:val="22"/>
                <w:szCs w:val="22"/>
              </w:rPr>
              <w:t>3</w:t>
            </w:r>
          </w:p>
        </w:tc>
        <w:tc>
          <w:tcPr>
            <w:tcW w:w="934" w:type="pct"/>
            <w:shd w:val="clear" w:color="auto" w:fill="auto"/>
          </w:tcPr>
          <w:p w:rsidR="00D42476" w:rsidRPr="00732DC0" w:rsidRDefault="00D42476" w:rsidP="00D42476">
            <w:pPr>
              <w:rPr>
                <w:sz w:val="22"/>
                <w:szCs w:val="22"/>
              </w:rPr>
            </w:pPr>
            <w:r w:rsidRPr="00732DC0">
              <w:rPr>
                <w:sz w:val="22"/>
                <w:szCs w:val="22"/>
              </w:rPr>
              <w:t>Kandava</w:t>
            </w:r>
          </w:p>
        </w:tc>
        <w:tc>
          <w:tcPr>
            <w:tcW w:w="1647" w:type="pct"/>
            <w:shd w:val="clear" w:color="auto" w:fill="auto"/>
          </w:tcPr>
          <w:p w:rsidR="00D42476" w:rsidRPr="003F43D4" w:rsidRDefault="00AA4D5A" w:rsidP="00D42476">
            <w:pPr>
              <w:pStyle w:val="NoSpacing"/>
              <w:rPr>
                <w:sz w:val="22"/>
                <w:szCs w:val="22"/>
              </w:rPr>
            </w:pPr>
            <w:r w:rsidRPr="003F43D4">
              <w:rPr>
                <w:sz w:val="22"/>
                <w:szCs w:val="22"/>
              </w:rPr>
              <w:t>Autotransports</w:t>
            </w:r>
          </w:p>
          <w:p w:rsidR="00D42476" w:rsidRPr="003F43D4" w:rsidRDefault="00D42476" w:rsidP="00D42476">
            <w:pPr>
              <w:pStyle w:val="NoSpacing"/>
              <w:rPr>
                <w:sz w:val="22"/>
                <w:szCs w:val="22"/>
              </w:rPr>
            </w:pPr>
            <w:r w:rsidRPr="003F43D4">
              <w:rPr>
                <w:sz w:val="22"/>
                <w:szCs w:val="22"/>
              </w:rPr>
              <w:t>Elektriskās iekārtas</w:t>
            </w:r>
          </w:p>
          <w:p w:rsidR="00D42476" w:rsidRPr="005B5073" w:rsidRDefault="00D42476" w:rsidP="00D42476">
            <w:pPr>
              <w:jc w:val="right"/>
              <w:rPr>
                <w:szCs w:val="24"/>
              </w:rPr>
            </w:pPr>
          </w:p>
        </w:tc>
        <w:tc>
          <w:tcPr>
            <w:tcW w:w="988" w:type="pct"/>
            <w:shd w:val="clear" w:color="auto" w:fill="auto"/>
          </w:tcPr>
          <w:p w:rsidR="00D42476" w:rsidRPr="00634CD9" w:rsidRDefault="00D42476" w:rsidP="00D42476">
            <w:pPr>
              <w:jc w:val="center"/>
              <w:rPr>
                <w:szCs w:val="24"/>
              </w:rPr>
            </w:pPr>
            <w:r w:rsidRPr="00634CD9">
              <w:rPr>
                <w:szCs w:val="24"/>
              </w:rPr>
              <w:t>16</w:t>
            </w:r>
          </w:p>
          <w:p w:rsidR="00D42476" w:rsidRPr="00634CD9" w:rsidRDefault="004A7E9B" w:rsidP="00D42476">
            <w:pPr>
              <w:jc w:val="center"/>
              <w:rPr>
                <w:szCs w:val="24"/>
              </w:rPr>
            </w:pPr>
            <w:r>
              <w:rPr>
                <w:szCs w:val="24"/>
              </w:rPr>
              <w:t>31</w:t>
            </w:r>
          </w:p>
        </w:tc>
      </w:tr>
      <w:tr w:rsidR="00D42476" w:rsidRPr="005B5073" w:rsidTr="000579B9">
        <w:tc>
          <w:tcPr>
            <w:tcW w:w="933" w:type="pct"/>
            <w:vMerge/>
            <w:shd w:val="clear" w:color="auto" w:fill="auto"/>
          </w:tcPr>
          <w:p w:rsidR="00D42476" w:rsidRPr="009865FD" w:rsidRDefault="00D42476" w:rsidP="00D42476">
            <w:pPr>
              <w:rPr>
                <w:szCs w:val="24"/>
              </w:rPr>
            </w:pPr>
          </w:p>
        </w:tc>
        <w:tc>
          <w:tcPr>
            <w:tcW w:w="497" w:type="pct"/>
            <w:vMerge/>
            <w:shd w:val="clear" w:color="auto" w:fill="auto"/>
          </w:tcPr>
          <w:p w:rsidR="00D42476" w:rsidRPr="00732DC0" w:rsidRDefault="00D42476" w:rsidP="00D42476">
            <w:pPr>
              <w:jc w:val="right"/>
              <w:rPr>
                <w:sz w:val="22"/>
                <w:szCs w:val="22"/>
              </w:rPr>
            </w:pPr>
          </w:p>
        </w:tc>
        <w:tc>
          <w:tcPr>
            <w:tcW w:w="934" w:type="pct"/>
            <w:shd w:val="clear" w:color="auto" w:fill="auto"/>
          </w:tcPr>
          <w:p w:rsidR="00D42476" w:rsidRPr="00732DC0" w:rsidRDefault="00D42476" w:rsidP="00D42476">
            <w:pPr>
              <w:rPr>
                <w:sz w:val="22"/>
                <w:szCs w:val="22"/>
              </w:rPr>
            </w:pPr>
            <w:r w:rsidRPr="00732DC0">
              <w:rPr>
                <w:sz w:val="22"/>
                <w:szCs w:val="22"/>
              </w:rPr>
              <w:t>Priekuļi</w:t>
            </w:r>
          </w:p>
        </w:tc>
        <w:tc>
          <w:tcPr>
            <w:tcW w:w="1647" w:type="pct"/>
            <w:shd w:val="clear" w:color="auto" w:fill="auto"/>
          </w:tcPr>
          <w:p w:rsidR="00D42476" w:rsidRPr="003F43D4" w:rsidRDefault="00AA4D5A" w:rsidP="00D42476">
            <w:pPr>
              <w:pStyle w:val="NoSpacing"/>
              <w:rPr>
                <w:sz w:val="22"/>
                <w:szCs w:val="22"/>
              </w:rPr>
            </w:pPr>
            <w:r w:rsidRPr="003F43D4">
              <w:rPr>
                <w:sz w:val="22"/>
                <w:szCs w:val="22"/>
              </w:rPr>
              <w:t>Informācijas tehnoloģijas</w:t>
            </w:r>
          </w:p>
          <w:p w:rsidR="00D42476" w:rsidRPr="003F43D4" w:rsidRDefault="00D42476" w:rsidP="00D42476">
            <w:pPr>
              <w:pStyle w:val="NoSpacing"/>
              <w:rPr>
                <w:sz w:val="22"/>
                <w:szCs w:val="22"/>
              </w:rPr>
            </w:pPr>
            <w:r w:rsidRPr="003F43D4">
              <w:rPr>
                <w:sz w:val="22"/>
                <w:szCs w:val="22"/>
              </w:rPr>
              <w:t>Telemātika un loģistika</w:t>
            </w:r>
          </w:p>
        </w:tc>
        <w:tc>
          <w:tcPr>
            <w:tcW w:w="988" w:type="pct"/>
            <w:shd w:val="clear" w:color="auto" w:fill="auto"/>
          </w:tcPr>
          <w:p w:rsidR="00D42476" w:rsidRPr="00634CD9" w:rsidRDefault="004A7E9B" w:rsidP="00D42476">
            <w:pPr>
              <w:jc w:val="center"/>
              <w:rPr>
                <w:szCs w:val="24"/>
              </w:rPr>
            </w:pPr>
            <w:r>
              <w:rPr>
                <w:szCs w:val="24"/>
              </w:rPr>
              <w:t>6</w:t>
            </w:r>
          </w:p>
          <w:p w:rsidR="00D42476" w:rsidRPr="00634CD9" w:rsidRDefault="004A7E9B" w:rsidP="00D42476">
            <w:pPr>
              <w:jc w:val="center"/>
              <w:rPr>
                <w:szCs w:val="24"/>
              </w:rPr>
            </w:pPr>
            <w:r>
              <w:rPr>
                <w:szCs w:val="24"/>
              </w:rPr>
              <w:t>27</w:t>
            </w:r>
          </w:p>
        </w:tc>
      </w:tr>
      <w:tr w:rsidR="00D42476" w:rsidRPr="005B5073" w:rsidTr="000579B9">
        <w:tc>
          <w:tcPr>
            <w:tcW w:w="933" w:type="pct"/>
            <w:vMerge/>
            <w:shd w:val="clear" w:color="auto" w:fill="auto"/>
          </w:tcPr>
          <w:p w:rsidR="00D42476" w:rsidRPr="009865FD" w:rsidRDefault="00D42476" w:rsidP="00D42476">
            <w:pPr>
              <w:rPr>
                <w:szCs w:val="24"/>
              </w:rPr>
            </w:pPr>
          </w:p>
        </w:tc>
        <w:tc>
          <w:tcPr>
            <w:tcW w:w="497" w:type="pct"/>
            <w:vMerge/>
            <w:shd w:val="clear" w:color="auto" w:fill="auto"/>
          </w:tcPr>
          <w:p w:rsidR="00D42476" w:rsidRPr="00732DC0" w:rsidRDefault="00D42476" w:rsidP="00D42476">
            <w:pPr>
              <w:jc w:val="right"/>
              <w:rPr>
                <w:sz w:val="22"/>
                <w:szCs w:val="22"/>
              </w:rPr>
            </w:pPr>
          </w:p>
        </w:tc>
        <w:tc>
          <w:tcPr>
            <w:tcW w:w="934" w:type="pct"/>
            <w:shd w:val="clear" w:color="auto" w:fill="auto"/>
          </w:tcPr>
          <w:p w:rsidR="00D42476" w:rsidRPr="00732DC0" w:rsidRDefault="00D42476" w:rsidP="00D42476">
            <w:pPr>
              <w:rPr>
                <w:sz w:val="22"/>
                <w:szCs w:val="22"/>
              </w:rPr>
            </w:pPr>
            <w:r w:rsidRPr="00732DC0">
              <w:rPr>
                <w:sz w:val="22"/>
                <w:szCs w:val="22"/>
              </w:rPr>
              <w:t>Daugavpils</w:t>
            </w:r>
          </w:p>
        </w:tc>
        <w:tc>
          <w:tcPr>
            <w:tcW w:w="1647" w:type="pct"/>
            <w:shd w:val="clear" w:color="auto" w:fill="auto"/>
          </w:tcPr>
          <w:p w:rsidR="00D42476" w:rsidRPr="003F43D4" w:rsidRDefault="00AA4D5A" w:rsidP="00D42476">
            <w:pPr>
              <w:pStyle w:val="NoSpacing"/>
              <w:rPr>
                <w:sz w:val="22"/>
                <w:szCs w:val="22"/>
              </w:rPr>
            </w:pPr>
            <w:r w:rsidRPr="003F43D4">
              <w:rPr>
                <w:sz w:val="22"/>
                <w:szCs w:val="22"/>
              </w:rPr>
              <w:t>Informācijas tehnoloģijas</w:t>
            </w:r>
          </w:p>
          <w:p w:rsidR="00D42476" w:rsidRPr="003F43D4" w:rsidRDefault="00D42476" w:rsidP="00D42476">
            <w:pPr>
              <w:pStyle w:val="NoSpacing"/>
              <w:rPr>
                <w:sz w:val="22"/>
                <w:szCs w:val="22"/>
              </w:rPr>
            </w:pPr>
            <w:proofErr w:type="spellStart"/>
            <w:r w:rsidRPr="003F43D4">
              <w:rPr>
                <w:sz w:val="22"/>
                <w:szCs w:val="22"/>
              </w:rPr>
              <w:t>Inženiermehānika</w:t>
            </w:r>
            <w:proofErr w:type="spellEnd"/>
          </w:p>
        </w:tc>
        <w:tc>
          <w:tcPr>
            <w:tcW w:w="988" w:type="pct"/>
            <w:shd w:val="clear" w:color="auto" w:fill="auto"/>
          </w:tcPr>
          <w:p w:rsidR="00D42476" w:rsidRPr="00634CD9" w:rsidRDefault="004A7E9B" w:rsidP="00D42476">
            <w:pPr>
              <w:jc w:val="center"/>
              <w:rPr>
                <w:szCs w:val="24"/>
              </w:rPr>
            </w:pPr>
            <w:r>
              <w:rPr>
                <w:szCs w:val="24"/>
              </w:rPr>
              <w:t>32</w:t>
            </w:r>
          </w:p>
          <w:p w:rsidR="00D42476" w:rsidRPr="00634CD9" w:rsidRDefault="004A7E9B" w:rsidP="00D42476">
            <w:pPr>
              <w:jc w:val="center"/>
              <w:rPr>
                <w:szCs w:val="24"/>
              </w:rPr>
            </w:pPr>
            <w:r>
              <w:rPr>
                <w:szCs w:val="24"/>
              </w:rPr>
              <w:t>28</w:t>
            </w:r>
          </w:p>
        </w:tc>
      </w:tr>
      <w:tr w:rsidR="00D42476" w:rsidRPr="005B5073" w:rsidTr="000579B9">
        <w:tc>
          <w:tcPr>
            <w:tcW w:w="4012" w:type="pct"/>
            <w:gridSpan w:val="4"/>
            <w:shd w:val="clear" w:color="auto" w:fill="auto"/>
          </w:tcPr>
          <w:p w:rsidR="00D42476" w:rsidRPr="003F43D4" w:rsidRDefault="00D42476" w:rsidP="00D42476">
            <w:pPr>
              <w:pStyle w:val="NoSpacing"/>
              <w:jc w:val="right"/>
              <w:rPr>
                <w:sz w:val="22"/>
                <w:szCs w:val="22"/>
              </w:rPr>
            </w:pPr>
            <w:r w:rsidRPr="003F43D4">
              <w:rPr>
                <w:sz w:val="22"/>
                <w:szCs w:val="22"/>
              </w:rPr>
              <w:t>Kopā</w:t>
            </w:r>
          </w:p>
        </w:tc>
        <w:tc>
          <w:tcPr>
            <w:tcW w:w="988" w:type="pct"/>
            <w:shd w:val="clear" w:color="auto" w:fill="auto"/>
          </w:tcPr>
          <w:p w:rsidR="00D42476" w:rsidRPr="009E0FA4" w:rsidRDefault="004A7E9B" w:rsidP="004A7E9B">
            <w:pPr>
              <w:jc w:val="center"/>
              <w:rPr>
                <w:b/>
                <w:szCs w:val="24"/>
              </w:rPr>
            </w:pPr>
            <w:r w:rsidRPr="009E0FA4">
              <w:rPr>
                <w:b/>
                <w:szCs w:val="24"/>
              </w:rPr>
              <w:t>1</w:t>
            </w:r>
            <w:r>
              <w:rPr>
                <w:b/>
                <w:szCs w:val="24"/>
              </w:rPr>
              <w:t>40</w:t>
            </w:r>
          </w:p>
        </w:tc>
      </w:tr>
      <w:tr w:rsidR="00D42476" w:rsidRPr="005B5073" w:rsidTr="000579B9">
        <w:tc>
          <w:tcPr>
            <w:tcW w:w="933" w:type="pct"/>
            <w:shd w:val="clear" w:color="auto" w:fill="auto"/>
          </w:tcPr>
          <w:p w:rsidR="00D42476" w:rsidRPr="00AB6CFD" w:rsidRDefault="00D42476" w:rsidP="00D42476">
            <w:pPr>
              <w:rPr>
                <w:sz w:val="22"/>
                <w:szCs w:val="22"/>
              </w:rPr>
            </w:pPr>
            <w:r w:rsidRPr="00AB6CFD">
              <w:rPr>
                <w:color w:val="000000"/>
                <w:sz w:val="22"/>
                <w:szCs w:val="22"/>
              </w:rPr>
              <w:t>Latvijas Universitātes P.Stradiņa medicīnas koledža</w:t>
            </w:r>
          </w:p>
        </w:tc>
        <w:tc>
          <w:tcPr>
            <w:tcW w:w="497" w:type="pct"/>
            <w:shd w:val="clear" w:color="auto" w:fill="auto"/>
          </w:tcPr>
          <w:p w:rsidR="00D42476" w:rsidRPr="00732DC0" w:rsidRDefault="00D42476" w:rsidP="00D42476">
            <w:pPr>
              <w:jc w:val="center"/>
              <w:rPr>
                <w:sz w:val="22"/>
                <w:szCs w:val="22"/>
              </w:rPr>
            </w:pPr>
            <w:r w:rsidRPr="00732DC0">
              <w:rPr>
                <w:sz w:val="22"/>
                <w:szCs w:val="22"/>
              </w:rPr>
              <w:t>1</w:t>
            </w:r>
          </w:p>
        </w:tc>
        <w:tc>
          <w:tcPr>
            <w:tcW w:w="934" w:type="pct"/>
            <w:shd w:val="clear" w:color="auto" w:fill="auto"/>
          </w:tcPr>
          <w:p w:rsidR="00D42476" w:rsidRPr="00732DC0" w:rsidRDefault="00D42476" w:rsidP="00D42476">
            <w:pPr>
              <w:rPr>
                <w:sz w:val="22"/>
                <w:szCs w:val="22"/>
              </w:rPr>
            </w:pPr>
            <w:r w:rsidRPr="00732DC0">
              <w:rPr>
                <w:sz w:val="22"/>
                <w:szCs w:val="22"/>
              </w:rPr>
              <w:t>Rēzekne</w:t>
            </w:r>
          </w:p>
        </w:tc>
        <w:tc>
          <w:tcPr>
            <w:tcW w:w="1647" w:type="pct"/>
            <w:shd w:val="clear" w:color="auto" w:fill="auto"/>
          </w:tcPr>
          <w:p w:rsidR="00D42476" w:rsidRPr="003F43D4" w:rsidRDefault="00D42476" w:rsidP="00D42476">
            <w:pPr>
              <w:pStyle w:val="NoSpacing"/>
              <w:rPr>
                <w:sz w:val="22"/>
                <w:szCs w:val="22"/>
              </w:rPr>
            </w:pPr>
            <w:r w:rsidRPr="003F43D4">
              <w:rPr>
                <w:sz w:val="22"/>
                <w:szCs w:val="22"/>
              </w:rPr>
              <w:t>Ārstniecība</w:t>
            </w:r>
          </w:p>
          <w:p w:rsidR="00D42476" w:rsidRPr="003F43D4" w:rsidRDefault="00D42476" w:rsidP="00D42476">
            <w:pPr>
              <w:pStyle w:val="NoSpacing"/>
              <w:rPr>
                <w:sz w:val="22"/>
                <w:szCs w:val="22"/>
              </w:rPr>
            </w:pPr>
            <w:proofErr w:type="spellStart"/>
            <w:r w:rsidRPr="003F43D4">
              <w:rPr>
                <w:sz w:val="22"/>
                <w:szCs w:val="22"/>
              </w:rPr>
              <w:t>Māszinības</w:t>
            </w:r>
            <w:proofErr w:type="spellEnd"/>
          </w:p>
        </w:tc>
        <w:tc>
          <w:tcPr>
            <w:tcW w:w="988" w:type="pct"/>
            <w:shd w:val="clear" w:color="auto" w:fill="auto"/>
          </w:tcPr>
          <w:p w:rsidR="00D42476" w:rsidRPr="009E0FA4" w:rsidRDefault="005A0509" w:rsidP="00D42476">
            <w:pPr>
              <w:jc w:val="center"/>
              <w:rPr>
                <w:szCs w:val="24"/>
              </w:rPr>
            </w:pPr>
            <w:r>
              <w:rPr>
                <w:szCs w:val="24"/>
              </w:rPr>
              <w:t>62</w:t>
            </w:r>
          </w:p>
          <w:p w:rsidR="00D42476" w:rsidRPr="009E0FA4" w:rsidRDefault="005A0509" w:rsidP="00D42476">
            <w:pPr>
              <w:jc w:val="center"/>
              <w:rPr>
                <w:szCs w:val="24"/>
              </w:rPr>
            </w:pPr>
            <w:r>
              <w:rPr>
                <w:szCs w:val="24"/>
              </w:rPr>
              <w:t>85</w:t>
            </w:r>
          </w:p>
        </w:tc>
      </w:tr>
      <w:tr w:rsidR="00D42476" w:rsidRPr="005B5073" w:rsidTr="000579B9">
        <w:tc>
          <w:tcPr>
            <w:tcW w:w="4012" w:type="pct"/>
            <w:gridSpan w:val="4"/>
            <w:shd w:val="clear" w:color="auto" w:fill="auto"/>
          </w:tcPr>
          <w:p w:rsidR="00D42476" w:rsidRPr="003F43D4" w:rsidRDefault="00D42476" w:rsidP="00D42476">
            <w:pPr>
              <w:pStyle w:val="NoSpacing"/>
              <w:jc w:val="right"/>
              <w:rPr>
                <w:sz w:val="22"/>
                <w:szCs w:val="22"/>
              </w:rPr>
            </w:pPr>
            <w:r w:rsidRPr="003F43D4">
              <w:rPr>
                <w:sz w:val="22"/>
                <w:szCs w:val="22"/>
              </w:rPr>
              <w:t>Kopā</w:t>
            </w:r>
          </w:p>
        </w:tc>
        <w:tc>
          <w:tcPr>
            <w:tcW w:w="988" w:type="pct"/>
            <w:shd w:val="clear" w:color="auto" w:fill="auto"/>
          </w:tcPr>
          <w:p w:rsidR="00D42476" w:rsidRPr="003F43D4" w:rsidRDefault="00960C60" w:rsidP="00D42476">
            <w:pPr>
              <w:jc w:val="center"/>
              <w:rPr>
                <w:b/>
                <w:sz w:val="22"/>
                <w:szCs w:val="22"/>
              </w:rPr>
            </w:pPr>
            <w:r w:rsidRPr="003F43D4">
              <w:rPr>
                <w:b/>
                <w:sz w:val="22"/>
                <w:szCs w:val="22"/>
              </w:rPr>
              <w:t>147</w:t>
            </w:r>
          </w:p>
        </w:tc>
      </w:tr>
      <w:tr w:rsidR="00D42476" w:rsidRPr="005B5073" w:rsidTr="000579B9">
        <w:tc>
          <w:tcPr>
            <w:tcW w:w="933" w:type="pct"/>
            <w:shd w:val="clear" w:color="auto" w:fill="auto"/>
          </w:tcPr>
          <w:p w:rsidR="00D42476" w:rsidRPr="00AB6CFD" w:rsidRDefault="00D42476" w:rsidP="00D42476">
            <w:pPr>
              <w:rPr>
                <w:sz w:val="22"/>
                <w:szCs w:val="22"/>
              </w:rPr>
            </w:pPr>
            <w:r w:rsidRPr="00AB6CFD">
              <w:rPr>
                <w:color w:val="000000"/>
                <w:sz w:val="22"/>
                <w:szCs w:val="22"/>
              </w:rPr>
              <w:t>Valsts Policijas koledža</w:t>
            </w:r>
          </w:p>
        </w:tc>
        <w:tc>
          <w:tcPr>
            <w:tcW w:w="497" w:type="pct"/>
            <w:shd w:val="clear" w:color="auto" w:fill="auto"/>
          </w:tcPr>
          <w:p w:rsidR="00D42476" w:rsidRPr="00732DC0" w:rsidRDefault="00D42476" w:rsidP="00D42476">
            <w:pPr>
              <w:jc w:val="center"/>
              <w:rPr>
                <w:sz w:val="22"/>
                <w:szCs w:val="22"/>
              </w:rPr>
            </w:pPr>
            <w:r w:rsidRPr="00732DC0">
              <w:rPr>
                <w:sz w:val="22"/>
                <w:szCs w:val="22"/>
              </w:rPr>
              <w:t>1</w:t>
            </w:r>
          </w:p>
        </w:tc>
        <w:tc>
          <w:tcPr>
            <w:tcW w:w="934" w:type="pct"/>
            <w:shd w:val="clear" w:color="auto" w:fill="auto"/>
          </w:tcPr>
          <w:p w:rsidR="00D42476" w:rsidRPr="00732DC0" w:rsidRDefault="00D42476" w:rsidP="00D42476">
            <w:pPr>
              <w:rPr>
                <w:sz w:val="22"/>
                <w:szCs w:val="22"/>
              </w:rPr>
            </w:pPr>
            <w:r w:rsidRPr="00732DC0">
              <w:rPr>
                <w:sz w:val="22"/>
                <w:szCs w:val="22"/>
              </w:rPr>
              <w:t>Daugavpils</w:t>
            </w:r>
          </w:p>
        </w:tc>
        <w:tc>
          <w:tcPr>
            <w:tcW w:w="1647" w:type="pct"/>
            <w:shd w:val="clear" w:color="auto" w:fill="auto"/>
          </w:tcPr>
          <w:p w:rsidR="00D42476" w:rsidRPr="003F43D4" w:rsidRDefault="00D42476" w:rsidP="00D42476">
            <w:pPr>
              <w:pStyle w:val="NoSpacing"/>
              <w:rPr>
                <w:sz w:val="22"/>
                <w:szCs w:val="22"/>
              </w:rPr>
            </w:pPr>
            <w:r w:rsidRPr="003F43D4">
              <w:rPr>
                <w:sz w:val="22"/>
                <w:szCs w:val="22"/>
                <w:lang w:eastAsia="lv-LV"/>
              </w:rPr>
              <w:t>Policijas darbs</w:t>
            </w:r>
          </w:p>
        </w:tc>
        <w:tc>
          <w:tcPr>
            <w:tcW w:w="988" w:type="pct"/>
            <w:shd w:val="clear" w:color="auto" w:fill="auto"/>
          </w:tcPr>
          <w:p w:rsidR="00D42476" w:rsidRPr="002018BF" w:rsidRDefault="005A0509" w:rsidP="00D42476">
            <w:pPr>
              <w:jc w:val="center"/>
              <w:rPr>
                <w:b/>
                <w:color w:val="FF0000"/>
                <w:szCs w:val="24"/>
              </w:rPr>
            </w:pPr>
            <w:r w:rsidRPr="002018BF">
              <w:rPr>
                <w:b/>
                <w:szCs w:val="24"/>
              </w:rPr>
              <w:t>52</w:t>
            </w:r>
          </w:p>
        </w:tc>
      </w:tr>
      <w:tr w:rsidR="00D42476" w:rsidRPr="00A73057" w:rsidTr="000579B9">
        <w:tc>
          <w:tcPr>
            <w:tcW w:w="933" w:type="pct"/>
            <w:vMerge w:val="restart"/>
            <w:shd w:val="clear" w:color="auto" w:fill="FFFFFF" w:themeFill="background1"/>
          </w:tcPr>
          <w:p w:rsidR="00D42476" w:rsidRDefault="00D42476" w:rsidP="00D42476">
            <w:pPr>
              <w:rPr>
                <w:color w:val="000000"/>
                <w:szCs w:val="24"/>
              </w:rPr>
            </w:pPr>
          </w:p>
          <w:p w:rsidR="00D42476" w:rsidRDefault="00D42476" w:rsidP="00D42476">
            <w:pPr>
              <w:rPr>
                <w:color w:val="000000"/>
                <w:szCs w:val="24"/>
              </w:rPr>
            </w:pPr>
          </w:p>
          <w:p w:rsidR="00D42476" w:rsidRDefault="00D42476" w:rsidP="00D42476">
            <w:pPr>
              <w:rPr>
                <w:color w:val="000000"/>
                <w:szCs w:val="24"/>
              </w:rPr>
            </w:pPr>
          </w:p>
          <w:p w:rsidR="00D42476" w:rsidRDefault="00D42476" w:rsidP="00D42476">
            <w:pPr>
              <w:rPr>
                <w:color w:val="000000"/>
                <w:szCs w:val="24"/>
              </w:rPr>
            </w:pPr>
          </w:p>
          <w:p w:rsidR="00D42476" w:rsidRPr="00AB6CFD" w:rsidRDefault="00D42476" w:rsidP="00D42476">
            <w:pPr>
              <w:rPr>
                <w:color w:val="000000"/>
                <w:sz w:val="22"/>
                <w:szCs w:val="22"/>
              </w:rPr>
            </w:pPr>
            <w:r w:rsidRPr="00AB6CFD">
              <w:rPr>
                <w:color w:val="000000"/>
                <w:sz w:val="22"/>
                <w:szCs w:val="22"/>
              </w:rPr>
              <w:t>Juridiskā koledža</w:t>
            </w:r>
          </w:p>
        </w:tc>
        <w:tc>
          <w:tcPr>
            <w:tcW w:w="497" w:type="pct"/>
            <w:vMerge w:val="restart"/>
            <w:shd w:val="clear" w:color="auto" w:fill="FFFFFF" w:themeFill="background1"/>
          </w:tcPr>
          <w:p w:rsidR="00D42476" w:rsidRDefault="00D42476" w:rsidP="00D42476">
            <w:pPr>
              <w:jc w:val="center"/>
              <w:rPr>
                <w:color w:val="000000"/>
                <w:szCs w:val="24"/>
              </w:rPr>
            </w:pPr>
          </w:p>
          <w:p w:rsidR="00D42476" w:rsidRDefault="00D42476" w:rsidP="00D42476">
            <w:pPr>
              <w:jc w:val="center"/>
              <w:rPr>
                <w:color w:val="000000"/>
                <w:szCs w:val="24"/>
              </w:rPr>
            </w:pPr>
          </w:p>
          <w:p w:rsidR="00D42476" w:rsidRDefault="00D42476" w:rsidP="00D42476">
            <w:pPr>
              <w:jc w:val="center"/>
              <w:rPr>
                <w:color w:val="000000"/>
                <w:szCs w:val="24"/>
              </w:rPr>
            </w:pPr>
          </w:p>
          <w:p w:rsidR="00D42476" w:rsidRDefault="00D42476" w:rsidP="00D42476">
            <w:pPr>
              <w:jc w:val="center"/>
              <w:rPr>
                <w:color w:val="000000"/>
                <w:szCs w:val="24"/>
              </w:rPr>
            </w:pPr>
          </w:p>
          <w:p w:rsidR="00D42476" w:rsidRPr="00732DC0" w:rsidRDefault="00D42476" w:rsidP="00D42476">
            <w:pPr>
              <w:jc w:val="center"/>
              <w:rPr>
                <w:color w:val="000000"/>
                <w:sz w:val="22"/>
                <w:szCs w:val="22"/>
              </w:rPr>
            </w:pPr>
            <w:r w:rsidRPr="00732DC0">
              <w:rPr>
                <w:color w:val="000000"/>
                <w:sz w:val="22"/>
                <w:szCs w:val="22"/>
              </w:rPr>
              <w:t>4</w:t>
            </w:r>
          </w:p>
        </w:tc>
        <w:tc>
          <w:tcPr>
            <w:tcW w:w="934" w:type="pct"/>
            <w:shd w:val="clear" w:color="auto" w:fill="FFFFFF" w:themeFill="background1"/>
          </w:tcPr>
          <w:p w:rsidR="00D42476" w:rsidRPr="00732DC0" w:rsidRDefault="00D42476" w:rsidP="00D42476">
            <w:pPr>
              <w:rPr>
                <w:sz w:val="22"/>
                <w:szCs w:val="22"/>
              </w:rPr>
            </w:pPr>
            <w:r w:rsidRPr="00732DC0">
              <w:rPr>
                <w:sz w:val="22"/>
                <w:szCs w:val="22"/>
              </w:rPr>
              <w:t>Valmiera</w:t>
            </w:r>
          </w:p>
        </w:tc>
        <w:tc>
          <w:tcPr>
            <w:tcW w:w="1647" w:type="pct"/>
            <w:shd w:val="clear" w:color="auto" w:fill="FFFFFF" w:themeFill="background1"/>
          </w:tcPr>
          <w:p w:rsidR="00D42476" w:rsidRPr="003F43D4" w:rsidRDefault="00AA4D5A" w:rsidP="00D42476">
            <w:pPr>
              <w:pStyle w:val="NoSpacing"/>
              <w:jc w:val="left"/>
              <w:rPr>
                <w:sz w:val="22"/>
                <w:szCs w:val="22"/>
              </w:rPr>
            </w:pPr>
            <w:r w:rsidRPr="003F43D4">
              <w:rPr>
                <w:sz w:val="22"/>
                <w:szCs w:val="22"/>
              </w:rPr>
              <w:t>Cilvēkresursu vadība</w:t>
            </w:r>
          </w:p>
          <w:p w:rsidR="00D42476" w:rsidRPr="003F43D4" w:rsidRDefault="00D42476" w:rsidP="00D42476">
            <w:pPr>
              <w:pStyle w:val="NoSpacing"/>
              <w:jc w:val="left"/>
              <w:rPr>
                <w:sz w:val="22"/>
                <w:szCs w:val="22"/>
              </w:rPr>
            </w:pPr>
            <w:r w:rsidRPr="003F43D4">
              <w:rPr>
                <w:sz w:val="22"/>
                <w:szCs w:val="22"/>
              </w:rPr>
              <w:t>Tiesību zinātne</w:t>
            </w:r>
          </w:p>
          <w:p w:rsidR="00326E0E" w:rsidRPr="003F43D4" w:rsidRDefault="00326E0E" w:rsidP="00D42476">
            <w:pPr>
              <w:pStyle w:val="NoSpacing"/>
              <w:jc w:val="left"/>
              <w:rPr>
                <w:b/>
                <w:color w:val="000000"/>
                <w:sz w:val="22"/>
                <w:szCs w:val="22"/>
              </w:rPr>
            </w:pPr>
            <w:r w:rsidRPr="003F43D4">
              <w:rPr>
                <w:sz w:val="22"/>
                <w:szCs w:val="22"/>
              </w:rPr>
              <w:t>Grāmatvedība</w:t>
            </w:r>
          </w:p>
        </w:tc>
        <w:tc>
          <w:tcPr>
            <w:tcW w:w="988" w:type="pct"/>
            <w:shd w:val="clear" w:color="auto" w:fill="FFFFFF" w:themeFill="background1"/>
          </w:tcPr>
          <w:p w:rsidR="00D42476" w:rsidRPr="009E0FA4" w:rsidRDefault="00326E0E" w:rsidP="00D42476">
            <w:pPr>
              <w:jc w:val="center"/>
              <w:rPr>
                <w:szCs w:val="24"/>
              </w:rPr>
            </w:pPr>
            <w:r>
              <w:rPr>
                <w:szCs w:val="24"/>
              </w:rPr>
              <w:t>52</w:t>
            </w:r>
          </w:p>
          <w:p w:rsidR="00D42476" w:rsidRDefault="00326E0E" w:rsidP="00D42476">
            <w:pPr>
              <w:jc w:val="center"/>
              <w:rPr>
                <w:szCs w:val="24"/>
              </w:rPr>
            </w:pPr>
            <w:r>
              <w:rPr>
                <w:szCs w:val="24"/>
              </w:rPr>
              <w:t>62</w:t>
            </w:r>
          </w:p>
          <w:p w:rsidR="00326E0E" w:rsidRPr="009E0FA4" w:rsidRDefault="00326E0E" w:rsidP="00D42476">
            <w:pPr>
              <w:jc w:val="center"/>
              <w:rPr>
                <w:szCs w:val="24"/>
              </w:rPr>
            </w:pPr>
            <w:r>
              <w:rPr>
                <w:szCs w:val="24"/>
              </w:rPr>
              <w:t>16</w:t>
            </w:r>
          </w:p>
        </w:tc>
      </w:tr>
      <w:tr w:rsidR="00D42476" w:rsidRPr="00A73057" w:rsidTr="000579B9">
        <w:tc>
          <w:tcPr>
            <w:tcW w:w="933" w:type="pct"/>
            <w:vMerge/>
            <w:shd w:val="clear" w:color="auto" w:fill="FFFFFF" w:themeFill="background1"/>
          </w:tcPr>
          <w:p w:rsidR="00D42476" w:rsidRPr="009E0FA4" w:rsidRDefault="00D42476" w:rsidP="00D42476">
            <w:pPr>
              <w:rPr>
                <w:color w:val="000000"/>
                <w:szCs w:val="24"/>
              </w:rPr>
            </w:pPr>
          </w:p>
        </w:tc>
        <w:tc>
          <w:tcPr>
            <w:tcW w:w="497" w:type="pct"/>
            <w:vMerge/>
            <w:shd w:val="clear" w:color="auto" w:fill="FFFFFF" w:themeFill="background1"/>
          </w:tcPr>
          <w:p w:rsidR="00D42476" w:rsidRPr="009E0FA4" w:rsidRDefault="00D42476" w:rsidP="00D42476">
            <w:pPr>
              <w:jc w:val="right"/>
              <w:rPr>
                <w:color w:val="000000"/>
                <w:szCs w:val="24"/>
              </w:rPr>
            </w:pPr>
          </w:p>
        </w:tc>
        <w:tc>
          <w:tcPr>
            <w:tcW w:w="934" w:type="pct"/>
            <w:shd w:val="clear" w:color="auto" w:fill="FFFFFF" w:themeFill="background1"/>
          </w:tcPr>
          <w:p w:rsidR="00D42476" w:rsidRPr="00732DC0" w:rsidRDefault="00D42476" w:rsidP="00D42476">
            <w:pPr>
              <w:rPr>
                <w:sz w:val="22"/>
                <w:szCs w:val="22"/>
              </w:rPr>
            </w:pPr>
            <w:r w:rsidRPr="00732DC0">
              <w:rPr>
                <w:sz w:val="22"/>
                <w:szCs w:val="22"/>
              </w:rPr>
              <w:t>Gulbene</w:t>
            </w:r>
          </w:p>
          <w:p w:rsidR="00D42476" w:rsidRPr="00732DC0" w:rsidRDefault="00D42476" w:rsidP="00D42476">
            <w:pPr>
              <w:rPr>
                <w:sz w:val="22"/>
                <w:szCs w:val="22"/>
              </w:rPr>
            </w:pPr>
          </w:p>
        </w:tc>
        <w:tc>
          <w:tcPr>
            <w:tcW w:w="1647" w:type="pct"/>
            <w:shd w:val="clear" w:color="auto" w:fill="FFFFFF" w:themeFill="background1"/>
          </w:tcPr>
          <w:p w:rsidR="00D42476" w:rsidRPr="003F43D4" w:rsidRDefault="00D42476" w:rsidP="00D42476">
            <w:pPr>
              <w:rPr>
                <w:sz w:val="22"/>
                <w:szCs w:val="22"/>
              </w:rPr>
            </w:pPr>
            <w:r w:rsidRPr="003F43D4">
              <w:rPr>
                <w:sz w:val="22"/>
                <w:szCs w:val="22"/>
              </w:rPr>
              <w:t xml:space="preserve">Grāmatvedība </w:t>
            </w:r>
          </w:p>
          <w:p w:rsidR="00D42476" w:rsidRPr="003F43D4" w:rsidRDefault="00D42476" w:rsidP="00D42476">
            <w:pPr>
              <w:rPr>
                <w:sz w:val="22"/>
                <w:szCs w:val="22"/>
              </w:rPr>
            </w:pPr>
            <w:r w:rsidRPr="003F43D4">
              <w:rPr>
                <w:sz w:val="22"/>
                <w:szCs w:val="22"/>
              </w:rPr>
              <w:t>Tiesību zinātne</w:t>
            </w:r>
          </w:p>
          <w:p w:rsidR="00D42476" w:rsidRPr="003F43D4" w:rsidRDefault="00D42476" w:rsidP="00D42476">
            <w:pPr>
              <w:jc w:val="right"/>
              <w:rPr>
                <w:b/>
                <w:sz w:val="22"/>
                <w:szCs w:val="22"/>
              </w:rPr>
            </w:pPr>
          </w:p>
        </w:tc>
        <w:tc>
          <w:tcPr>
            <w:tcW w:w="988" w:type="pct"/>
            <w:shd w:val="clear" w:color="auto" w:fill="FFFFFF" w:themeFill="background1"/>
          </w:tcPr>
          <w:p w:rsidR="00D42476" w:rsidRPr="009E0FA4" w:rsidRDefault="00326E0E" w:rsidP="00D42476">
            <w:pPr>
              <w:jc w:val="center"/>
              <w:rPr>
                <w:szCs w:val="24"/>
              </w:rPr>
            </w:pPr>
            <w:r>
              <w:rPr>
                <w:szCs w:val="24"/>
              </w:rPr>
              <w:t>15</w:t>
            </w:r>
          </w:p>
          <w:p w:rsidR="00D42476" w:rsidRPr="009E0FA4" w:rsidRDefault="00326E0E" w:rsidP="00D42476">
            <w:pPr>
              <w:jc w:val="center"/>
              <w:rPr>
                <w:szCs w:val="24"/>
              </w:rPr>
            </w:pPr>
            <w:r>
              <w:rPr>
                <w:szCs w:val="24"/>
              </w:rPr>
              <w:t>34</w:t>
            </w:r>
          </w:p>
        </w:tc>
      </w:tr>
      <w:tr w:rsidR="00D42476" w:rsidRPr="00A73057" w:rsidTr="000579B9">
        <w:tc>
          <w:tcPr>
            <w:tcW w:w="933" w:type="pct"/>
            <w:vMerge/>
            <w:shd w:val="clear" w:color="auto" w:fill="FFFFFF" w:themeFill="background1"/>
          </w:tcPr>
          <w:p w:rsidR="00D42476" w:rsidRPr="009E0FA4" w:rsidRDefault="00D42476" w:rsidP="00D42476">
            <w:pPr>
              <w:rPr>
                <w:color w:val="000000"/>
                <w:szCs w:val="24"/>
              </w:rPr>
            </w:pPr>
          </w:p>
        </w:tc>
        <w:tc>
          <w:tcPr>
            <w:tcW w:w="497" w:type="pct"/>
            <w:vMerge/>
            <w:shd w:val="clear" w:color="auto" w:fill="FFFFFF" w:themeFill="background1"/>
          </w:tcPr>
          <w:p w:rsidR="00D42476" w:rsidRPr="009E0FA4" w:rsidRDefault="00D42476" w:rsidP="00D42476">
            <w:pPr>
              <w:jc w:val="right"/>
              <w:rPr>
                <w:color w:val="000000"/>
                <w:szCs w:val="24"/>
              </w:rPr>
            </w:pPr>
          </w:p>
        </w:tc>
        <w:tc>
          <w:tcPr>
            <w:tcW w:w="934" w:type="pct"/>
            <w:shd w:val="clear" w:color="auto" w:fill="FFFFFF" w:themeFill="background1"/>
          </w:tcPr>
          <w:p w:rsidR="00D42476" w:rsidRPr="00732DC0" w:rsidRDefault="00D42476" w:rsidP="00D42476">
            <w:pPr>
              <w:rPr>
                <w:sz w:val="22"/>
                <w:szCs w:val="22"/>
              </w:rPr>
            </w:pPr>
            <w:r w:rsidRPr="00732DC0">
              <w:rPr>
                <w:sz w:val="22"/>
                <w:szCs w:val="22"/>
              </w:rPr>
              <w:t>Liepāja</w:t>
            </w:r>
          </w:p>
          <w:p w:rsidR="00D42476" w:rsidRPr="00732DC0" w:rsidRDefault="00D42476" w:rsidP="00D42476">
            <w:pPr>
              <w:rPr>
                <w:sz w:val="22"/>
                <w:szCs w:val="22"/>
              </w:rPr>
            </w:pPr>
          </w:p>
        </w:tc>
        <w:tc>
          <w:tcPr>
            <w:tcW w:w="1647" w:type="pct"/>
            <w:shd w:val="clear" w:color="auto" w:fill="FFFFFF" w:themeFill="background1"/>
          </w:tcPr>
          <w:p w:rsidR="00D42476" w:rsidRPr="003F43D4" w:rsidRDefault="00D42476" w:rsidP="00D42476">
            <w:pPr>
              <w:rPr>
                <w:sz w:val="22"/>
                <w:szCs w:val="22"/>
              </w:rPr>
            </w:pPr>
            <w:r w:rsidRPr="003F43D4">
              <w:rPr>
                <w:sz w:val="22"/>
                <w:szCs w:val="22"/>
              </w:rPr>
              <w:t xml:space="preserve">Cilvēku resursu vadība </w:t>
            </w:r>
          </w:p>
          <w:p w:rsidR="00D42476" w:rsidRPr="003F43D4" w:rsidRDefault="00D42476" w:rsidP="00D42476">
            <w:pPr>
              <w:rPr>
                <w:sz w:val="22"/>
                <w:szCs w:val="22"/>
              </w:rPr>
            </w:pPr>
            <w:r w:rsidRPr="003F43D4">
              <w:rPr>
                <w:sz w:val="22"/>
                <w:szCs w:val="22"/>
              </w:rPr>
              <w:t xml:space="preserve">Tiesību zinātne </w:t>
            </w:r>
          </w:p>
          <w:p w:rsidR="00D42476" w:rsidRPr="003F43D4" w:rsidRDefault="00D42476" w:rsidP="00D42476">
            <w:pPr>
              <w:rPr>
                <w:b/>
                <w:sz w:val="22"/>
                <w:szCs w:val="22"/>
              </w:rPr>
            </w:pPr>
          </w:p>
        </w:tc>
        <w:tc>
          <w:tcPr>
            <w:tcW w:w="988" w:type="pct"/>
            <w:shd w:val="clear" w:color="auto" w:fill="FFFFFF" w:themeFill="background1"/>
          </w:tcPr>
          <w:p w:rsidR="00D42476" w:rsidRPr="009E0FA4" w:rsidRDefault="00326E0E" w:rsidP="00D42476">
            <w:pPr>
              <w:jc w:val="center"/>
              <w:rPr>
                <w:szCs w:val="24"/>
              </w:rPr>
            </w:pPr>
            <w:r>
              <w:rPr>
                <w:szCs w:val="24"/>
              </w:rPr>
              <w:t>22</w:t>
            </w:r>
          </w:p>
          <w:p w:rsidR="00D42476" w:rsidRPr="009E0FA4" w:rsidRDefault="00326E0E" w:rsidP="00D42476">
            <w:pPr>
              <w:jc w:val="center"/>
              <w:rPr>
                <w:szCs w:val="24"/>
              </w:rPr>
            </w:pPr>
            <w:r>
              <w:rPr>
                <w:szCs w:val="24"/>
              </w:rPr>
              <w:t>48</w:t>
            </w:r>
          </w:p>
          <w:p w:rsidR="00D42476" w:rsidRPr="009E0FA4" w:rsidRDefault="00D42476" w:rsidP="00D42476">
            <w:pPr>
              <w:jc w:val="center"/>
              <w:rPr>
                <w:szCs w:val="24"/>
              </w:rPr>
            </w:pPr>
          </w:p>
        </w:tc>
      </w:tr>
      <w:tr w:rsidR="00D42476" w:rsidRPr="00A73057" w:rsidTr="000579B9">
        <w:tc>
          <w:tcPr>
            <w:tcW w:w="933" w:type="pct"/>
            <w:vMerge/>
            <w:shd w:val="clear" w:color="auto" w:fill="FFFFFF" w:themeFill="background1"/>
          </w:tcPr>
          <w:p w:rsidR="00D42476" w:rsidRPr="009E0FA4" w:rsidRDefault="00D42476" w:rsidP="00D42476">
            <w:pPr>
              <w:rPr>
                <w:color w:val="000000"/>
                <w:szCs w:val="24"/>
              </w:rPr>
            </w:pPr>
          </w:p>
        </w:tc>
        <w:tc>
          <w:tcPr>
            <w:tcW w:w="497" w:type="pct"/>
            <w:vMerge/>
            <w:shd w:val="clear" w:color="auto" w:fill="FFFFFF" w:themeFill="background1"/>
          </w:tcPr>
          <w:p w:rsidR="00D42476" w:rsidRPr="009E0FA4" w:rsidRDefault="00D42476" w:rsidP="00D42476">
            <w:pPr>
              <w:jc w:val="right"/>
              <w:rPr>
                <w:color w:val="000000"/>
                <w:szCs w:val="24"/>
              </w:rPr>
            </w:pPr>
          </w:p>
        </w:tc>
        <w:tc>
          <w:tcPr>
            <w:tcW w:w="934" w:type="pct"/>
            <w:shd w:val="clear" w:color="auto" w:fill="FFFFFF" w:themeFill="background1"/>
          </w:tcPr>
          <w:p w:rsidR="00D42476" w:rsidRPr="00732DC0" w:rsidRDefault="00D42476" w:rsidP="00D42476">
            <w:pPr>
              <w:rPr>
                <w:sz w:val="22"/>
                <w:szCs w:val="22"/>
              </w:rPr>
            </w:pPr>
            <w:r w:rsidRPr="00732DC0">
              <w:rPr>
                <w:sz w:val="22"/>
                <w:szCs w:val="22"/>
              </w:rPr>
              <w:t>Ventspils</w:t>
            </w:r>
          </w:p>
        </w:tc>
        <w:tc>
          <w:tcPr>
            <w:tcW w:w="1647" w:type="pct"/>
            <w:shd w:val="clear" w:color="auto" w:fill="FFFFFF" w:themeFill="background1"/>
          </w:tcPr>
          <w:p w:rsidR="00D42476" w:rsidRPr="003F43D4" w:rsidRDefault="00D42476" w:rsidP="00D42476">
            <w:pPr>
              <w:rPr>
                <w:sz w:val="22"/>
                <w:szCs w:val="22"/>
              </w:rPr>
            </w:pPr>
            <w:r w:rsidRPr="003F43D4">
              <w:rPr>
                <w:sz w:val="22"/>
                <w:szCs w:val="22"/>
              </w:rPr>
              <w:t xml:space="preserve">Tiesību zinātne </w:t>
            </w:r>
          </w:p>
          <w:p w:rsidR="00D42476" w:rsidRPr="003F43D4" w:rsidRDefault="00D42476" w:rsidP="00D42476">
            <w:pPr>
              <w:jc w:val="right"/>
              <w:rPr>
                <w:b/>
                <w:sz w:val="22"/>
                <w:szCs w:val="22"/>
              </w:rPr>
            </w:pPr>
          </w:p>
        </w:tc>
        <w:tc>
          <w:tcPr>
            <w:tcW w:w="988" w:type="pct"/>
            <w:shd w:val="clear" w:color="auto" w:fill="FFFFFF" w:themeFill="background1"/>
          </w:tcPr>
          <w:p w:rsidR="00D42476" w:rsidRPr="009E0FA4" w:rsidRDefault="00326E0E" w:rsidP="00D42476">
            <w:pPr>
              <w:jc w:val="center"/>
              <w:rPr>
                <w:szCs w:val="24"/>
              </w:rPr>
            </w:pPr>
            <w:r>
              <w:rPr>
                <w:szCs w:val="24"/>
              </w:rPr>
              <w:t>42</w:t>
            </w:r>
          </w:p>
        </w:tc>
      </w:tr>
      <w:tr w:rsidR="00D42476" w:rsidRPr="00A73057" w:rsidTr="000579B9">
        <w:tc>
          <w:tcPr>
            <w:tcW w:w="4012" w:type="pct"/>
            <w:gridSpan w:val="4"/>
            <w:shd w:val="clear" w:color="auto" w:fill="FFFFFF" w:themeFill="background1"/>
          </w:tcPr>
          <w:p w:rsidR="00D42476" w:rsidRPr="003F43D4" w:rsidRDefault="00D42476" w:rsidP="00D42476">
            <w:pPr>
              <w:jc w:val="right"/>
              <w:rPr>
                <w:sz w:val="22"/>
                <w:szCs w:val="22"/>
              </w:rPr>
            </w:pPr>
            <w:r w:rsidRPr="003F43D4">
              <w:rPr>
                <w:sz w:val="22"/>
                <w:szCs w:val="22"/>
              </w:rPr>
              <w:t>Kopā</w:t>
            </w:r>
          </w:p>
        </w:tc>
        <w:tc>
          <w:tcPr>
            <w:tcW w:w="988" w:type="pct"/>
            <w:shd w:val="clear" w:color="auto" w:fill="FFFFFF" w:themeFill="background1"/>
          </w:tcPr>
          <w:p w:rsidR="00D42476" w:rsidRPr="009E0FA4" w:rsidRDefault="00326E0E" w:rsidP="00D42476">
            <w:pPr>
              <w:jc w:val="center"/>
              <w:rPr>
                <w:b/>
                <w:szCs w:val="24"/>
              </w:rPr>
            </w:pPr>
            <w:r>
              <w:rPr>
                <w:b/>
                <w:szCs w:val="24"/>
              </w:rPr>
              <w:t>291</w:t>
            </w:r>
          </w:p>
        </w:tc>
      </w:tr>
      <w:tr w:rsidR="00D42476" w:rsidRPr="00A73057" w:rsidTr="000579B9">
        <w:tc>
          <w:tcPr>
            <w:tcW w:w="933" w:type="pct"/>
            <w:shd w:val="clear" w:color="auto" w:fill="EAF1DD"/>
          </w:tcPr>
          <w:p w:rsidR="00D42476" w:rsidRPr="009865FD" w:rsidRDefault="00D42476" w:rsidP="00D42476">
            <w:pPr>
              <w:rPr>
                <w:b/>
                <w:color w:val="000000"/>
                <w:szCs w:val="24"/>
              </w:rPr>
            </w:pPr>
            <w:r w:rsidRPr="009865FD">
              <w:rPr>
                <w:b/>
                <w:color w:val="000000"/>
                <w:szCs w:val="24"/>
              </w:rPr>
              <w:t>Kopā</w:t>
            </w:r>
          </w:p>
        </w:tc>
        <w:tc>
          <w:tcPr>
            <w:tcW w:w="497" w:type="pct"/>
            <w:shd w:val="clear" w:color="auto" w:fill="EAF1DD"/>
          </w:tcPr>
          <w:p w:rsidR="00D42476" w:rsidRPr="009865FD" w:rsidRDefault="007735E6" w:rsidP="003F43D4">
            <w:pPr>
              <w:jc w:val="center"/>
              <w:rPr>
                <w:b/>
                <w:color w:val="000000"/>
                <w:szCs w:val="24"/>
              </w:rPr>
            </w:pPr>
            <w:r>
              <w:rPr>
                <w:b/>
                <w:color w:val="000000"/>
                <w:szCs w:val="24"/>
              </w:rPr>
              <w:t>9</w:t>
            </w:r>
          </w:p>
        </w:tc>
        <w:tc>
          <w:tcPr>
            <w:tcW w:w="934" w:type="pct"/>
            <w:shd w:val="clear" w:color="auto" w:fill="EAF1DD"/>
          </w:tcPr>
          <w:p w:rsidR="00D42476" w:rsidRPr="005B5073" w:rsidRDefault="00D42476" w:rsidP="00D42476">
            <w:pPr>
              <w:rPr>
                <w:szCs w:val="24"/>
              </w:rPr>
            </w:pPr>
          </w:p>
        </w:tc>
        <w:tc>
          <w:tcPr>
            <w:tcW w:w="1647" w:type="pct"/>
            <w:shd w:val="clear" w:color="auto" w:fill="EAF1DD"/>
          </w:tcPr>
          <w:p w:rsidR="00D42476" w:rsidRPr="009865FD" w:rsidRDefault="007735E6" w:rsidP="00042BB8">
            <w:pPr>
              <w:jc w:val="center"/>
              <w:rPr>
                <w:b/>
                <w:color w:val="000000"/>
                <w:szCs w:val="24"/>
              </w:rPr>
            </w:pPr>
            <w:r>
              <w:rPr>
                <w:b/>
                <w:color w:val="000000"/>
                <w:szCs w:val="24"/>
              </w:rPr>
              <w:t xml:space="preserve">17 </w:t>
            </w:r>
          </w:p>
        </w:tc>
        <w:tc>
          <w:tcPr>
            <w:tcW w:w="988" w:type="pct"/>
            <w:shd w:val="clear" w:color="auto" w:fill="EAF1DD"/>
          </w:tcPr>
          <w:p w:rsidR="00D42476" w:rsidRPr="009E0FA4" w:rsidRDefault="00326E0E" w:rsidP="00D42476">
            <w:pPr>
              <w:jc w:val="center"/>
              <w:rPr>
                <w:b/>
                <w:szCs w:val="24"/>
              </w:rPr>
            </w:pPr>
            <w:r>
              <w:rPr>
                <w:b/>
                <w:szCs w:val="24"/>
              </w:rPr>
              <w:t>630</w:t>
            </w:r>
          </w:p>
        </w:tc>
      </w:tr>
    </w:tbl>
    <w:p w:rsidR="00AA4D5A" w:rsidRDefault="00AA4D5A" w:rsidP="00D42476">
      <w:pPr>
        <w:rPr>
          <w:i/>
        </w:rPr>
      </w:pPr>
    </w:p>
    <w:p w:rsidR="00D42476" w:rsidRPr="00AA4D5A" w:rsidRDefault="00D42476" w:rsidP="00AA4D5A">
      <w:pPr>
        <w:ind w:firstLine="720"/>
      </w:pPr>
      <w:r w:rsidRPr="00AA4D5A">
        <w:t xml:space="preserve">Grāmatvedības un finanšu koledža </w:t>
      </w:r>
      <w:r w:rsidR="00AA4D5A" w:rsidRPr="00AA4D5A">
        <w:t xml:space="preserve">arī </w:t>
      </w:r>
      <w:r w:rsidRPr="00AA4D5A">
        <w:t>ir reģistrējusi 4 filiāles</w:t>
      </w:r>
      <w:r w:rsidR="00AA4D5A" w:rsidRPr="00AA4D5A">
        <w:t xml:space="preserve"> (Gulbenes, Valmieras, Ventspils</w:t>
      </w:r>
      <w:r w:rsidR="00AA4D5A">
        <w:t>, Daugavpils</w:t>
      </w:r>
      <w:r w:rsidR="00AA4D5A" w:rsidRPr="00AA4D5A">
        <w:t>)</w:t>
      </w:r>
      <w:r w:rsidRPr="00AA4D5A">
        <w:t>, tomēr studenti tajās netiek uzņemti.</w:t>
      </w:r>
    </w:p>
    <w:p w:rsidR="00D42476" w:rsidRPr="00065F64" w:rsidRDefault="00D42476" w:rsidP="000423B7">
      <w:pPr>
        <w:ind w:firstLine="720"/>
        <w:rPr>
          <w:szCs w:val="24"/>
        </w:rPr>
      </w:pPr>
      <w:r>
        <w:t>Kā rāda 1.</w:t>
      </w:r>
      <w:r w:rsidR="00D9522C">
        <w:t>2</w:t>
      </w:r>
      <w:r>
        <w:t xml:space="preserve">.tabulas dati, </w:t>
      </w:r>
      <w:r w:rsidR="00326E0E">
        <w:t xml:space="preserve">koledžu </w:t>
      </w:r>
      <w:r>
        <w:t xml:space="preserve">filiālēs </w:t>
      </w:r>
      <w:r w:rsidRPr="00326E0E">
        <w:t xml:space="preserve">studē </w:t>
      </w:r>
      <w:r w:rsidR="001350B8" w:rsidRPr="001350B8">
        <w:t>630</w:t>
      </w:r>
      <w:r w:rsidR="00326E0E" w:rsidRPr="00326E0E">
        <w:t xml:space="preserve"> </w:t>
      </w:r>
      <w:r w:rsidRPr="00326E0E">
        <w:t xml:space="preserve">studenti, kas veido tikai </w:t>
      </w:r>
      <w:r w:rsidR="001350B8" w:rsidRPr="001350B8">
        <w:t>5,8</w:t>
      </w:r>
      <w:r w:rsidRPr="00326E0E">
        <w:t xml:space="preserve"> % no kopējā koledžu studentu skaita</w:t>
      </w:r>
      <w:r>
        <w:t xml:space="preserve">. Vienlaikus jāatzīmē, ka STEM jomā filiālēs studē </w:t>
      </w:r>
      <w:r w:rsidR="00960C60">
        <w:t xml:space="preserve">287 </w:t>
      </w:r>
      <w:r>
        <w:t xml:space="preserve">studenti (PIKC </w:t>
      </w:r>
      <w:r w:rsidR="00D34B97">
        <w:t>„Rīgas Tehniskās koledža”</w:t>
      </w:r>
      <w:r>
        <w:t xml:space="preserve"> un Latvijas Universitātes P.Stradiņa medicīnas koledžas filiālēs studējošie) jeb </w:t>
      </w:r>
      <w:r w:rsidR="00960C60">
        <w:t xml:space="preserve">2,6 </w:t>
      </w:r>
      <w:r>
        <w:t xml:space="preserve">% no kopējā koledžās studējošo skaita un </w:t>
      </w:r>
      <w:r w:rsidR="00960C60">
        <w:t>6,4</w:t>
      </w:r>
      <w:r w:rsidR="000003FD">
        <w:t xml:space="preserve"> </w:t>
      </w:r>
      <w:r>
        <w:t xml:space="preserve">% no STEM, jomā studējošo skaita. Ņemot vērā to, ka Latvijas Universitātes P.Stradiņa medicīnas </w:t>
      </w:r>
      <w:r>
        <w:lastRenderedPageBreak/>
        <w:t xml:space="preserve">koledža neīsteno profesionālās vidējās izglītības </w:t>
      </w:r>
      <w:r w:rsidR="00F837CA">
        <w:t>vai</w:t>
      </w:r>
      <w:r w:rsidR="00BC1D22">
        <w:t xml:space="preserve"> arodizglītības </w:t>
      </w:r>
      <w:r>
        <w:t xml:space="preserve">programmas, </w:t>
      </w:r>
      <w:r w:rsidR="00AA4D5A">
        <w:t>tā</w:t>
      </w:r>
      <w:r>
        <w:t xml:space="preserve"> nevar pretendēt uz atbalsta saņemšanu 8.1.4. </w:t>
      </w:r>
      <w:r w:rsidR="00D9522C">
        <w:t xml:space="preserve">SAM </w:t>
      </w:r>
      <w:r>
        <w:t>ietvaros</w:t>
      </w:r>
      <w:r w:rsidR="003F43D4">
        <w:t xml:space="preserve"> (sk. novērtējuma 4.4.un 4.5.sadaļu)</w:t>
      </w:r>
      <w:r w:rsidR="00AA4D5A">
        <w:t>. Līdz ar to</w:t>
      </w:r>
      <w:r>
        <w:t xml:space="preserve"> secināms, ka nozīmīgākās filiāles, kuru darbība būtu atbalstāma, ir PIKC </w:t>
      </w:r>
      <w:r w:rsidR="00D34B97">
        <w:t>„</w:t>
      </w:r>
      <w:r>
        <w:t>Rīgas Tehniskā koledža</w:t>
      </w:r>
      <w:r w:rsidR="00D34B97">
        <w:t>”</w:t>
      </w:r>
      <w:r>
        <w:t xml:space="preserve"> filiāles Kandavā, Priekuļos un Daugavpilī. Jāatzīmē, ka šajās filiālēs kopā studē </w:t>
      </w:r>
      <w:r w:rsidR="00960C60">
        <w:t>24</w:t>
      </w:r>
      <w:r w:rsidR="000003FD">
        <w:t xml:space="preserve"> </w:t>
      </w:r>
      <w:r>
        <w:t xml:space="preserve">% no minētās koledžas STEM </w:t>
      </w:r>
      <w:r w:rsidR="00C901A5">
        <w:t xml:space="preserve">jomas </w:t>
      </w:r>
      <w:r>
        <w:t xml:space="preserve">programmās studējošo skaita. </w:t>
      </w:r>
    </w:p>
    <w:p w:rsidR="00D42476" w:rsidRPr="00AC4720" w:rsidRDefault="00D42476" w:rsidP="000423B7">
      <w:pPr>
        <w:ind w:firstLine="720"/>
        <w:rPr>
          <w:noProof/>
          <w:szCs w:val="24"/>
          <w:lang w:eastAsia="lv-LV"/>
        </w:rPr>
      </w:pPr>
      <w:r w:rsidRPr="00AC4720">
        <w:rPr>
          <w:noProof/>
          <w:szCs w:val="24"/>
          <w:lang w:eastAsia="lv-LV"/>
        </w:rPr>
        <w:t>Izvērtējot koledžu un to filiāļu</w:t>
      </w:r>
      <w:r>
        <w:rPr>
          <w:noProof/>
          <w:szCs w:val="24"/>
          <w:lang w:eastAsia="lv-LV"/>
        </w:rPr>
        <w:t xml:space="preserve"> izvietojumu Latvijas teritorijā, redzams, ka absolūti lielākais to skaits atrodas Rīgas plānošanas reģionā, bet vismazākais – Vidzemes reģionā. </w:t>
      </w:r>
    </w:p>
    <w:p w:rsidR="00D42476" w:rsidRPr="008B61DE" w:rsidRDefault="00D42476" w:rsidP="000423B7">
      <w:pPr>
        <w:ind w:firstLine="720"/>
        <w:rPr>
          <w:rStyle w:val="ms-rtefontsize-1"/>
          <w:szCs w:val="24"/>
        </w:rPr>
      </w:pPr>
      <w:r w:rsidRPr="008B61DE">
        <w:rPr>
          <w:rStyle w:val="ms-rtefontsize-1"/>
          <w:szCs w:val="24"/>
        </w:rPr>
        <w:t xml:space="preserve">Rīgā atrodas 9 valsts koledžas un visas </w:t>
      </w:r>
      <w:r w:rsidR="00AA4D5A">
        <w:rPr>
          <w:rStyle w:val="ms-rtefontsize-1"/>
          <w:szCs w:val="24"/>
        </w:rPr>
        <w:t>privātās</w:t>
      </w:r>
      <w:r w:rsidRPr="008B61DE">
        <w:rPr>
          <w:rStyle w:val="ms-rtefontsize-1"/>
          <w:szCs w:val="24"/>
        </w:rPr>
        <w:t xml:space="preserve"> koledžas, savukārt </w:t>
      </w:r>
      <w:r>
        <w:rPr>
          <w:rStyle w:val="ms-rtefontsize-1"/>
          <w:szCs w:val="24"/>
        </w:rPr>
        <w:t xml:space="preserve">pārējā </w:t>
      </w:r>
      <w:r w:rsidRPr="008B61DE">
        <w:rPr>
          <w:rStyle w:val="ms-rtefontsize-1"/>
          <w:szCs w:val="24"/>
        </w:rPr>
        <w:t xml:space="preserve">Rīgas reģionā atrodas trīs valsts koledžas – Olaines </w:t>
      </w:r>
      <w:r w:rsidRPr="008B61DE">
        <w:rPr>
          <w:color w:val="000000"/>
          <w:szCs w:val="24"/>
        </w:rPr>
        <w:t xml:space="preserve">Mehānikas un tehnoloģijas koledža, </w:t>
      </w:r>
      <w:r w:rsidRPr="008B61DE">
        <w:rPr>
          <w:rStyle w:val="ms-rtefontsize-1"/>
          <w:szCs w:val="24"/>
        </w:rPr>
        <w:t xml:space="preserve">kā arī </w:t>
      </w:r>
      <w:r w:rsidRPr="008B61DE">
        <w:rPr>
          <w:color w:val="000000"/>
          <w:szCs w:val="24"/>
        </w:rPr>
        <w:t>Sociālās integrācij</w:t>
      </w:r>
      <w:r w:rsidR="000423B7">
        <w:rPr>
          <w:color w:val="000000"/>
          <w:szCs w:val="24"/>
        </w:rPr>
        <w:t xml:space="preserve">as valsts aģentūras koledža un </w:t>
      </w:r>
      <w:r w:rsidRPr="008B61DE">
        <w:rPr>
          <w:color w:val="000000"/>
          <w:szCs w:val="24"/>
        </w:rPr>
        <w:t xml:space="preserve">Latvijas Universitātes P.Stradiņa medicīnas koledža, kas atrodas Jūrmalā. </w:t>
      </w:r>
    </w:p>
    <w:p w:rsidR="00D42476" w:rsidRDefault="00D42476" w:rsidP="000423B7">
      <w:pPr>
        <w:ind w:firstLine="720"/>
        <w:rPr>
          <w:noProof/>
          <w:szCs w:val="24"/>
          <w:lang w:eastAsia="lv-LV"/>
        </w:rPr>
      </w:pPr>
      <w:r>
        <w:rPr>
          <w:noProof/>
          <w:szCs w:val="24"/>
          <w:lang w:eastAsia="lv-LV"/>
        </w:rPr>
        <w:t xml:space="preserve">Kandavā, kas arī ieilpst Rīgas plānošanas reģionā, darbojas </w:t>
      </w:r>
      <w:r w:rsidR="00D34B97">
        <w:rPr>
          <w:noProof/>
          <w:szCs w:val="24"/>
          <w:lang w:eastAsia="lv-LV"/>
        </w:rPr>
        <w:t>PIKC „</w:t>
      </w:r>
      <w:r>
        <w:rPr>
          <w:noProof/>
          <w:szCs w:val="24"/>
          <w:lang w:eastAsia="lv-LV"/>
        </w:rPr>
        <w:t>Rīgas</w:t>
      </w:r>
      <w:r w:rsidR="005C5B4C">
        <w:rPr>
          <w:noProof/>
          <w:szCs w:val="24"/>
          <w:lang w:eastAsia="lv-LV"/>
        </w:rPr>
        <w:t xml:space="preserve"> </w:t>
      </w:r>
      <w:r w:rsidR="00D34B97">
        <w:rPr>
          <w:noProof/>
          <w:szCs w:val="24"/>
          <w:lang w:eastAsia="lv-LV"/>
        </w:rPr>
        <w:t>Tehniskā</w:t>
      </w:r>
      <w:r>
        <w:rPr>
          <w:noProof/>
          <w:szCs w:val="24"/>
          <w:lang w:eastAsia="lv-LV"/>
        </w:rPr>
        <w:t xml:space="preserve"> koledža</w:t>
      </w:r>
      <w:r w:rsidR="00D34B97">
        <w:rPr>
          <w:noProof/>
          <w:szCs w:val="24"/>
          <w:lang w:eastAsia="lv-LV"/>
        </w:rPr>
        <w:t>”</w:t>
      </w:r>
      <w:r>
        <w:rPr>
          <w:noProof/>
          <w:szCs w:val="24"/>
          <w:lang w:eastAsia="lv-LV"/>
        </w:rPr>
        <w:t xml:space="preserve"> filiāle, kurā tiek īstenotas studiju programmas Autotransports un Elektriskās iekārtas.</w:t>
      </w:r>
    </w:p>
    <w:p w:rsidR="00D42476" w:rsidRDefault="00D42476" w:rsidP="00D42476">
      <w:pPr>
        <w:rPr>
          <w:b/>
          <w:noProof/>
          <w:szCs w:val="24"/>
          <w:lang w:eastAsia="lv-LV"/>
        </w:rPr>
      </w:pPr>
    </w:p>
    <w:p w:rsidR="00940DD0" w:rsidRDefault="00D42476" w:rsidP="00D42476">
      <w:pPr>
        <w:rPr>
          <w:b/>
          <w:noProof/>
          <w:szCs w:val="24"/>
          <w:lang w:eastAsia="lv-LV"/>
        </w:rPr>
      </w:pPr>
      <w:r w:rsidRPr="003629F1">
        <w:rPr>
          <w:b/>
          <w:noProof/>
          <w:szCs w:val="24"/>
          <w:lang w:eastAsia="lv-LV"/>
        </w:rPr>
        <w:t>Vidzemes plānošanas reģion</w:t>
      </w:r>
      <w:r w:rsidR="00940DD0">
        <w:rPr>
          <w:b/>
          <w:noProof/>
          <w:szCs w:val="24"/>
          <w:lang w:eastAsia="lv-LV"/>
        </w:rPr>
        <w:t>s</w:t>
      </w:r>
    </w:p>
    <w:p w:rsidR="001538A5" w:rsidRDefault="001538A5" w:rsidP="00D42476">
      <w:pPr>
        <w:rPr>
          <w:noProof/>
          <w:szCs w:val="24"/>
          <w:lang w:eastAsia="lv-LV"/>
        </w:rPr>
      </w:pPr>
      <w:r>
        <w:rPr>
          <w:noProof/>
          <w:szCs w:val="24"/>
          <w:lang w:eastAsia="lv-LV"/>
        </w:rPr>
        <w:t xml:space="preserve">Vidzemes plānošanas reģiona attīstības programma 2015. – 2020.gadam paredz, ka reģiona attīstība tiks balstīta uz </w:t>
      </w:r>
      <w:r w:rsidRPr="00AA4D5A">
        <w:rPr>
          <w:noProof/>
          <w:szCs w:val="24"/>
          <w:lang w:eastAsia="lv-LV"/>
        </w:rPr>
        <w:t>jomām, kurās reģionam ir visaugstākais viedās specializācijas  potenciāls</w:t>
      </w:r>
      <w:r>
        <w:rPr>
          <w:noProof/>
          <w:szCs w:val="24"/>
          <w:lang w:eastAsia="lv-LV"/>
        </w:rPr>
        <w:t xml:space="preserve"> </w:t>
      </w:r>
      <w:r w:rsidRPr="0066398E">
        <w:rPr>
          <w:noProof/>
          <w:szCs w:val="24"/>
          <w:lang w:eastAsia="lv-LV"/>
        </w:rPr>
        <w:t>(augstas pievienotās vērtības koksnes izstrādājumu, veselīgas pārtikas un dzērienu ražošana, rekreācijas un ilgtspējīg</w:t>
      </w:r>
      <w:r>
        <w:rPr>
          <w:noProof/>
          <w:szCs w:val="24"/>
          <w:lang w:eastAsia="lv-LV"/>
        </w:rPr>
        <w:t>a</w:t>
      </w:r>
      <w:r w:rsidRPr="0066398E">
        <w:rPr>
          <w:noProof/>
          <w:szCs w:val="24"/>
          <w:lang w:eastAsia="lv-LV"/>
        </w:rPr>
        <w:t xml:space="preserve"> tūrism</w:t>
      </w:r>
      <w:r>
        <w:rPr>
          <w:noProof/>
          <w:szCs w:val="24"/>
          <w:lang w:eastAsia="lv-LV"/>
        </w:rPr>
        <w:t>a,</w:t>
      </w:r>
      <w:r w:rsidRPr="0066398E">
        <w:rPr>
          <w:noProof/>
          <w:szCs w:val="24"/>
          <w:lang w:eastAsia="lv-LV"/>
        </w:rPr>
        <w:t xml:space="preserve"> rehabilitācijas un veselības aprūpes pakalpojumi, biomasas izmantošana un viedie materiāli, informācijas un komunikāciju tehnoloģijas, kultūras un radošo industriju pakalpojum</w:t>
      </w:r>
      <w:r w:rsidR="00940DD0">
        <w:rPr>
          <w:noProof/>
          <w:szCs w:val="24"/>
          <w:lang w:eastAsia="lv-LV"/>
        </w:rPr>
        <w:t xml:space="preserve">i). </w:t>
      </w:r>
    </w:p>
    <w:p w:rsidR="001538A5" w:rsidRDefault="001538A5" w:rsidP="00D42476">
      <w:pPr>
        <w:rPr>
          <w:noProof/>
          <w:szCs w:val="24"/>
          <w:lang w:eastAsia="lv-LV"/>
        </w:rPr>
      </w:pPr>
    </w:p>
    <w:p w:rsidR="00D42476" w:rsidRPr="003629F1" w:rsidRDefault="00940DD0" w:rsidP="00D42476">
      <w:pPr>
        <w:rPr>
          <w:noProof/>
          <w:szCs w:val="24"/>
          <w:lang w:eastAsia="lv-LV"/>
        </w:rPr>
      </w:pPr>
      <w:r>
        <w:rPr>
          <w:noProof/>
          <w:szCs w:val="24"/>
          <w:lang w:eastAsia="lv-LV"/>
        </w:rPr>
        <w:t xml:space="preserve">Reģionā </w:t>
      </w:r>
      <w:r w:rsidR="00D42476" w:rsidRPr="003629F1">
        <w:rPr>
          <w:noProof/>
          <w:szCs w:val="24"/>
          <w:lang w:eastAsia="lv-LV"/>
        </w:rPr>
        <w:t xml:space="preserve">koledžu nav, vienlaikus tajā darbojas </w:t>
      </w:r>
      <w:r w:rsidR="00AA4D5A">
        <w:rPr>
          <w:noProof/>
          <w:szCs w:val="24"/>
          <w:lang w:eastAsia="lv-LV"/>
        </w:rPr>
        <w:t>divu</w:t>
      </w:r>
      <w:r w:rsidR="00D42476" w:rsidRPr="003629F1">
        <w:rPr>
          <w:noProof/>
          <w:szCs w:val="24"/>
          <w:lang w:eastAsia="lv-LV"/>
        </w:rPr>
        <w:t xml:space="preserve"> koledžu filiāles:</w:t>
      </w:r>
    </w:p>
    <w:p w:rsidR="00D42476" w:rsidRPr="003629F1" w:rsidRDefault="00D42476" w:rsidP="00722156">
      <w:pPr>
        <w:pStyle w:val="NoSpacing"/>
        <w:numPr>
          <w:ilvl w:val="0"/>
          <w:numId w:val="27"/>
        </w:numPr>
        <w:rPr>
          <w:szCs w:val="24"/>
        </w:rPr>
      </w:pPr>
      <w:r w:rsidRPr="003629F1">
        <w:rPr>
          <w:noProof/>
          <w:szCs w:val="24"/>
          <w:lang w:eastAsia="lv-LV"/>
        </w:rPr>
        <w:t xml:space="preserve">Juridiskās koledžas Valmieras filiāle (studiju programmas </w:t>
      </w:r>
      <w:r w:rsidRPr="003629F1">
        <w:rPr>
          <w:szCs w:val="24"/>
        </w:rPr>
        <w:t>Cilvēkresursu vadība, Tiesību zinātne</w:t>
      </w:r>
      <w:r w:rsidR="00E93A2B">
        <w:rPr>
          <w:szCs w:val="24"/>
        </w:rPr>
        <w:t>, Grāmatvedība</w:t>
      </w:r>
      <w:r w:rsidRPr="003629F1">
        <w:rPr>
          <w:szCs w:val="24"/>
        </w:rPr>
        <w:t>)</w:t>
      </w:r>
      <w:r w:rsidRPr="003629F1">
        <w:rPr>
          <w:noProof/>
          <w:szCs w:val="24"/>
          <w:lang w:eastAsia="lv-LV"/>
        </w:rPr>
        <w:t xml:space="preserve"> un Gulbenes filiāle (studiju programmas </w:t>
      </w:r>
      <w:r w:rsidRPr="003629F1">
        <w:rPr>
          <w:szCs w:val="24"/>
        </w:rPr>
        <w:t>Grāmatvedība, Tiesību zinātne);</w:t>
      </w:r>
    </w:p>
    <w:p w:rsidR="00AA4D5A" w:rsidRDefault="00D42476" w:rsidP="00722156">
      <w:pPr>
        <w:pStyle w:val="NoSpacing"/>
        <w:numPr>
          <w:ilvl w:val="0"/>
          <w:numId w:val="27"/>
        </w:numPr>
        <w:rPr>
          <w:szCs w:val="24"/>
        </w:rPr>
      </w:pPr>
      <w:r w:rsidRPr="003629F1">
        <w:rPr>
          <w:szCs w:val="24"/>
        </w:rPr>
        <w:t xml:space="preserve">PIKC </w:t>
      </w:r>
      <w:r w:rsidR="007735E6">
        <w:rPr>
          <w:noProof/>
          <w:szCs w:val="24"/>
          <w:lang w:eastAsia="lv-LV"/>
        </w:rPr>
        <w:t>„</w:t>
      </w:r>
      <w:r w:rsidRPr="003629F1">
        <w:rPr>
          <w:szCs w:val="24"/>
        </w:rPr>
        <w:t>Rīgas Tehniskā koledža” Priekuļu filiāle (studiju programmas Informācijas tehnoloģi</w:t>
      </w:r>
      <w:r w:rsidR="00AA4D5A">
        <w:rPr>
          <w:szCs w:val="24"/>
        </w:rPr>
        <w:t>jas, Telemātika un loģistika).</w:t>
      </w:r>
    </w:p>
    <w:p w:rsidR="00AA4D5A" w:rsidRDefault="00AA4D5A" w:rsidP="000423B7">
      <w:pPr>
        <w:ind w:firstLine="720"/>
        <w:rPr>
          <w:noProof/>
          <w:szCs w:val="24"/>
          <w:lang w:eastAsia="lv-LV"/>
        </w:rPr>
      </w:pPr>
    </w:p>
    <w:p w:rsidR="00D42476" w:rsidRDefault="00D42476" w:rsidP="000423B7">
      <w:pPr>
        <w:ind w:firstLine="720"/>
        <w:rPr>
          <w:noProof/>
          <w:szCs w:val="24"/>
          <w:lang w:eastAsia="lv-LV"/>
        </w:rPr>
      </w:pPr>
      <w:r>
        <w:rPr>
          <w:noProof/>
          <w:szCs w:val="24"/>
          <w:lang w:eastAsia="lv-LV"/>
        </w:rPr>
        <w:t xml:space="preserve">Minēto koledžu filiāļu programmu piedāvājums pamatā ir orientēts uz horizontālajām </w:t>
      </w:r>
      <w:r w:rsidR="00820E0A">
        <w:rPr>
          <w:noProof/>
          <w:szCs w:val="24"/>
          <w:lang w:eastAsia="lv-LV"/>
        </w:rPr>
        <w:t xml:space="preserve">kompetencēm </w:t>
      </w:r>
      <w:r>
        <w:rPr>
          <w:noProof/>
          <w:szCs w:val="24"/>
          <w:lang w:eastAsia="lv-LV"/>
        </w:rPr>
        <w:t xml:space="preserve">(grāmatvedība, tiesības, informācijas tehnoloģijas, personāla vadība), kas nepieciešamas visu sektoru (publiskā un privātā) un </w:t>
      </w:r>
      <w:r w:rsidRPr="003B651B">
        <w:rPr>
          <w:noProof/>
          <w:szCs w:val="24"/>
          <w:lang w:eastAsia="lv-LV"/>
        </w:rPr>
        <w:t>tautsaimniecības nozaru uzņēmumiem</w:t>
      </w:r>
      <w:r>
        <w:rPr>
          <w:noProof/>
          <w:szCs w:val="24"/>
          <w:lang w:eastAsia="lv-LV"/>
        </w:rPr>
        <w:t xml:space="preserve">. </w:t>
      </w:r>
    </w:p>
    <w:p w:rsidR="00D42476" w:rsidRDefault="00D42476" w:rsidP="000423B7">
      <w:pPr>
        <w:ind w:firstLine="720"/>
        <w:rPr>
          <w:noProof/>
          <w:szCs w:val="24"/>
          <w:lang w:eastAsia="lv-LV"/>
        </w:rPr>
      </w:pPr>
      <w:r w:rsidRPr="003629F1">
        <w:rPr>
          <w:noProof/>
          <w:szCs w:val="24"/>
          <w:lang w:eastAsia="lv-LV"/>
        </w:rPr>
        <w:t>Vidzemes plānošanas reģionā atrodas viena augst</w:t>
      </w:r>
      <w:r>
        <w:rPr>
          <w:noProof/>
          <w:szCs w:val="24"/>
          <w:lang w:eastAsia="lv-LV"/>
        </w:rPr>
        <w:t>s</w:t>
      </w:r>
      <w:r w:rsidRPr="003629F1">
        <w:rPr>
          <w:noProof/>
          <w:szCs w:val="24"/>
          <w:lang w:eastAsia="lv-LV"/>
        </w:rPr>
        <w:t xml:space="preserve">kola </w:t>
      </w:r>
      <w:r>
        <w:rPr>
          <w:noProof/>
          <w:szCs w:val="24"/>
          <w:lang w:eastAsia="lv-LV"/>
        </w:rPr>
        <w:t>–</w:t>
      </w:r>
      <w:r w:rsidRPr="003629F1">
        <w:rPr>
          <w:noProof/>
          <w:szCs w:val="24"/>
          <w:lang w:eastAsia="lv-LV"/>
        </w:rPr>
        <w:t xml:space="preserve"> </w:t>
      </w:r>
      <w:r>
        <w:rPr>
          <w:noProof/>
          <w:szCs w:val="24"/>
          <w:lang w:eastAsia="lv-LV"/>
        </w:rPr>
        <w:t>Vidzemes augstskola, kas Valmierā īsteno arī pirmā līmeņa profesionālās augstākās izglītības studiju programmas Informācijas tehnoloģijas, Koka ēku celtniecība un ekobūve, Mehatronika. Vidzemes reģionā pirmā līmeņa profesionālās augstākās izglītības studiju programmas piedāvā apgūt arī Latvijas Lauksaimniecības universitāte, kas Siguldā īsteno studiju programmu Komerczinības, kā arī Rīgas Pedagoģijas un izglītības vadības akadēmija, kas Alūksnē īsteno studiju programmas Komercdarbības organizācija un Darba aizsardzība, bet Cēsīs – studiju programmas Pirmsskolas izglītības skolotājs un Komercdarbības organizācija.</w:t>
      </w:r>
      <w:r w:rsidR="00066173">
        <w:rPr>
          <w:noProof/>
          <w:szCs w:val="24"/>
          <w:lang w:eastAsia="lv-LV"/>
        </w:rPr>
        <w:t xml:space="preserve"> Cēsīs darbojas arī Biznesa augstskolas </w:t>
      </w:r>
      <w:r w:rsidR="00D34B97">
        <w:rPr>
          <w:noProof/>
          <w:szCs w:val="24"/>
          <w:lang w:eastAsia="lv-LV"/>
        </w:rPr>
        <w:t>„</w:t>
      </w:r>
      <w:r w:rsidR="00066173">
        <w:rPr>
          <w:noProof/>
          <w:szCs w:val="24"/>
          <w:lang w:eastAsia="lv-LV"/>
        </w:rPr>
        <w:t>Turība” filiāle, kurā tiek īstenotas pirmā līmeņa profesionālās augstākās izglītības studiju programmas Tiesību zinātne, Mārketings un tirdzniecība, kā arī Finanses un grāmatvedība.</w:t>
      </w:r>
    </w:p>
    <w:p w:rsidR="00D42476" w:rsidRPr="003629F1" w:rsidRDefault="00D42476" w:rsidP="000423B7">
      <w:pPr>
        <w:ind w:firstLine="720"/>
        <w:rPr>
          <w:noProof/>
          <w:szCs w:val="24"/>
          <w:lang w:eastAsia="lv-LV"/>
        </w:rPr>
      </w:pPr>
      <w:r>
        <w:rPr>
          <w:noProof/>
          <w:szCs w:val="24"/>
          <w:lang w:eastAsia="lv-LV"/>
        </w:rPr>
        <w:t xml:space="preserve">Līdz ar to var secināt, ka Vidzemes reģionā nav vērojama pirmā līmeņa profesionālās augstākās izglītības studiju programmu dublēšanās. </w:t>
      </w:r>
    </w:p>
    <w:p w:rsidR="00E85785" w:rsidRDefault="00D42476" w:rsidP="000423B7">
      <w:pPr>
        <w:ind w:firstLine="720"/>
        <w:rPr>
          <w:szCs w:val="24"/>
        </w:rPr>
      </w:pPr>
      <w:r w:rsidRPr="002E545D">
        <w:rPr>
          <w:noProof/>
          <w:szCs w:val="24"/>
          <w:lang w:eastAsia="lv-LV"/>
        </w:rPr>
        <w:t xml:space="preserve">Ņemot vērā </w:t>
      </w:r>
      <w:r w:rsidR="00125AB5">
        <w:rPr>
          <w:noProof/>
          <w:szCs w:val="24"/>
          <w:lang w:eastAsia="lv-LV"/>
        </w:rPr>
        <w:t xml:space="preserve">Vidzemes plānošanas reģiona attīstības programmā 2015.-2020.gadam paredzēto, </w:t>
      </w:r>
      <w:r>
        <w:rPr>
          <w:szCs w:val="24"/>
        </w:rPr>
        <w:t xml:space="preserve">var secināt, ka </w:t>
      </w:r>
      <w:r w:rsidRPr="003629F1">
        <w:rPr>
          <w:szCs w:val="24"/>
        </w:rPr>
        <w:t xml:space="preserve">PIKC </w:t>
      </w:r>
      <w:r w:rsidR="00D34B97">
        <w:rPr>
          <w:szCs w:val="24"/>
        </w:rPr>
        <w:t>„</w:t>
      </w:r>
      <w:r w:rsidRPr="003629F1">
        <w:rPr>
          <w:szCs w:val="24"/>
        </w:rPr>
        <w:t>Rīgas Tehniskā koledža” Priekuļu filiāle</w:t>
      </w:r>
      <w:r>
        <w:rPr>
          <w:szCs w:val="24"/>
        </w:rPr>
        <w:t xml:space="preserve">s programmu piedāvājums atbilst reģiona vajadzībām, un tas būtu jāattīsta un jāpaplašina.  </w:t>
      </w:r>
      <w:r w:rsidR="00E85785">
        <w:rPr>
          <w:szCs w:val="24"/>
        </w:rPr>
        <w:br w:type="page"/>
      </w:r>
    </w:p>
    <w:p w:rsidR="00A56FDF" w:rsidRPr="0028705F" w:rsidRDefault="008D176F" w:rsidP="00D42476">
      <w:pPr>
        <w:rPr>
          <w:b/>
        </w:rPr>
      </w:pPr>
      <w:r w:rsidRPr="008D176F">
        <w:rPr>
          <w:b/>
        </w:rPr>
        <w:lastRenderedPageBreak/>
        <w:t>Latgales reģions</w:t>
      </w:r>
    </w:p>
    <w:p w:rsidR="00A56FDF" w:rsidRPr="00316654" w:rsidRDefault="00A56FDF" w:rsidP="00A56FDF">
      <w:pPr>
        <w:ind w:firstLine="720"/>
      </w:pPr>
      <w:r w:rsidRPr="00C274FD">
        <w:t>Saskaņā ar „Latgales reģiona teritorijas plānojumā 2006. – 2026</w:t>
      </w:r>
      <w:r>
        <w:t>.</w:t>
      </w:r>
      <w:r w:rsidRPr="00C274FD">
        <w:t xml:space="preserve"> gadam”</w:t>
      </w:r>
      <w:r>
        <w:rPr>
          <w:rStyle w:val="FootnoteReference"/>
        </w:rPr>
        <w:footnoteReference w:id="12"/>
      </w:r>
      <w:r w:rsidRPr="00C274FD">
        <w:t xml:space="preserve"> noteikto,</w:t>
      </w:r>
      <w:r w:rsidRPr="00316654">
        <w:t xml:space="preserve"> Latgales reģionā plānots attīstīt tautsaimniecības nozares, kuru attīstību un resursus nos</w:t>
      </w:r>
      <w:r>
        <w:t>aka reģiona telpiskā struktūra:</w:t>
      </w:r>
    </w:p>
    <w:p w:rsidR="00A56FDF" w:rsidRPr="00316654" w:rsidRDefault="00A56FDF" w:rsidP="00722156">
      <w:pPr>
        <w:numPr>
          <w:ilvl w:val="1"/>
          <w:numId w:val="25"/>
        </w:numPr>
      </w:pPr>
      <w:r w:rsidRPr="00316654">
        <w:t>mežsaimniecīb</w:t>
      </w:r>
      <w:r w:rsidR="00164887">
        <w:t>a</w:t>
      </w:r>
      <w:r w:rsidRPr="00316654">
        <w:t xml:space="preserve"> un kokapstrād</w:t>
      </w:r>
      <w:r w:rsidR="00164887">
        <w:t>e</w:t>
      </w:r>
      <w:r w:rsidRPr="00316654">
        <w:t>;</w:t>
      </w:r>
    </w:p>
    <w:p w:rsidR="00A56FDF" w:rsidRPr="00316654" w:rsidRDefault="00A56FDF" w:rsidP="00722156">
      <w:pPr>
        <w:numPr>
          <w:ilvl w:val="1"/>
          <w:numId w:val="25"/>
        </w:numPr>
      </w:pPr>
      <w:r w:rsidRPr="00316654">
        <w:t>lauksaimniecīb</w:t>
      </w:r>
      <w:r w:rsidR="00164887">
        <w:t>a</w:t>
      </w:r>
      <w:r w:rsidRPr="00316654">
        <w:t>;</w:t>
      </w:r>
    </w:p>
    <w:p w:rsidR="00A56FDF" w:rsidRPr="00316654" w:rsidRDefault="00A56FDF" w:rsidP="00722156">
      <w:pPr>
        <w:numPr>
          <w:ilvl w:val="1"/>
          <w:numId w:val="25"/>
        </w:numPr>
      </w:pPr>
      <w:r w:rsidRPr="00316654">
        <w:t>lauksaimniecības produktu pārstrād</w:t>
      </w:r>
      <w:r w:rsidR="00164887">
        <w:t>e</w:t>
      </w:r>
      <w:r w:rsidRPr="00316654">
        <w:t>;</w:t>
      </w:r>
    </w:p>
    <w:p w:rsidR="00A56FDF" w:rsidRPr="00316654" w:rsidRDefault="00A56FDF" w:rsidP="00722156">
      <w:pPr>
        <w:numPr>
          <w:ilvl w:val="1"/>
          <w:numId w:val="25"/>
        </w:numPr>
      </w:pPr>
      <w:r w:rsidRPr="00316654">
        <w:t>pārtikas ražošan</w:t>
      </w:r>
      <w:r w:rsidR="00164887">
        <w:t>a</w:t>
      </w:r>
      <w:r w:rsidRPr="00316654">
        <w:t>;</w:t>
      </w:r>
    </w:p>
    <w:p w:rsidR="00A56FDF" w:rsidRDefault="0028705F" w:rsidP="00722156">
      <w:pPr>
        <w:numPr>
          <w:ilvl w:val="1"/>
          <w:numId w:val="25"/>
        </w:numPr>
      </w:pPr>
      <w:r>
        <w:t>rūpniecisk</w:t>
      </w:r>
      <w:r w:rsidR="00164887">
        <w:t>ā</w:t>
      </w:r>
      <w:r w:rsidR="00A56FDF" w:rsidRPr="00316654">
        <w:t xml:space="preserve"> ražošan</w:t>
      </w:r>
      <w:r w:rsidR="00164887">
        <w:t>a</w:t>
      </w:r>
      <w:r w:rsidR="00A56FDF" w:rsidRPr="00316654">
        <w:t>.</w:t>
      </w:r>
    </w:p>
    <w:p w:rsidR="00A56FDF" w:rsidRDefault="00A56FDF" w:rsidP="00D42476"/>
    <w:p w:rsidR="00D42476" w:rsidRDefault="00D42476" w:rsidP="00D42476">
      <w:r w:rsidRPr="007735E6">
        <w:t>Latgales plānošanas reģionā</w:t>
      </w:r>
      <w:r>
        <w:t xml:space="preserve"> atrodas trīs koledžas un trīs valsts koledžu filiāles: </w:t>
      </w:r>
    </w:p>
    <w:p w:rsidR="00D42476" w:rsidRDefault="00D42476" w:rsidP="00722156">
      <w:pPr>
        <w:pStyle w:val="ListParagraph"/>
        <w:numPr>
          <w:ilvl w:val="0"/>
          <w:numId w:val="26"/>
        </w:numPr>
      </w:pPr>
      <w:r>
        <w:t xml:space="preserve">Malnavas koledža (studiju programmas – Grāmatvedība un finanses, </w:t>
      </w:r>
      <w:proofErr w:type="spellStart"/>
      <w:r>
        <w:t>Autortansports</w:t>
      </w:r>
      <w:proofErr w:type="spellEnd"/>
      <w:r>
        <w:t>, Uzņēmējdarbība lauksaimniecībā);</w:t>
      </w:r>
    </w:p>
    <w:p w:rsidR="00D42476" w:rsidRDefault="00D42476" w:rsidP="00722156">
      <w:pPr>
        <w:pStyle w:val="ListParagraph"/>
        <w:numPr>
          <w:ilvl w:val="0"/>
          <w:numId w:val="26"/>
        </w:numPr>
      </w:pPr>
      <w:r>
        <w:t xml:space="preserve">Daugavpils medicīnas koledža (studiju programmas – </w:t>
      </w:r>
      <w:proofErr w:type="spellStart"/>
      <w:r>
        <w:t>Māszinības</w:t>
      </w:r>
      <w:proofErr w:type="spellEnd"/>
      <w:r>
        <w:t>, Ārstniecība, Sociālā aprūpe, Sociālā rehabilitācija);</w:t>
      </w:r>
    </w:p>
    <w:p w:rsidR="00D42476" w:rsidRDefault="00D42476" w:rsidP="00722156">
      <w:pPr>
        <w:pStyle w:val="ListParagraph"/>
        <w:numPr>
          <w:ilvl w:val="0"/>
          <w:numId w:val="26"/>
        </w:numPr>
      </w:pPr>
      <w:r>
        <w:t>Valsts Robežsardzes koledža (studiju programma – Robežapsardze);</w:t>
      </w:r>
    </w:p>
    <w:p w:rsidR="00D42476" w:rsidRDefault="00D42476" w:rsidP="00722156">
      <w:pPr>
        <w:pStyle w:val="ListParagraph"/>
        <w:numPr>
          <w:ilvl w:val="0"/>
          <w:numId w:val="26"/>
        </w:numPr>
      </w:pPr>
      <w:r>
        <w:t xml:space="preserve">Latvijas Universitātes P.Stradiņa medicīnas koledžas filiāle Rēzeknē (studiju programmas </w:t>
      </w:r>
      <w:r w:rsidR="00CB55CF">
        <w:t>–</w:t>
      </w:r>
      <w:r>
        <w:t xml:space="preserve"> Ārstniecība, </w:t>
      </w:r>
      <w:proofErr w:type="spellStart"/>
      <w:r>
        <w:t>Māszinības</w:t>
      </w:r>
      <w:proofErr w:type="spellEnd"/>
      <w:r>
        <w:t>);</w:t>
      </w:r>
    </w:p>
    <w:p w:rsidR="00D42476" w:rsidRDefault="00D42476" w:rsidP="00722156">
      <w:pPr>
        <w:pStyle w:val="ListParagraph"/>
        <w:numPr>
          <w:ilvl w:val="0"/>
          <w:numId w:val="26"/>
        </w:numPr>
      </w:pPr>
      <w:r>
        <w:t xml:space="preserve">PIKC </w:t>
      </w:r>
      <w:r w:rsidR="00D34B97">
        <w:t>„</w:t>
      </w:r>
      <w:r>
        <w:t xml:space="preserve">Rīgas Tehniskā koledža” filiāle Daugavpilī (studiju programmas </w:t>
      </w:r>
      <w:r w:rsidR="00CB55CF">
        <w:t>–</w:t>
      </w:r>
      <w:r>
        <w:t xml:space="preserve"> Informācijas tehnoloģijas, </w:t>
      </w:r>
      <w:proofErr w:type="spellStart"/>
      <w:r>
        <w:t>Inženiermehānika</w:t>
      </w:r>
      <w:proofErr w:type="spellEnd"/>
      <w:r>
        <w:t>);</w:t>
      </w:r>
    </w:p>
    <w:p w:rsidR="00D42476" w:rsidRDefault="00D42476" w:rsidP="00722156">
      <w:pPr>
        <w:pStyle w:val="ListParagraph"/>
        <w:numPr>
          <w:ilvl w:val="0"/>
          <w:numId w:val="26"/>
        </w:numPr>
      </w:pPr>
      <w:r>
        <w:t xml:space="preserve">Valsts Policijas koledžas filiāle Daugavpilī (studiju programma </w:t>
      </w:r>
      <w:r w:rsidR="00CB55CF">
        <w:t>–</w:t>
      </w:r>
      <w:r>
        <w:t xml:space="preserve"> Policijas darbs).</w:t>
      </w:r>
    </w:p>
    <w:p w:rsidR="00D42476" w:rsidRDefault="00D42476" w:rsidP="00D42476"/>
    <w:p w:rsidR="00DC7ECF" w:rsidRPr="00C274FD" w:rsidRDefault="00D42476" w:rsidP="00D42476">
      <w:pPr>
        <w:ind w:firstLine="720"/>
        <w:rPr>
          <w:noProof/>
          <w:szCs w:val="24"/>
          <w:lang w:eastAsia="lv-LV"/>
        </w:rPr>
      </w:pPr>
      <w:r w:rsidRPr="00C274FD">
        <w:rPr>
          <w:noProof/>
          <w:szCs w:val="24"/>
          <w:lang w:eastAsia="lv-LV"/>
        </w:rPr>
        <w:t>Latgales reģionā atrodas divas augstskolas</w:t>
      </w:r>
      <w:r>
        <w:rPr>
          <w:noProof/>
          <w:szCs w:val="24"/>
          <w:lang w:eastAsia="lv-LV"/>
        </w:rPr>
        <w:t xml:space="preserve">, kas īsteno arī pirmā līmeņa profesionālās augstākās izglītības studiju programmas, </w:t>
      </w:r>
      <w:r w:rsidR="00164887">
        <w:rPr>
          <w:noProof/>
          <w:szCs w:val="24"/>
          <w:lang w:eastAsia="lv-LV"/>
        </w:rPr>
        <w:t>tā</w:t>
      </w:r>
      <w:r>
        <w:rPr>
          <w:noProof/>
          <w:szCs w:val="24"/>
          <w:lang w:eastAsia="lv-LV"/>
        </w:rPr>
        <w:t xml:space="preserve">s ir </w:t>
      </w:r>
      <w:r w:rsidR="00CB55CF">
        <w:t>–</w:t>
      </w:r>
      <w:r>
        <w:rPr>
          <w:noProof/>
          <w:szCs w:val="24"/>
          <w:lang w:eastAsia="lv-LV"/>
        </w:rPr>
        <w:t xml:space="preserve"> Daugavpils Universitāte (īsteno pirmā līmeņa profesionālās augstākās izglītības studiju programmas </w:t>
      </w:r>
      <w:r w:rsidR="00CB55CF">
        <w:t>–</w:t>
      </w:r>
      <w:r>
        <w:rPr>
          <w:noProof/>
          <w:szCs w:val="24"/>
          <w:lang w:eastAsia="lv-LV"/>
        </w:rPr>
        <w:t xml:space="preserve"> Informācijas tehnoloģijas un Civilā drošība un aizsardzība) un  Rēzeknes </w:t>
      </w:r>
      <w:r w:rsidR="00456F88">
        <w:rPr>
          <w:noProof/>
          <w:szCs w:val="24"/>
          <w:lang w:eastAsia="lv-LV"/>
        </w:rPr>
        <w:t>Tehnoloģiju akadēmija</w:t>
      </w:r>
      <w:r>
        <w:rPr>
          <w:noProof/>
          <w:szCs w:val="24"/>
          <w:lang w:eastAsia="lv-LV"/>
        </w:rPr>
        <w:t xml:space="preserve"> (īsteno pirmā līmeņa profesionālās augstākās izglītības studiju programmas – Būvniecība, Vides dizains, Sociālais rehabilitētājs, Apģērbu dizains un tehnoloģija, Programmēšana un datortīklu administrēšana. Daugavpilī ir iespēja apgūt pirmā līmeņa profesionālās augstākās izglītības programmas, kuras savās filiālēs piedāvā apgūt Rīgas Tehniskā universitāte (Būvniecība, Muitas un nodokļu administrēšana), kā arī Baltijas Starptautiskā akadēmija (Sociālās palīdzības organizators).</w:t>
      </w:r>
      <w:r w:rsidR="003E3DE2">
        <w:rPr>
          <w:noProof/>
          <w:szCs w:val="24"/>
          <w:lang w:eastAsia="lv-LV"/>
        </w:rPr>
        <w:t xml:space="preserve"> </w:t>
      </w:r>
      <w:r w:rsidR="001368A8">
        <w:rPr>
          <w:noProof/>
          <w:szCs w:val="24"/>
          <w:lang w:eastAsia="lv-LV"/>
        </w:rPr>
        <w:t>Līdz ar to var secināt, ka Latgales reģionā ir vērojama pirmā līmeņa profesionālās augstākās izglītības studiju programmu</w:t>
      </w:r>
      <w:r w:rsidR="00DC7ECF">
        <w:rPr>
          <w:noProof/>
          <w:szCs w:val="24"/>
          <w:lang w:eastAsia="lv-LV"/>
        </w:rPr>
        <w:t xml:space="preserve"> </w:t>
      </w:r>
      <w:proofErr w:type="spellStart"/>
      <w:r w:rsidR="00DC7ECF">
        <w:t>Māszinības</w:t>
      </w:r>
      <w:proofErr w:type="spellEnd"/>
      <w:r w:rsidR="00DC7ECF">
        <w:t xml:space="preserve"> un Ārstniecība</w:t>
      </w:r>
      <w:r w:rsidR="00DC7ECF">
        <w:rPr>
          <w:noProof/>
          <w:szCs w:val="24"/>
          <w:lang w:eastAsia="lv-LV"/>
        </w:rPr>
        <w:t xml:space="preserve"> </w:t>
      </w:r>
      <w:r w:rsidR="001368A8">
        <w:rPr>
          <w:noProof/>
          <w:szCs w:val="24"/>
          <w:lang w:eastAsia="lv-LV"/>
        </w:rPr>
        <w:t>dublēšanās,</w:t>
      </w:r>
      <w:r w:rsidR="00DC7ECF">
        <w:rPr>
          <w:noProof/>
          <w:szCs w:val="24"/>
          <w:lang w:eastAsia="lv-LV"/>
        </w:rPr>
        <w:t xml:space="preserve"> jo šīs programmas piedāvā gan </w:t>
      </w:r>
      <w:r w:rsidR="00DC7ECF">
        <w:t xml:space="preserve">Daugavpils medicīnas koledža, gan Latvijas Universitātes P.Stradiņa medicīnas koledžas filiāle Rēzeknē. Arī studiju programmu Sociālā rehabilitācija ir iespējams apgūt Daugavpils medicīnas koledžā, kā arī </w:t>
      </w:r>
      <w:r w:rsidR="00456F88">
        <w:rPr>
          <w:noProof/>
          <w:szCs w:val="24"/>
          <w:lang w:eastAsia="lv-LV"/>
        </w:rPr>
        <w:t>Rēzeknes Tehnoloģiju akadēmijā</w:t>
      </w:r>
      <w:r w:rsidR="00DC7ECF">
        <w:rPr>
          <w:noProof/>
          <w:szCs w:val="24"/>
          <w:lang w:eastAsia="lv-LV"/>
        </w:rPr>
        <w:t xml:space="preserve">. Vienlaikus jāatzīmē, ka šīs programmas tiek īstenotas divās dažādās pilsētās – Daugavpilī un Rēzeknē, kas atrodas 90 km attālumā viena no otras, līdz ar to </w:t>
      </w:r>
      <w:r w:rsidR="00A47017">
        <w:rPr>
          <w:noProof/>
          <w:szCs w:val="24"/>
          <w:lang w:eastAsia="lv-LV"/>
        </w:rPr>
        <w:t xml:space="preserve">tām ir atšķirīgs mērķa tirgus un studiju programmu dublēšanās ir nosacīta. </w:t>
      </w:r>
    </w:p>
    <w:p w:rsidR="00E85785" w:rsidRDefault="00D42476" w:rsidP="00D42476">
      <w:pPr>
        <w:ind w:firstLine="720"/>
        <w:contextualSpacing/>
        <w:rPr>
          <w:noProof/>
          <w:szCs w:val="24"/>
          <w:lang w:eastAsia="lv-LV"/>
        </w:rPr>
      </w:pPr>
      <w:r w:rsidRPr="003B651B">
        <w:rPr>
          <w:noProof/>
          <w:szCs w:val="24"/>
          <w:lang w:eastAsia="lv-LV"/>
        </w:rPr>
        <w:t>Izvērtējot Latgales reģiona koledžu un filiāļu programmu piedāvājumu, secināms, ka tas pamatā attiecināms uz horizontālām prasmēm, kā piemēram, grāmatvedība, informācijas tehnoloģijas, kas nepieciešamas visu tautsaimniecības nozaru uzņēmumiem, kā arī publiskajiem pakalpojumiem (policija, robežsardze). Malnavas koledža</w:t>
      </w:r>
      <w:r w:rsidR="000E79ED">
        <w:rPr>
          <w:noProof/>
          <w:szCs w:val="24"/>
          <w:lang w:eastAsia="lv-LV"/>
        </w:rPr>
        <w:t>s</w:t>
      </w:r>
      <w:r w:rsidRPr="003B651B">
        <w:rPr>
          <w:noProof/>
          <w:szCs w:val="24"/>
          <w:lang w:eastAsia="lv-LV"/>
        </w:rPr>
        <w:t xml:space="preserve"> piedāvā</w:t>
      </w:r>
      <w:r w:rsidR="000E79ED">
        <w:rPr>
          <w:noProof/>
          <w:szCs w:val="24"/>
          <w:lang w:eastAsia="lv-LV"/>
        </w:rPr>
        <w:t>tā</w:t>
      </w:r>
      <w:r w:rsidRPr="003B651B">
        <w:rPr>
          <w:noProof/>
          <w:szCs w:val="24"/>
          <w:lang w:eastAsia="lv-LV"/>
        </w:rPr>
        <w:t xml:space="preserve"> studiju programma </w:t>
      </w:r>
      <w:r w:rsidR="001350B8" w:rsidRPr="001350B8">
        <w:rPr>
          <w:noProof/>
          <w:szCs w:val="24"/>
          <w:lang w:eastAsia="lv-LV"/>
        </w:rPr>
        <w:t>Uzņēmējdarbība lauksaimniecībā</w:t>
      </w:r>
      <w:r w:rsidRPr="003B651B">
        <w:rPr>
          <w:noProof/>
          <w:szCs w:val="24"/>
          <w:lang w:eastAsia="lv-LV"/>
        </w:rPr>
        <w:t xml:space="preserve"> ir orientēta uz vienu no reģiona prioritārajām nozarēm – lauksaimniecību. </w:t>
      </w:r>
      <w:r>
        <w:rPr>
          <w:noProof/>
          <w:szCs w:val="24"/>
          <w:lang w:eastAsia="lv-LV"/>
        </w:rPr>
        <w:t xml:space="preserve">Vienlaikus Malnavas koledža piedāvā apgūt arī profesionālās vidējās izglītības </w:t>
      </w:r>
      <w:r w:rsidR="00BC1D22">
        <w:rPr>
          <w:noProof/>
          <w:szCs w:val="24"/>
          <w:lang w:eastAsia="lv-LV"/>
        </w:rPr>
        <w:t xml:space="preserve">un arodizglītības </w:t>
      </w:r>
      <w:r>
        <w:rPr>
          <w:noProof/>
          <w:szCs w:val="24"/>
          <w:lang w:eastAsia="lv-LV"/>
        </w:rPr>
        <w:t xml:space="preserve">programmas, kas atbilst reģiona darbaspēka vajadzībām </w:t>
      </w:r>
      <w:r w:rsidR="00CB55CF">
        <w:t>–</w:t>
      </w:r>
      <w:r>
        <w:rPr>
          <w:noProof/>
          <w:szCs w:val="24"/>
          <w:lang w:eastAsia="lv-LV"/>
        </w:rPr>
        <w:t xml:space="preserve"> </w:t>
      </w:r>
      <w:r w:rsidR="00373431">
        <w:rPr>
          <w:szCs w:val="24"/>
        </w:rPr>
        <w:t>Autotransports, Lauksaimniecības tehnika, Lauksaimniecība, Banku zinības un finanses</w:t>
      </w:r>
      <w:r w:rsidRPr="000E79ED">
        <w:rPr>
          <w:szCs w:val="24"/>
        </w:rPr>
        <w:t>.</w:t>
      </w:r>
      <w:r w:rsidR="006678EB" w:rsidRPr="000E79ED">
        <w:rPr>
          <w:noProof/>
          <w:szCs w:val="24"/>
          <w:lang w:eastAsia="lv-LV"/>
        </w:rPr>
        <w:t xml:space="preserve"> M</w:t>
      </w:r>
      <w:r w:rsidR="006678EB" w:rsidRPr="00097347">
        <w:rPr>
          <w:noProof/>
          <w:szCs w:val="24"/>
          <w:lang w:eastAsia="lv-LV"/>
        </w:rPr>
        <w:t>alnavas koledža ir noteikta par Lauksaimnieciskās izglītības centru Latgalē.</w:t>
      </w:r>
      <w:r w:rsidR="006678EB" w:rsidRPr="00097347">
        <w:rPr>
          <w:rStyle w:val="FootnoteReference"/>
          <w:noProof/>
          <w:szCs w:val="24"/>
          <w:lang w:eastAsia="lv-LV"/>
        </w:rPr>
        <w:footnoteReference w:id="13"/>
      </w:r>
      <w:r w:rsidR="00E85785">
        <w:rPr>
          <w:noProof/>
          <w:szCs w:val="24"/>
          <w:lang w:eastAsia="lv-LV"/>
        </w:rPr>
        <w:br w:type="page"/>
      </w:r>
    </w:p>
    <w:p w:rsidR="00AD5B70" w:rsidRDefault="00D42476" w:rsidP="00D42476">
      <w:pPr>
        <w:rPr>
          <w:b/>
        </w:rPr>
      </w:pPr>
      <w:r w:rsidRPr="00125914">
        <w:rPr>
          <w:b/>
        </w:rPr>
        <w:lastRenderedPageBreak/>
        <w:t>Kurzeme</w:t>
      </w:r>
      <w:r>
        <w:rPr>
          <w:b/>
        </w:rPr>
        <w:t>s plānošanas reģion</w:t>
      </w:r>
      <w:r w:rsidR="00AD5B70">
        <w:rPr>
          <w:b/>
        </w:rPr>
        <w:t>s</w:t>
      </w:r>
      <w:r>
        <w:rPr>
          <w:b/>
        </w:rPr>
        <w:t xml:space="preserve"> </w:t>
      </w:r>
    </w:p>
    <w:p w:rsidR="00CC75B4" w:rsidRDefault="00AD5B70">
      <w:pPr>
        <w:pStyle w:val="Default"/>
        <w:jc w:val="both"/>
        <w:rPr>
          <w:lang w:eastAsia="ja-JP"/>
        </w:rPr>
      </w:pPr>
      <w:r w:rsidRPr="00DB1708">
        <w:rPr>
          <w:iCs/>
        </w:rPr>
        <w:t>Kurzemes plānošanas reģiona Attīstības programm</w:t>
      </w:r>
      <w:r w:rsidR="00316840">
        <w:rPr>
          <w:iCs/>
        </w:rPr>
        <w:t>ā</w:t>
      </w:r>
      <w:r w:rsidRPr="00DB1708">
        <w:rPr>
          <w:iCs/>
        </w:rPr>
        <w:t xml:space="preserve"> 2015.-2020.gadam</w:t>
      </w:r>
      <w:r w:rsidRPr="00DB1708">
        <w:rPr>
          <w:rStyle w:val="FootnoteReference"/>
          <w:iCs/>
        </w:rPr>
        <w:footnoteReference w:id="14"/>
      </w:r>
      <w:r w:rsidRPr="00DB1708">
        <w:rPr>
          <w:iCs/>
        </w:rPr>
        <w:t xml:space="preserve"> par </w:t>
      </w:r>
      <w:r w:rsidRPr="00DB1708">
        <w:rPr>
          <w:lang w:eastAsia="ja-JP"/>
        </w:rPr>
        <w:t xml:space="preserve">attīstāmām nozarēm Kurzemes reģionā atzītas transporta un loģistikas, metālapstrādes, kokapstrādes, lauksaimniecības un zivsaimniecības, </w:t>
      </w:r>
      <w:r w:rsidR="00B95537" w:rsidRPr="00B95537">
        <w:rPr>
          <w:lang w:eastAsia="ja-JP"/>
        </w:rPr>
        <w:t>pārtikas produktu un ap</w:t>
      </w:r>
      <w:r w:rsidR="00B95537">
        <w:rPr>
          <w:lang w:eastAsia="ja-JP"/>
        </w:rPr>
        <w:t>ģ</w:t>
      </w:r>
      <w:r w:rsidR="00B95537" w:rsidRPr="00B95537">
        <w:rPr>
          <w:lang w:eastAsia="ja-JP"/>
        </w:rPr>
        <w:t>ērbu ražošana,</w:t>
      </w:r>
      <w:r w:rsidR="00B95537">
        <w:rPr>
          <w:rFonts w:ascii="Calibri" w:hAnsi="Calibri" w:cs="Calibri"/>
          <w:sz w:val="20"/>
          <w:szCs w:val="20"/>
        </w:rPr>
        <w:t xml:space="preserve"> </w:t>
      </w:r>
      <w:r w:rsidRPr="00DB1708">
        <w:rPr>
          <w:lang w:eastAsia="ja-JP"/>
        </w:rPr>
        <w:t>kā arī tūrisma nozares.</w:t>
      </w:r>
    </w:p>
    <w:p w:rsidR="00AD5B70" w:rsidRDefault="00AD5B70" w:rsidP="00D42476">
      <w:pPr>
        <w:rPr>
          <w:b/>
        </w:rPr>
      </w:pPr>
    </w:p>
    <w:p w:rsidR="00D42476" w:rsidRPr="0066398E" w:rsidRDefault="00AD5B70" w:rsidP="000C7B95">
      <w:pPr>
        <w:ind w:firstLine="360"/>
      </w:pPr>
      <w:r>
        <w:rPr>
          <w:noProof/>
          <w:szCs w:val="24"/>
          <w:lang w:eastAsia="lv-LV"/>
        </w:rPr>
        <w:t>Kur</w:t>
      </w:r>
      <w:r w:rsidRPr="003629F1">
        <w:rPr>
          <w:noProof/>
          <w:szCs w:val="24"/>
          <w:lang w:eastAsia="lv-LV"/>
        </w:rPr>
        <w:t xml:space="preserve">zemes plānošanas reģionā </w:t>
      </w:r>
      <w:r w:rsidR="00D42476" w:rsidRPr="0066398E">
        <w:t xml:space="preserve">atrodas </w:t>
      </w:r>
      <w:r w:rsidR="00D42476">
        <w:t>viena koledža un divas koledžas filiāles:</w:t>
      </w:r>
    </w:p>
    <w:p w:rsidR="00D42476" w:rsidRPr="00332032" w:rsidRDefault="00D42476" w:rsidP="00722156">
      <w:pPr>
        <w:pStyle w:val="ListParagraph"/>
        <w:numPr>
          <w:ilvl w:val="0"/>
          <w:numId w:val="27"/>
        </w:numPr>
        <w:shd w:val="clear" w:color="auto" w:fill="FFFFFF"/>
        <w:rPr>
          <w:iCs/>
          <w:szCs w:val="24"/>
        </w:rPr>
      </w:pPr>
      <w:r w:rsidRPr="0066398E">
        <w:rPr>
          <w:iCs/>
          <w:szCs w:val="24"/>
        </w:rPr>
        <w:t xml:space="preserve">Liepājas Jūrniecības koledža (studiju programmas </w:t>
      </w:r>
      <w:r w:rsidRPr="00332032">
        <w:rPr>
          <w:iCs/>
          <w:szCs w:val="24"/>
        </w:rPr>
        <w:t>Kuģ</w:t>
      </w:r>
      <w:r w:rsidR="00456F88">
        <w:rPr>
          <w:iCs/>
          <w:szCs w:val="24"/>
        </w:rPr>
        <w:t>a</w:t>
      </w:r>
      <w:r w:rsidRPr="00332032">
        <w:rPr>
          <w:iCs/>
          <w:szCs w:val="24"/>
        </w:rPr>
        <w:t xml:space="preserve"> mehāniķis, Jūras transports</w:t>
      </w:r>
      <w:r w:rsidR="00456F88">
        <w:rPr>
          <w:iCs/>
          <w:szCs w:val="24"/>
        </w:rPr>
        <w:t>- kuģa mehāniķis</w:t>
      </w:r>
      <w:r w:rsidRPr="00332032">
        <w:rPr>
          <w:iCs/>
          <w:szCs w:val="24"/>
        </w:rPr>
        <w:t xml:space="preserve">, </w:t>
      </w:r>
      <w:r w:rsidR="00456F88" w:rsidRPr="00332032">
        <w:rPr>
          <w:iCs/>
          <w:szCs w:val="24"/>
        </w:rPr>
        <w:t>Jūras transports</w:t>
      </w:r>
      <w:r w:rsidR="00456F88">
        <w:rPr>
          <w:iCs/>
          <w:szCs w:val="24"/>
        </w:rPr>
        <w:t>- k</w:t>
      </w:r>
      <w:r w:rsidRPr="00332032">
        <w:rPr>
          <w:iCs/>
          <w:szCs w:val="24"/>
        </w:rPr>
        <w:t>uģ</w:t>
      </w:r>
      <w:r w:rsidR="00456F88">
        <w:rPr>
          <w:iCs/>
          <w:szCs w:val="24"/>
        </w:rPr>
        <w:t>a</w:t>
      </w:r>
      <w:r w:rsidRPr="00332032">
        <w:rPr>
          <w:iCs/>
          <w:szCs w:val="24"/>
        </w:rPr>
        <w:t xml:space="preserve"> vadītājs, </w:t>
      </w:r>
      <w:r w:rsidR="00456F88">
        <w:rPr>
          <w:iCs/>
          <w:szCs w:val="24"/>
        </w:rPr>
        <w:t>Kuģu vadīšana- k</w:t>
      </w:r>
      <w:r w:rsidR="00456F88" w:rsidRPr="00332032">
        <w:rPr>
          <w:iCs/>
          <w:szCs w:val="24"/>
        </w:rPr>
        <w:t>uģ</w:t>
      </w:r>
      <w:r w:rsidR="00456F88">
        <w:rPr>
          <w:iCs/>
          <w:szCs w:val="24"/>
        </w:rPr>
        <w:t>u</w:t>
      </w:r>
      <w:r w:rsidR="00456F88" w:rsidRPr="00332032">
        <w:rPr>
          <w:iCs/>
          <w:szCs w:val="24"/>
        </w:rPr>
        <w:t xml:space="preserve"> vadītājs</w:t>
      </w:r>
      <w:r w:rsidR="00456F88">
        <w:rPr>
          <w:iCs/>
          <w:szCs w:val="24"/>
        </w:rPr>
        <w:t>,</w:t>
      </w:r>
      <w:r w:rsidR="00456F88" w:rsidRPr="00332032">
        <w:rPr>
          <w:iCs/>
          <w:szCs w:val="24"/>
        </w:rPr>
        <w:t xml:space="preserve"> </w:t>
      </w:r>
      <w:r w:rsidRPr="00332032">
        <w:rPr>
          <w:iCs/>
          <w:szCs w:val="24"/>
        </w:rPr>
        <w:t>Starptautisko pārvadājumu organizācija);</w:t>
      </w:r>
    </w:p>
    <w:p w:rsidR="00D42476" w:rsidRPr="00332032" w:rsidRDefault="00D42476" w:rsidP="00722156">
      <w:pPr>
        <w:pStyle w:val="ListParagraph"/>
        <w:numPr>
          <w:ilvl w:val="0"/>
          <w:numId w:val="27"/>
        </w:numPr>
        <w:shd w:val="clear" w:color="auto" w:fill="FFFFFF"/>
        <w:rPr>
          <w:iCs/>
          <w:szCs w:val="24"/>
        </w:rPr>
      </w:pPr>
      <w:r w:rsidRPr="0066398E">
        <w:rPr>
          <w:iCs/>
          <w:szCs w:val="24"/>
        </w:rPr>
        <w:t xml:space="preserve">Juridiskās koledžas Ventspils filiāle (studiju programma </w:t>
      </w:r>
      <w:r w:rsidRPr="00332032">
        <w:rPr>
          <w:iCs/>
          <w:szCs w:val="24"/>
        </w:rPr>
        <w:t xml:space="preserve">Tiesību zinātne) un </w:t>
      </w:r>
      <w:r w:rsidR="00B4322A" w:rsidRPr="00B4322A">
        <w:rPr>
          <w:iCs/>
          <w:szCs w:val="24"/>
        </w:rPr>
        <w:t xml:space="preserve">Liepājas filiāle (studiju programmas Cilvēku resursu vadība, Tiesību zinātne). </w:t>
      </w:r>
    </w:p>
    <w:p w:rsidR="00D42476" w:rsidRDefault="00D42476" w:rsidP="00D42476">
      <w:pPr>
        <w:autoSpaceDE w:val="0"/>
        <w:autoSpaceDN w:val="0"/>
        <w:adjustRightInd w:val="0"/>
        <w:rPr>
          <w:noProof/>
          <w:szCs w:val="24"/>
          <w:lang w:eastAsia="lv-LV"/>
        </w:rPr>
      </w:pPr>
    </w:p>
    <w:p w:rsidR="00D42476" w:rsidRPr="00EF4EF1" w:rsidRDefault="00D42476" w:rsidP="000423B7">
      <w:pPr>
        <w:autoSpaceDE w:val="0"/>
        <w:autoSpaceDN w:val="0"/>
        <w:adjustRightInd w:val="0"/>
        <w:ind w:firstLine="720"/>
        <w:rPr>
          <w:iCs/>
          <w:szCs w:val="24"/>
        </w:rPr>
      </w:pPr>
      <w:r>
        <w:rPr>
          <w:noProof/>
          <w:szCs w:val="24"/>
          <w:lang w:eastAsia="lv-LV"/>
        </w:rPr>
        <w:t>Kur</w:t>
      </w:r>
      <w:r w:rsidRPr="003629F1">
        <w:rPr>
          <w:noProof/>
          <w:szCs w:val="24"/>
          <w:lang w:eastAsia="lv-LV"/>
        </w:rPr>
        <w:t xml:space="preserve">zemes plānošanas reģionā atrodas </w:t>
      </w:r>
      <w:r>
        <w:rPr>
          <w:noProof/>
          <w:szCs w:val="24"/>
          <w:lang w:eastAsia="lv-LV"/>
        </w:rPr>
        <w:t xml:space="preserve">divas augstskolas – Liepājas Universitāte un Ventspils Augstskola, kurās netiek piedāvātas pirmā līmeņa profesionālās augstākās izglītības studiju programmas. Kurzemes reģionā atrodas arī </w:t>
      </w:r>
      <w:r w:rsidR="00233378">
        <w:rPr>
          <w:noProof/>
          <w:szCs w:val="24"/>
          <w:lang w:eastAsia="lv-LV"/>
        </w:rPr>
        <w:t xml:space="preserve">vairākas </w:t>
      </w:r>
      <w:r>
        <w:rPr>
          <w:noProof/>
          <w:szCs w:val="24"/>
          <w:lang w:eastAsia="lv-LV"/>
        </w:rPr>
        <w:t xml:space="preserve">Rīgas augstskolu filiāles, kurās tiek piedāvātas pirmā līmeņa profesionālās augstākās izglītības studiju programmas. Piemēram, Liepājā darbojas Rīgas Tehniskās universitātes filiāle, kurā tiek piedāvātas studiju programmas </w:t>
      </w:r>
      <w:r w:rsidR="00615B73">
        <w:rPr>
          <w:noProof/>
          <w:szCs w:val="24"/>
          <w:lang w:eastAsia="lv-LV"/>
        </w:rPr>
        <w:t xml:space="preserve">Datorsistēmas, Uzņēmējdarbība un vadīšana, Būvdarbu vadīšana, </w:t>
      </w:r>
      <w:r w:rsidRPr="007560A0">
        <w:rPr>
          <w:noProof/>
          <w:szCs w:val="24"/>
          <w:lang w:eastAsia="lv-LV"/>
        </w:rPr>
        <w:t>Būvniecība</w:t>
      </w:r>
      <w:r w:rsidR="007560A0" w:rsidRPr="007560A0">
        <w:rPr>
          <w:noProof/>
          <w:szCs w:val="24"/>
          <w:lang w:eastAsia="lv-LV"/>
        </w:rPr>
        <w:t xml:space="preserve"> (specializācija Transportbūves)</w:t>
      </w:r>
      <w:r w:rsidRPr="007560A0">
        <w:rPr>
          <w:noProof/>
          <w:szCs w:val="24"/>
          <w:lang w:eastAsia="lv-LV"/>
        </w:rPr>
        <w:t xml:space="preserve">, </w:t>
      </w:r>
      <w:r w:rsidR="00233378" w:rsidRPr="007560A0">
        <w:rPr>
          <w:noProof/>
          <w:szCs w:val="24"/>
          <w:lang w:eastAsia="lv-LV"/>
        </w:rPr>
        <w:t xml:space="preserve">kā arī Biznesa augstskolas </w:t>
      </w:r>
      <w:r w:rsidR="00BE0A88">
        <w:rPr>
          <w:noProof/>
          <w:szCs w:val="24"/>
          <w:lang w:eastAsia="lv-LV"/>
        </w:rPr>
        <w:t>„</w:t>
      </w:r>
      <w:r w:rsidR="00233378" w:rsidRPr="007560A0">
        <w:rPr>
          <w:noProof/>
          <w:szCs w:val="24"/>
          <w:lang w:eastAsia="lv-LV"/>
        </w:rPr>
        <w:t xml:space="preserve">Turība” filiāle, kurā tiek īstenotas divas studiju programmas </w:t>
      </w:r>
      <w:r w:rsidR="00CB55CF">
        <w:t>–</w:t>
      </w:r>
      <w:r w:rsidR="00233378" w:rsidRPr="007560A0">
        <w:rPr>
          <w:noProof/>
          <w:szCs w:val="24"/>
          <w:lang w:eastAsia="lv-LV"/>
        </w:rPr>
        <w:t xml:space="preserve"> Tie</w:t>
      </w:r>
      <w:r w:rsidR="00233378">
        <w:rPr>
          <w:noProof/>
          <w:szCs w:val="24"/>
          <w:lang w:eastAsia="lv-LV"/>
        </w:rPr>
        <w:t xml:space="preserve">sību zinātnes un Grāmatvedība un finanses. </w:t>
      </w:r>
      <w:r w:rsidR="00233378" w:rsidRPr="00233378">
        <w:rPr>
          <w:noProof/>
          <w:szCs w:val="24"/>
          <w:lang w:eastAsia="lv-LV"/>
        </w:rPr>
        <w:t xml:space="preserve">Ventspilī </w:t>
      </w:r>
      <w:r w:rsidR="00233378">
        <w:rPr>
          <w:noProof/>
          <w:szCs w:val="24"/>
          <w:lang w:eastAsia="lv-LV"/>
        </w:rPr>
        <w:t xml:space="preserve">darbojas Rīgas Tehniskās universitātes filiāle, kurā tiek īstenotas studiju programmas </w:t>
      </w:r>
      <w:r w:rsidR="00615B73">
        <w:rPr>
          <w:noProof/>
          <w:szCs w:val="24"/>
          <w:lang w:eastAsia="lv-LV"/>
        </w:rPr>
        <w:t xml:space="preserve">Būvniecība un Cilvēkresursu vadīšana. </w:t>
      </w:r>
      <w:r w:rsidR="00233378">
        <w:rPr>
          <w:noProof/>
          <w:szCs w:val="24"/>
          <w:lang w:eastAsia="lv-LV"/>
        </w:rPr>
        <w:t xml:space="preserve">Laidzē atrodas </w:t>
      </w:r>
      <w:r>
        <w:rPr>
          <w:noProof/>
          <w:szCs w:val="24"/>
          <w:lang w:eastAsia="lv-LV"/>
        </w:rPr>
        <w:t>Latvijas Lauksaimniecības universitātes filiāl</w:t>
      </w:r>
      <w:r w:rsidR="00233378">
        <w:rPr>
          <w:noProof/>
          <w:szCs w:val="24"/>
          <w:lang w:eastAsia="lv-LV"/>
        </w:rPr>
        <w:t>e, kurā</w:t>
      </w:r>
      <w:r>
        <w:rPr>
          <w:noProof/>
          <w:szCs w:val="24"/>
          <w:lang w:eastAsia="lv-LV"/>
        </w:rPr>
        <w:t xml:space="preserve"> tiek īstenota studiju programma Komerczinības. Savukārt Talsos atrodas Biznesa augstskolas “Turība” filiāle, kurā tiek </w:t>
      </w:r>
      <w:r w:rsidR="00233378">
        <w:rPr>
          <w:noProof/>
          <w:szCs w:val="24"/>
          <w:lang w:eastAsia="lv-LV"/>
        </w:rPr>
        <w:t>īstenotas pirmā līmeņa profesionālās augstākās izglītības studiju programmas</w:t>
      </w:r>
      <w:r>
        <w:rPr>
          <w:noProof/>
          <w:szCs w:val="24"/>
          <w:lang w:eastAsia="lv-LV"/>
        </w:rPr>
        <w:t xml:space="preserve"> </w:t>
      </w:r>
      <w:r w:rsidR="00233378">
        <w:rPr>
          <w:noProof/>
          <w:szCs w:val="24"/>
          <w:lang w:eastAsia="lv-LV"/>
        </w:rPr>
        <w:t>Tiesību zinātnes, Mārketings un tirdzniecība, kā arī Finanses un grāmatvedība.</w:t>
      </w:r>
      <w:r>
        <w:rPr>
          <w:noProof/>
          <w:szCs w:val="24"/>
          <w:lang w:eastAsia="lv-LV"/>
        </w:rPr>
        <w:t xml:space="preserve"> Līdz ar to Kurzemes reģionā</w:t>
      </w:r>
      <w:r w:rsidR="00264583">
        <w:rPr>
          <w:noProof/>
          <w:szCs w:val="24"/>
          <w:lang w:eastAsia="lv-LV"/>
        </w:rPr>
        <w:t>, konkrēti Liepājā</w:t>
      </w:r>
      <w:r w:rsidR="007560A0">
        <w:rPr>
          <w:noProof/>
          <w:szCs w:val="24"/>
          <w:lang w:eastAsia="lv-LV"/>
        </w:rPr>
        <w:t>,</w:t>
      </w:r>
      <w:r>
        <w:rPr>
          <w:noProof/>
          <w:szCs w:val="24"/>
          <w:lang w:eastAsia="lv-LV"/>
        </w:rPr>
        <w:t xml:space="preserve"> </w:t>
      </w:r>
      <w:r w:rsidR="00264583">
        <w:rPr>
          <w:noProof/>
          <w:szCs w:val="24"/>
          <w:lang w:eastAsia="lv-LV"/>
        </w:rPr>
        <w:t>ir</w:t>
      </w:r>
      <w:r>
        <w:rPr>
          <w:noProof/>
          <w:szCs w:val="24"/>
          <w:lang w:eastAsia="lv-LV"/>
        </w:rPr>
        <w:t xml:space="preserve"> vērojama pirmā līmeņa profesionālās augstākās izglītības studiju </w:t>
      </w:r>
      <w:r w:rsidR="00E93A2B">
        <w:rPr>
          <w:noProof/>
          <w:szCs w:val="24"/>
          <w:lang w:eastAsia="lv-LV"/>
        </w:rPr>
        <w:t xml:space="preserve">programmas Tiesību zinātnes </w:t>
      </w:r>
      <w:r>
        <w:rPr>
          <w:noProof/>
          <w:szCs w:val="24"/>
          <w:lang w:eastAsia="lv-LV"/>
        </w:rPr>
        <w:t xml:space="preserve">dublēšanās, </w:t>
      </w:r>
      <w:r w:rsidR="00264583">
        <w:rPr>
          <w:noProof/>
          <w:szCs w:val="24"/>
          <w:lang w:eastAsia="lv-LV"/>
        </w:rPr>
        <w:t xml:space="preserve">jo </w:t>
      </w:r>
      <w:r w:rsidR="00E93A2B">
        <w:rPr>
          <w:noProof/>
          <w:szCs w:val="24"/>
          <w:lang w:eastAsia="lv-LV"/>
        </w:rPr>
        <w:t xml:space="preserve">šo </w:t>
      </w:r>
      <w:r w:rsidR="00264583">
        <w:rPr>
          <w:noProof/>
          <w:szCs w:val="24"/>
          <w:lang w:eastAsia="lv-LV"/>
        </w:rPr>
        <w:t xml:space="preserve">studiju </w:t>
      </w:r>
      <w:r w:rsidR="00E93A2B">
        <w:rPr>
          <w:noProof/>
          <w:szCs w:val="24"/>
          <w:lang w:eastAsia="lv-LV"/>
        </w:rPr>
        <w:t xml:space="preserve">programmu </w:t>
      </w:r>
      <w:r w:rsidR="00264583">
        <w:rPr>
          <w:noProof/>
          <w:szCs w:val="24"/>
          <w:lang w:eastAsia="lv-LV"/>
        </w:rPr>
        <w:t xml:space="preserve">ir iespējams apgūt gan Juridiskās koledžas filiālē, gan Biznesa augstskolas </w:t>
      </w:r>
      <w:r w:rsidR="00BE0A88">
        <w:rPr>
          <w:noProof/>
          <w:szCs w:val="24"/>
          <w:lang w:eastAsia="lv-LV"/>
        </w:rPr>
        <w:t>„</w:t>
      </w:r>
      <w:r w:rsidR="00264583">
        <w:rPr>
          <w:noProof/>
          <w:szCs w:val="24"/>
          <w:lang w:eastAsia="lv-LV"/>
        </w:rPr>
        <w:t xml:space="preserve">Turība” filiālē. </w:t>
      </w:r>
      <w:r w:rsidR="00225DD5">
        <w:rPr>
          <w:noProof/>
          <w:szCs w:val="24"/>
          <w:lang w:eastAsia="lv-LV"/>
        </w:rPr>
        <w:t>Jāatzīmē, ka abas minētās ir privātās augstākās izglītības iestādes, kuru darbība netiek finansēta no valsts budžeta.</w:t>
      </w:r>
    </w:p>
    <w:p w:rsidR="00D42476" w:rsidRDefault="00D42476" w:rsidP="000423B7">
      <w:pPr>
        <w:autoSpaceDE w:val="0"/>
        <w:autoSpaceDN w:val="0"/>
        <w:adjustRightInd w:val="0"/>
        <w:ind w:firstLine="720"/>
        <w:rPr>
          <w:sz w:val="20"/>
        </w:rPr>
      </w:pPr>
      <w:r>
        <w:rPr>
          <w:lang w:eastAsia="ja-JP"/>
        </w:rPr>
        <w:t xml:space="preserve">Līdz ar to </w:t>
      </w:r>
      <w:r w:rsidR="00264583">
        <w:rPr>
          <w:lang w:eastAsia="ja-JP"/>
        </w:rPr>
        <w:t xml:space="preserve">reģiona vajadzībām vistiešāk atbilst </w:t>
      </w:r>
      <w:r w:rsidRPr="0066398E">
        <w:rPr>
          <w:iCs/>
          <w:szCs w:val="24"/>
        </w:rPr>
        <w:t>Liepājas Jūrniecības koledža</w:t>
      </w:r>
      <w:r>
        <w:rPr>
          <w:iCs/>
          <w:szCs w:val="24"/>
        </w:rPr>
        <w:t>s programmu piedāvājums</w:t>
      </w:r>
      <w:r w:rsidR="00264583">
        <w:rPr>
          <w:iCs/>
          <w:szCs w:val="24"/>
        </w:rPr>
        <w:t>.</w:t>
      </w:r>
    </w:p>
    <w:p w:rsidR="00D42476" w:rsidRDefault="00D42476" w:rsidP="000423B7">
      <w:pPr>
        <w:ind w:firstLine="720"/>
        <w:rPr>
          <w:b/>
          <w:noProof/>
          <w:szCs w:val="24"/>
          <w:u w:val="single"/>
          <w:lang w:eastAsia="lv-LV"/>
        </w:rPr>
      </w:pPr>
    </w:p>
    <w:p w:rsidR="00AD5B70" w:rsidRDefault="00D42476" w:rsidP="000C7B95">
      <w:pPr>
        <w:rPr>
          <w:b/>
          <w:noProof/>
          <w:szCs w:val="24"/>
          <w:lang w:eastAsia="lv-LV"/>
        </w:rPr>
      </w:pPr>
      <w:r w:rsidRPr="008379E0">
        <w:rPr>
          <w:b/>
          <w:noProof/>
          <w:szCs w:val="24"/>
          <w:lang w:eastAsia="lv-LV"/>
        </w:rPr>
        <w:t>Zemgales plānošanas reģion</w:t>
      </w:r>
      <w:r w:rsidR="00AD5B70">
        <w:rPr>
          <w:b/>
          <w:noProof/>
          <w:szCs w:val="24"/>
          <w:lang w:eastAsia="lv-LV"/>
        </w:rPr>
        <w:t xml:space="preserve">s </w:t>
      </w:r>
    </w:p>
    <w:p w:rsidR="00AD5B70" w:rsidRPr="00707E8F" w:rsidRDefault="00AD5B70" w:rsidP="00AD5B70">
      <w:pPr>
        <w:ind w:firstLine="567"/>
        <w:rPr>
          <w:rFonts w:eastAsia="Calibri"/>
        </w:rPr>
      </w:pPr>
      <w:r w:rsidRPr="00332E08">
        <w:rPr>
          <w:rFonts w:eastAsia="Calibri"/>
        </w:rPr>
        <w:t>Zemgales plānošanas reģiona ilgtspējīgas attīstības stratēģij</w:t>
      </w:r>
      <w:r>
        <w:rPr>
          <w:rFonts w:eastAsia="Calibri"/>
        </w:rPr>
        <w:t>ā</w:t>
      </w:r>
      <w:r w:rsidRPr="00332E08">
        <w:rPr>
          <w:rFonts w:eastAsia="Calibri"/>
        </w:rPr>
        <w:t xml:space="preserve"> 2014.-2030.gadam</w:t>
      </w:r>
      <w:r w:rsidRPr="00707E8F">
        <w:rPr>
          <w:rStyle w:val="FootnoteReference"/>
          <w:rFonts w:eastAsia="Calibri"/>
        </w:rPr>
        <w:footnoteReference w:id="15"/>
      </w:r>
      <w:r w:rsidRPr="00707E8F">
        <w:t xml:space="preserve"> ir </w:t>
      </w:r>
      <w:r w:rsidRPr="00707E8F">
        <w:rPr>
          <w:rFonts w:eastAsia="Calibri"/>
        </w:rPr>
        <w:t>izvirzīti četri galvenie Zemgales ekonomikas specializācijas virzieni:</w:t>
      </w:r>
    </w:p>
    <w:p w:rsidR="00AD5B70" w:rsidRPr="00707E8F" w:rsidRDefault="00AD5B70" w:rsidP="00722156">
      <w:pPr>
        <w:numPr>
          <w:ilvl w:val="0"/>
          <w:numId w:val="28"/>
        </w:numPr>
        <w:rPr>
          <w:rFonts w:eastAsia="Calibri"/>
        </w:rPr>
      </w:pPr>
      <w:proofErr w:type="spellStart"/>
      <w:r>
        <w:rPr>
          <w:rFonts w:eastAsia="Calibri"/>
        </w:rPr>
        <w:t>b</w:t>
      </w:r>
      <w:r w:rsidRPr="00707E8F">
        <w:rPr>
          <w:rFonts w:eastAsia="Calibri"/>
        </w:rPr>
        <w:t>ioekonomika</w:t>
      </w:r>
      <w:proofErr w:type="spellEnd"/>
      <w:r w:rsidRPr="00707E8F">
        <w:rPr>
          <w:rFonts w:eastAsia="Calibri"/>
        </w:rPr>
        <w:t>, lauksaimniecība un tās produktu pārstrāde</w:t>
      </w:r>
      <w:r>
        <w:rPr>
          <w:rFonts w:eastAsia="Calibri"/>
        </w:rPr>
        <w:t>;</w:t>
      </w:r>
    </w:p>
    <w:p w:rsidR="00AD5B70" w:rsidRPr="00707E8F" w:rsidRDefault="00AD5B70" w:rsidP="00722156">
      <w:pPr>
        <w:numPr>
          <w:ilvl w:val="0"/>
          <w:numId w:val="28"/>
        </w:numPr>
        <w:rPr>
          <w:rFonts w:eastAsia="Calibri"/>
        </w:rPr>
      </w:pPr>
      <w:r>
        <w:rPr>
          <w:rFonts w:eastAsia="Calibri"/>
        </w:rPr>
        <w:t>d</w:t>
      </w:r>
      <w:r w:rsidRPr="00707E8F">
        <w:rPr>
          <w:rFonts w:eastAsia="Calibri"/>
        </w:rPr>
        <w:t>abas resursu (mežu un derīgo izrakteņu) apsaimniekošana</w:t>
      </w:r>
      <w:r>
        <w:rPr>
          <w:rFonts w:eastAsia="Calibri"/>
        </w:rPr>
        <w:t>;</w:t>
      </w:r>
    </w:p>
    <w:p w:rsidR="00AD5B70" w:rsidRPr="00707E8F" w:rsidRDefault="00AD5B70" w:rsidP="00722156">
      <w:pPr>
        <w:numPr>
          <w:ilvl w:val="0"/>
          <w:numId w:val="28"/>
        </w:numPr>
        <w:rPr>
          <w:rFonts w:eastAsia="Calibri"/>
        </w:rPr>
      </w:pPr>
      <w:r>
        <w:rPr>
          <w:rFonts w:eastAsia="Calibri"/>
        </w:rPr>
        <w:t>a</w:t>
      </w:r>
      <w:r w:rsidRPr="00707E8F">
        <w:rPr>
          <w:rFonts w:eastAsia="Calibri"/>
        </w:rPr>
        <w:t>pstrādes rūpniecība kā pilsētu specializācija</w:t>
      </w:r>
      <w:r>
        <w:rPr>
          <w:rFonts w:eastAsia="Calibri"/>
        </w:rPr>
        <w:t>;</w:t>
      </w:r>
    </w:p>
    <w:p w:rsidR="00AD5B70" w:rsidRPr="00707E8F" w:rsidRDefault="00AD5B70" w:rsidP="00722156">
      <w:pPr>
        <w:numPr>
          <w:ilvl w:val="0"/>
          <w:numId w:val="28"/>
        </w:numPr>
        <w:rPr>
          <w:rFonts w:eastAsia="Calibri"/>
        </w:rPr>
      </w:pPr>
      <w:r>
        <w:rPr>
          <w:rFonts w:eastAsia="Calibri"/>
        </w:rPr>
        <w:t>t</w:t>
      </w:r>
      <w:r w:rsidRPr="00707E8F">
        <w:rPr>
          <w:rFonts w:eastAsia="Calibri"/>
        </w:rPr>
        <w:t>ūrisms un amatniecība kā reģiona identitātes zīmols.</w:t>
      </w:r>
    </w:p>
    <w:p w:rsidR="00820F72" w:rsidRDefault="00820F72">
      <w:pPr>
        <w:rPr>
          <w:b/>
          <w:noProof/>
          <w:szCs w:val="24"/>
          <w:lang w:eastAsia="lv-LV"/>
        </w:rPr>
      </w:pPr>
    </w:p>
    <w:p w:rsidR="00D42476" w:rsidRDefault="00AD5B70" w:rsidP="000423B7">
      <w:pPr>
        <w:ind w:firstLine="720"/>
        <w:rPr>
          <w:rStyle w:val="ms-rtefontsize-1"/>
          <w:szCs w:val="24"/>
        </w:rPr>
      </w:pPr>
      <w:r>
        <w:rPr>
          <w:rFonts w:eastAsia="Calibri"/>
        </w:rPr>
        <w:t xml:space="preserve">Zemgales plānošanas reģionā </w:t>
      </w:r>
      <w:r w:rsidR="00D42476" w:rsidRPr="008379E0">
        <w:rPr>
          <w:b/>
          <w:noProof/>
          <w:szCs w:val="24"/>
          <w:lang w:eastAsia="lv-LV"/>
        </w:rPr>
        <w:t xml:space="preserve"> </w:t>
      </w:r>
      <w:r w:rsidR="00D42476" w:rsidRPr="008379E0">
        <w:rPr>
          <w:noProof/>
          <w:szCs w:val="24"/>
          <w:lang w:eastAsia="lv-LV"/>
        </w:rPr>
        <w:t>atrodas</w:t>
      </w:r>
      <w:r w:rsidR="00D42476" w:rsidRPr="008379E0">
        <w:rPr>
          <w:b/>
          <w:noProof/>
          <w:szCs w:val="24"/>
          <w:lang w:eastAsia="lv-LV"/>
        </w:rPr>
        <w:t xml:space="preserve"> </w:t>
      </w:r>
      <w:r w:rsidR="00D42476" w:rsidRPr="008379E0">
        <w:rPr>
          <w:noProof/>
          <w:szCs w:val="24"/>
          <w:lang w:eastAsia="lv-LV"/>
        </w:rPr>
        <w:t>viena</w:t>
      </w:r>
      <w:r w:rsidR="00D42476">
        <w:rPr>
          <w:noProof/>
          <w:szCs w:val="24"/>
          <w:lang w:eastAsia="lv-LV"/>
        </w:rPr>
        <w:t xml:space="preserve"> </w:t>
      </w:r>
      <w:r w:rsidR="00D42476" w:rsidRPr="008379E0">
        <w:rPr>
          <w:noProof/>
          <w:szCs w:val="24"/>
          <w:lang w:eastAsia="lv-LV"/>
        </w:rPr>
        <w:t xml:space="preserve">– Jēkabpils </w:t>
      </w:r>
      <w:r w:rsidR="00D42476">
        <w:rPr>
          <w:noProof/>
          <w:szCs w:val="24"/>
          <w:lang w:eastAsia="lv-LV"/>
        </w:rPr>
        <w:t>A</w:t>
      </w:r>
      <w:r w:rsidR="00D42476" w:rsidRPr="008379E0">
        <w:rPr>
          <w:noProof/>
          <w:szCs w:val="24"/>
          <w:lang w:eastAsia="lv-LV"/>
        </w:rPr>
        <w:t>grobiznesa</w:t>
      </w:r>
      <w:r w:rsidR="00D42476">
        <w:rPr>
          <w:noProof/>
          <w:szCs w:val="24"/>
          <w:lang w:eastAsia="lv-LV"/>
        </w:rPr>
        <w:t xml:space="preserve"> </w:t>
      </w:r>
      <w:r w:rsidR="00D42476" w:rsidRPr="008379E0">
        <w:rPr>
          <w:noProof/>
          <w:szCs w:val="24"/>
          <w:lang w:eastAsia="lv-LV"/>
        </w:rPr>
        <w:t>koledža</w:t>
      </w:r>
      <w:r w:rsidR="00D42476">
        <w:rPr>
          <w:noProof/>
          <w:szCs w:val="24"/>
          <w:lang w:eastAsia="lv-LV"/>
        </w:rPr>
        <w:t xml:space="preserve">, kas īsteno studiju </w:t>
      </w:r>
      <w:r w:rsidR="00D42476" w:rsidRPr="008379E0">
        <w:rPr>
          <w:noProof/>
          <w:szCs w:val="24"/>
          <w:lang w:eastAsia="lv-LV"/>
        </w:rPr>
        <w:t xml:space="preserve">programmas </w:t>
      </w:r>
      <w:r w:rsidR="00264583">
        <w:rPr>
          <w:noProof/>
          <w:szCs w:val="24"/>
          <w:lang w:eastAsia="lv-LV"/>
        </w:rPr>
        <w:t>Grāmatvedība</w:t>
      </w:r>
      <w:r w:rsidR="00D42476" w:rsidRPr="008379E0">
        <w:rPr>
          <w:rStyle w:val="ms-rtefontsize-1"/>
          <w:szCs w:val="24"/>
        </w:rPr>
        <w:t xml:space="preserve"> un finanses</w:t>
      </w:r>
      <w:r w:rsidR="00D42476">
        <w:rPr>
          <w:rStyle w:val="ms-rtefontsize-1"/>
          <w:szCs w:val="24"/>
        </w:rPr>
        <w:t xml:space="preserve">, Komercdarbība, Mārketings un inovācijas, Namu pārvaldīšana, Datorsistēmu un datortīklu administrēšana. Jēkabpilī pirmā līmeņa profesionālās augstākās izglītības studiju programmu Sociālās palīdzības organizators piedāvā Baltijas Starptautiskā akadēmijas filiāle, savukārt Biznesa augstskolas </w:t>
      </w:r>
      <w:r w:rsidR="007735E6">
        <w:rPr>
          <w:noProof/>
          <w:szCs w:val="24"/>
          <w:lang w:eastAsia="lv-LV"/>
        </w:rPr>
        <w:t>„</w:t>
      </w:r>
      <w:r w:rsidR="00D42476">
        <w:rPr>
          <w:rStyle w:val="ms-rtefontsize-1"/>
          <w:szCs w:val="24"/>
        </w:rPr>
        <w:t xml:space="preserve">Turība” filiālē ir iespējams apgūt </w:t>
      </w:r>
      <w:r w:rsidR="00D42476" w:rsidRPr="00233378">
        <w:rPr>
          <w:rStyle w:val="ms-rtefontsize-1"/>
          <w:szCs w:val="24"/>
        </w:rPr>
        <w:t>studiju programmu Tiesību zinātnes.</w:t>
      </w:r>
      <w:r w:rsidR="00D42476">
        <w:rPr>
          <w:rStyle w:val="ms-rtefontsize-1"/>
          <w:szCs w:val="24"/>
        </w:rPr>
        <w:t xml:space="preserve"> </w:t>
      </w:r>
    </w:p>
    <w:p w:rsidR="00820F72" w:rsidRDefault="00D42476">
      <w:pPr>
        <w:ind w:firstLine="567"/>
        <w:rPr>
          <w:noProof/>
          <w:szCs w:val="24"/>
          <w:lang w:eastAsia="lv-LV"/>
        </w:rPr>
      </w:pPr>
      <w:r>
        <w:rPr>
          <w:rFonts w:eastAsia="Calibri"/>
        </w:rPr>
        <w:lastRenderedPageBreak/>
        <w:t xml:space="preserve">Jēkabpils </w:t>
      </w:r>
      <w:proofErr w:type="spellStart"/>
      <w:r>
        <w:rPr>
          <w:rFonts w:eastAsia="Calibri"/>
        </w:rPr>
        <w:t>Agrobiznesa</w:t>
      </w:r>
      <w:proofErr w:type="spellEnd"/>
      <w:r>
        <w:rPr>
          <w:rFonts w:eastAsia="Calibri"/>
        </w:rPr>
        <w:t xml:space="preserve"> koledžas programmu piedāvājums attiecināms uz horizontālajām </w:t>
      </w:r>
      <w:r w:rsidR="00AD5B70">
        <w:rPr>
          <w:rFonts w:eastAsia="Calibri"/>
        </w:rPr>
        <w:t>kompetencēm</w:t>
      </w:r>
      <w:r>
        <w:rPr>
          <w:rFonts w:eastAsia="Calibri"/>
        </w:rPr>
        <w:t xml:space="preserve">, kā, piemēram, grāmatvedība, informācijas tehnoloģijas, komercdarbība, kas </w:t>
      </w:r>
      <w:r w:rsidRPr="003B651B">
        <w:rPr>
          <w:noProof/>
          <w:szCs w:val="24"/>
          <w:lang w:eastAsia="lv-LV"/>
        </w:rPr>
        <w:t xml:space="preserve">nepieciešamas visu tautsaimniecības </w:t>
      </w:r>
      <w:r>
        <w:rPr>
          <w:noProof/>
          <w:szCs w:val="24"/>
          <w:lang w:eastAsia="lv-LV"/>
        </w:rPr>
        <w:t xml:space="preserve">sektoru un </w:t>
      </w:r>
      <w:r w:rsidRPr="003B651B">
        <w:rPr>
          <w:noProof/>
          <w:szCs w:val="24"/>
          <w:lang w:eastAsia="lv-LV"/>
        </w:rPr>
        <w:t>nozaru uzņēmumiem</w:t>
      </w:r>
      <w:r>
        <w:rPr>
          <w:noProof/>
          <w:szCs w:val="24"/>
          <w:lang w:eastAsia="lv-LV"/>
        </w:rPr>
        <w:t>. Līdz ar to Jēkabpils Agrobiznesa koledža dod nozīmīgu</w:t>
      </w:r>
      <w:r w:rsidR="001C23CF">
        <w:rPr>
          <w:noProof/>
          <w:szCs w:val="24"/>
          <w:lang w:eastAsia="lv-LV"/>
        </w:rPr>
        <w:t xml:space="preserve"> </w:t>
      </w:r>
      <w:r w:rsidR="005F7561">
        <w:rPr>
          <w:noProof/>
          <w:szCs w:val="24"/>
          <w:lang w:eastAsia="lv-LV"/>
        </w:rPr>
        <w:t>ieguldījumu</w:t>
      </w:r>
      <w:r>
        <w:rPr>
          <w:noProof/>
          <w:szCs w:val="24"/>
          <w:lang w:eastAsia="lv-LV"/>
        </w:rPr>
        <w:t xml:space="preserve">, nodrošinot </w:t>
      </w:r>
      <w:r w:rsidR="005F7561">
        <w:rPr>
          <w:noProof/>
          <w:szCs w:val="24"/>
          <w:lang w:eastAsia="lv-LV"/>
        </w:rPr>
        <w:t xml:space="preserve">speciālistu piedāvājumu, kas atbilst reģiona vajadzībām.  </w:t>
      </w:r>
    </w:p>
    <w:p w:rsidR="00723D60" w:rsidRPr="00332E08" w:rsidRDefault="00723D60" w:rsidP="00D42476">
      <w:pPr>
        <w:ind w:firstLine="360"/>
        <w:rPr>
          <w:rFonts w:eastAsia="Calibri"/>
        </w:rPr>
      </w:pPr>
    </w:p>
    <w:p w:rsidR="00D42476" w:rsidRPr="00D42476" w:rsidRDefault="00D42476" w:rsidP="003F34D8">
      <w:pPr>
        <w:pStyle w:val="Heading2"/>
        <w:rPr>
          <w:szCs w:val="26"/>
        </w:rPr>
      </w:pPr>
      <w:bookmarkStart w:id="10" w:name="_Toc445290189"/>
      <w:r w:rsidRPr="00D42476">
        <w:t>1.3. Darba tirgus prognozes kontekstā ar augstākās izglītības piedāvājumu</w:t>
      </w:r>
      <w:bookmarkEnd w:id="10"/>
      <w:r w:rsidRPr="00D42476">
        <w:t xml:space="preserve"> </w:t>
      </w:r>
    </w:p>
    <w:p w:rsidR="00D42476" w:rsidRPr="00D42476" w:rsidRDefault="00D42476" w:rsidP="00D42476">
      <w:pPr>
        <w:ind w:firstLine="567"/>
        <w:rPr>
          <w:color w:val="365F91" w:themeColor="accent1" w:themeShade="BF"/>
          <w:szCs w:val="24"/>
        </w:rPr>
      </w:pPr>
    </w:p>
    <w:p w:rsidR="00D42476" w:rsidRPr="00A349C3" w:rsidRDefault="00D42476" w:rsidP="00373431">
      <w:pPr>
        <w:ind w:firstLine="567"/>
        <w:rPr>
          <w:szCs w:val="24"/>
        </w:rPr>
      </w:pPr>
      <w:r w:rsidRPr="00A349C3">
        <w:rPr>
          <w:szCs w:val="24"/>
        </w:rPr>
        <w:t>Viens no valsts ilgtspējī</w:t>
      </w:r>
      <w:r w:rsidR="000423B7">
        <w:rPr>
          <w:szCs w:val="24"/>
        </w:rPr>
        <w:t xml:space="preserve">gas attīstības nosacījumiem ir </w:t>
      </w:r>
      <w:r w:rsidRPr="00A349C3">
        <w:rPr>
          <w:szCs w:val="24"/>
        </w:rPr>
        <w:t xml:space="preserve">elastīga augstākās izglītības sistēma, kas spēj vidējā un ilgtermiņā nodrošināt pieprasījumu pēc atbilstošas kvalifikācijas speciālistiem saskaņā ar tautsaimniecības attīstības tendencēm. </w:t>
      </w:r>
    </w:p>
    <w:p w:rsidR="00820F72" w:rsidRDefault="00D42476">
      <w:pPr>
        <w:autoSpaceDE w:val="0"/>
        <w:autoSpaceDN w:val="0"/>
        <w:adjustRightInd w:val="0"/>
        <w:ind w:firstLine="567"/>
        <w:rPr>
          <w:szCs w:val="28"/>
        </w:rPr>
      </w:pPr>
      <w:r>
        <w:rPr>
          <w:szCs w:val="28"/>
        </w:rPr>
        <w:t>Izvērtējot Latvijas augstākās izglītības piedāvājumu, var secināt, ka š</w:t>
      </w:r>
      <w:r w:rsidRPr="001B4C5B">
        <w:rPr>
          <w:szCs w:val="28"/>
        </w:rPr>
        <w:t xml:space="preserve">obrīd augstākās izglītības nozaru struktūra </w:t>
      </w:r>
      <w:r>
        <w:rPr>
          <w:szCs w:val="28"/>
        </w:rPr>
        <w:t xml:space="preserve">(studējošo sadalījums pa izglītības tematiskajām grupām) </w:t>
      </w:r>
      <w:r w:rsidRPr="001B4C5B">
        <w:rPr>
          <w:szCs w:val="28"/>
        </w:rPr>
        <w:t>neatbilst valsts attīstības vajadzībām, jo ir vērojams pārlieku liels</w:t>
      </w:r>
      <w:r>
        <w:rPr>
          <w:szCs w:val="28"/>
        </w:rPr>
        <w:t xml:space="preserve"> </w:t>
      </w:r>
      <w:r w:rsidRPr="001B4C5B">
        <w:rPr>
          <w:szCs w:val="28"/>
        </w:rPr>
        <w:t>studējošo īpatsvars sociālajās un humanitārajās nozarēs, bet nepietiekams – inženierzinātnēs, dabas zinātnēs.</w:t>
      </w:r>
    </w:p>
    <w:p w:rsidR="00820F72" w:rsidRDefault="00D42476">
      <w:pPr>
        <w:pStyle w:val="Default"/>
        <w:ind w:firstLine="567"/>
        <w:jc w:val="both"/>
      </w:pPr>
      <w:r w:rsidRPr="00280C38">
        <w:rPr>
          <w:szCs w:val="28"/>
        </w:rPr>
        <w:t xml:space="preserve">Par nepieciešamību veikt izmaiņas </w:t>
      </w:r>
      <w:r>
        <w:rPr>
          <w:szCs w:val="28"/>
        </w:rPr>
        <w:t xml:space="preserve">augstākās izglītības nozaru struktūrā </w:t>
      </w:r>
      <w:r w:rsidRPr="00280C38">
        <w:rPr>
          <w:szCs w:val="28"/>
        </w:rPr>
        <w:t xml:space="preserve">liecina </w:t>
      </w:r>
      <w:r>
        <w:rPr>
          <w:szCs w:val="28"/>
        </w:rPr>
        <w:t>Ekonomikas ministrijas 2015.gada „Informatīvajā ziņojumā par darba tirgus vidēja un ilgtermiņa prognozēm”</w:t>
      </w:r>
      <w:r w:rsidRPr="00280C38">
        <w:rPr>
          <w:rStyle w:val="FootnoteReference"/>
          <w:szCs w:val="28"/>
        </w:rPr>
        <w:footnoteReference w:id="16"/>
      </w:r>
      <w:r w:rsidRPr="00280C38">
        <w:rPr>
          <w:szCs w:val="28"/>
        </w:rPr>
        <w:t xml:space="preserve"> </w:t>
      </w:r>
      <w:r>
        <w:rPr>
          <w:szCs w:val="28"/>
        </w:rPr>
        <w:t xml:space="preserve">(turpmāk – EM informatīvais ziņojums) atspoguļotie </w:t>
      </w:r>
      <w:r w:rsidRPr="00280C38">
        <w:rPr>
          <w:szCs w:val="28"/>
        </w:rPr>
        <w:t>rezultāti</w:t>
      </w:r>
      <w:r>
        <w:rPr>
          <w:szCs w:val="28"/>
        </w:rPr>
        <w:t>.</w:t>
      </w:r>
    </w:p>
    <w:p w:rsidR="00820F72" w:rsidRDefault="00D42476">
      <w:pPr>
        <w:pStyle w:val="Default"/>
        <w:ind w:firstLine="567"/>
        <w:jc w:val="both"/>
      </w:pPr>
      <w:r w:rsidRPr="00DB1230">
        <w:t xml:space="preserve">Saglabājoties līdzšinējai izglītības piedāvājuma struktūrai, vislielākais darbaspēka pieaugums </w:t>
      </w:r>
      <w:r w:rsidRPr="009C7D7F">
        <w:rPr>
          <w:bCs/>
        </w:rPr>
        <w:t>ar augstāko izglītību</w:t>
      </w:r>
      <w:r w:rsidRPr="00DB1230">
        <w:rPr>
          <w:b/>
          <w:bCs/>
        </w:rPr>
        <w:t xml:space="preserve"> </w:t>
      </w:r>
      <w:r w:rsidRPr="00DB1230">
        <w:t xml:space="preserve">sagaidāms sociālo zinātņu, </w:t>
      </w:r>
      <w:proofErr w:type="spellStart"/>
      <w:r w:rsidRPr="00DB1230">
        <w:t>komerczinību</w:t>
      </w:r>
      <w:proofErr w:type="spellEnd"/>
      <w:r w:rsidRPr="00DB1230">
        <w:t xml:space="preserve"> un tiesību zinību jomās. Atbilstošās kvalifikācijas darbaspēka piedāvājuma pieaugums veidos vairāk nekā pusi no kopējā darbaspēka pieauguma ar augstāko izglītību</w:t>
      </w:r>
      <w:r>
        <w:t xml:space="preserve">. </w:t>
      </w:r>
      <w:r w:rsidRPr="00DB1230">
        <w:t>Vienlaikus atsevišķās augstākās izglītības tematiskajās grupās</w:t>
      </w:r>
      <w:r>
        <w:t>, tajā skaitā inženierzinātnēs,</w:t>
      </w:r>
      <w:r w:rsidRPr="00DB1230">
        <w:t xml:space="preserve"> ir sagaidāms darbaspēka piedāvājuma samazinājums, ko pamatā noteiks darbaspēka novecošanās un pakāpeniska iziešana no darba tirgus.</w:t>
      </w:r>
    </w:p>
    <w:p w:rsidR="00D42476" w:rsidRPr="00FE13E6" w:rsidRDefault="00164887" w:rsidP="000423B7">
      <w:pPr>
        <w:spacing w:before="120"/>
        <w:ind w:firstLine="720"/>
        <w:rPr>
          <w:szCs w:val="24"/>
          <w:lang w:eastAsia="lv-LV"/>
        </w:rPr>
      </w:pPr>
      <w:r>
        <w:rPr>
          <w:szCs w:val="24"/>
          <w:lang w:eastAsia="lv-LV"/>
        </w:rPr>
        <w:t xml:space="preserve">EM </w:t>
      </w:r>
      <w:r w:rsidR="00D42476" w:rsidRPr="00164887">
        <w:rPr>
          <w:iCs/>
          <w:szCs w:val="24"/>
          <w:lang w:eastAsia="lv-LV"/>
        </w:rPr>
        <w:t>Informatīvajā ziņojumā</w:t>
      </w:r>
      <w:r w:rsidR="00D42476" w:rsidRPr="00FE13E6">
        <w:rPr>
          <w:i/>
          <w:iCs/>
          <w:szCs w:val="24"/>
          <w:lang w:eastAsia="lv-LV"/>
        </w:rPr>
        <w:t xml:space="preserve"> </w:t>
      </w:r>
      <w:r w:rsidR="00D42476" w:rsidRPr="00FE13E6">
        <w:rPr>
          <w:szCs w:val="24"/>
          <w:lang w:eastAsia="lv-LV"/>
        </w:rPr>
        <w:t>ir identificējusi galvenās darba tirgus disproporcijas:</w:t>
      </w:r>
    </w:p>
    <w:p w:rsidR="00D42476" w:rsidRPr="008B2087" w:rsidRDefault="00D42476" w:rsidP="000C7B95">
      <w:pPr>
        <w:pStyle w:val="Default"/>
        <w:numPr>
          <w:ilvl w:val="0"/>
          <w:numId w:val="43"/>
        </w:numPr>
        <w:jc w:val="both"/>
      </w:pPr>
      <w:r>
        <w:rPr>
          <w:b/>
        </w:rPr>
        <w:t>n</w:t>
      </w:r>
      <w:r w:rsidRPr="008B2087">
        <w:rPr>
          <w:b/>
        </w:rPr>
        <w:t>eatbilstība starp augstākās izglītības piedāvājumu un darba tirgus pieprasījumu</w:t>
      </w:r>
      <w:r>
        <w:t xml:space="preserve">. </w:t>
      </w:r>
      <w:r w:rsidRPr="008B2087">
        <w:t xml:space="preserve">Turpmākajos gados palielināsies speciālistu pārpalikums humanitāro un sociālo zinātņu jomās (2020.gadā pārpalikums ~17 tūkst.), vienlaikus iztrūkums varētu veidoties pēc dabaszinātņu, IKT un inženierzinātņu speciālistiem (2020.gadā iztrūkums ~14 tūkst.); </w:t>
      </w:r>
    </w:p>
    <w:p w:rsidR="00D42476" w:rsidRPr="008B2087" w:rsidRDefault="00D42476" w:rsidP="000C7B95">
      <w:pPr>
        <w:pStyle w:val="Default"/>
        <w:numPr>
          <w:ilvl w:val="0"/>
          <w:numId w:val="43"/>
        </w:numPr>
        <w:jc w:val="both"/>
      </w:pPr>
      <w:r w:rsidRPr="008B2087">
        <w:rPr>
          <w:b/>
          <w:bCs/>
        </w:rPr>
        <w:t>iztrūkums pēc darbaspēka ar vidējo profesionālo izglītību</w:t>
      </w:r>
      <w:r w:rsidRPr="008B2087">
        <w:t xml:space="preserve">. Pēdējo 10 gadu laikā ekonomiski aktīvo iedzīvotāju skaits ar vidējo profesionālo izglītību sarucis par piektdaļu, līdzīgos tempos samazinājums būs vērojams arī turpmāk; </w:t>
      </w:r>
    </w:p>
    <w:p w:rsidR="00D42476" w:rsidRPr="008B2087" w:rsidRDefault="00D42476" w:rsidP="000C7B95">
      <w:pPr>
        <w:pStyle w:val="Default"/>
        <w:numPr>
          <w:ilvl w:val="0"/>
          <w:numId w:val="43"/>
        </w:numPr>
        <w:jc w:val="both"/>
      </w:pPr>
      <w:r w:rsidRPr="008B2087">
        <w:rPr>
          <w:b/>
          <w:bCs/>
        </w:rPr>
        <w:t>liels jauniešu īpatsvars, kas nonāk darba tirgū bez konkrētas specialitātes un prasmēm</w:t>
      </w:r>
      <w:r w:rsidRPr="008B2087">
        <w:t xml:space="preserve">. Aptuveni 30% no vispārējo vidējo izglītību beigušiem neturpina mācības augstākās izglītības līmenī, savukārt pieprasījums pēc šāda darbaspēka samazinās; </w:t>
      </w:r>
    </w:p>
    <w:p w:rsidR="00D42476" w:rsidRPr="0076518B" w:rsidRDefault="00D42476" w:rsidP="000C7B95">
      <w:pPr>
        <w:pStyle w:val="Default"/>
        <w:numPr>
          <w:ilvl w:val="0"/>
          <w:numId w:val="43"/>
        </w:numPr>
        <w:jc w:val="both"/>
      </w:pPr>
      <w:r w:rsidRPr="008B2087">
        <w:rPr>
          <w:b/>
          <w:bCs/>
        </w:rPr>
        <w:t>liels mazkvalificētā darbaspēka īpatsvars</w:t>
      </w:r>
      <w:r w:rsidRPr="008B2087">
        <w:t>. 2014.gadā aptuveni 9% no ekonomiski aktīvajiem iedzīvotājiem bija pamatizglītība vai nepabeigta pamatizglītība, turklāt nav sagaidāms, ka tuvākā nākotnē to īpatsvars varētu samazināties.</w:t>
      </w:r>
      <w:r>
        <w:rPr>
          <w:rStyle w:val="FootnoteReference"/>
        </w:rPr>
        <w:footnoteReference w:id="17"/>
      </w:r>
    </w:p>
    <w:p w:rsidR="00D42476" w:rsidRPr="007F3F75" w:rsidRDefault="00D42476" w:rsidP="00D42476">
      <w:pPr>
        <w:pStyle w:val="Default"/>
        <w:spacing w:before="120"/>
        <w:ind w:firstLine="567"/>
        <w:jc w:val="both"/>
      </w:pPr>
      <w:r w:rsidRPr="007F3F75">
        <w:t>Balstoties uz tautsaimniecības izaugsmes un demogrāfijas scenārijiem, EM ir i</w:t>
      </w:r>
      <w:r>
        <w:t>z</w:t>
      </w:r>
      <w:r w:rsidRPr="007F3F75">
        <w:t xml:space="preserve">strādājusi darbaspēka piedāvājuma </w:t>
      </w:r>
      <w:r>
        <w:t xml:space="preserve">un pieprasījuma prognozes ar augstāko un vidējo izglītību sadalījumā pa izglītības tematiskajām grupām uz 2020.gadu. </w:t>
      </w:r>
    </w:p>
    <w:p w:rsidR="009266D1" w:rsidRDefault="009266D1" w:rsidP="00D42476">
      <w:pPr>
        <w:pStyle w:val="Default"/>
        <w:spacing w:line="360" w:lineRule="auto"/>
        <w:ind w:firstLine="567"/>
        <w:jc w:val="right"/>
      </w:pPr>
      <w:r>
        <w:br w:type="page"/>
      </w:r>
    </w:p>
    <w:p w:rsidR="00D42476" w:rsidRPr="00834B53" w:rsidRDefault="00D42476" w:rsidP="00D42476">
      <w:pPr>
        <w:pStyle w:val="Default"/>
        <w:spacing w:line="360" w:lineRule="auto"/>
        <w:ind w:firstLine="567"/>
        <w:jc w:val="right"/>
      </w:pPr>
      <w:r w:rsidRPr="00834B53">
        <w:lastRenderedPageBreak/>
        <w:t>1.</w:t>
      </w:r>
      <w:r w:rsidR="000C7B95" w:rsidRPr="00834B53">
        <w:t>5</w:t>
      </w:r>
      <w:r w:rsidRPr="00834B53">
        <w:t>.attēls</w:t>
      </w:r>
    </w:p>
    <w:p w:rsidR="00D42476" w:rsidRDefault="00D42476" w:rsidP="00D42476">
      <w:pPr>
        <w:spacing w:after="240"/>
        <w:jc w:val="center"/>
        <w:rPr>
          <w:sz w:val="23"/>
          <w:szCs w:val="23"/>
        </w:rPr>
      </w:pPr>
      <w:r w:rsidRPr="007B1682">
        <w:rPr>
          <w:rFonts w:ascii="Segoe UI Semibold" w:hAnsi="Segoe UI Semibold"/>
          <w:b/>
          <w:w w:val="80"/>
          <w:szCs w:val="26"/>
        </w:rPr>
        <w:t xml:space="preserve">Darbaspēka piedāvājuma un pieprasījuma prognozes </w:t>
      </w:r>
      <w:r w:rsidRPr="007B1682">
        <w:rPr>
          <w:rFonts w:ascii="Segoe UI Semibold" w:hAnsi="Segoe UI Semibold"/>
          <w:b/>
          <w:w w:val="80"/>
          <w:szCs w:val="26"/>
          <w:u w:val="single"/>
        </w:rPr>
        <w:t xml:space="preserve">ar augstāko </w:t>
      </w:r>
      <w:r w:rsidRPr="007B1682">
        <w:rPr>
          <w:rFonts w:ascii="Segoe UI Semibold" w:hAnsi="Segoe UI Semibold"/>
          <w:b/>
          <w:bCs/>
          <w:color w:val="000000"/>
          <w:w w:val="80"/>
          <w:szCs w:val="26"/>
          <w:u w:val="single"/>
        </w:rPr>
        <w:t>izglītību</w:t>
      </w:r>
      <w:r w:rsidRPr="007B1682">
        <w:rPr>
          <w:rFonts w:ascii="Segoe UI Semibold" w:hAnsi="Segoe UI Semibold"/>
          <w:b/>
          <w:bCs/>
          <w:color w:val="000000"/>
          <w:w w:val="80"/>
          <w:szCs w:val="26"/>
        </w:rPr>
        <w:t xml:space="preserve"> </w:t>
      </w:r>
      <w:r>
        <w:rPr>
          <w:rFonts w:ascii="Segoe UI Semibold" w:hAnsi="Segoe UI Semibold"/>
          <w:b/>
          <w:bCs/>
          <w:color w:val="000000"/>
          <w:w w:val="80"/>
          <w:szCs w:val="26"/>
        </w:rPr>
        <w:br/>
      </w:r>
      <w:r w:rsidRPr="007B1682">
        <w:rPr>
          <w:rFonts w:ascii="Segoe UI Semibold" w:hAnsi="Segoe UI Semibold"/>
          <w:b/>
          <w:bCs/>
          <w:color w:val="000000"/>
          <w:w w:val="80"/>
          <w:szCs w:val="26"/>
        </w:rPr>
        <w:t>sadalījumā pa izglītības tematiskajām grupām</w:t>
      </w:r>
      <w:r>
        <w:rPr>
          <w:rFonts w:ascii="Segoe UI Semibold" w:hAnsi="Segoe UI Semibold"/>
          <w:b/>
          <w:bCs/>
          <w:color w:val="000000"/>
          <w:w w:val="80"/>
          <w:szCs w:val="26"/>
        </w:rPr>
        <w:br/>
      </w:r>
      <w:r w:rsidRPr="007B1682">
        <w:rPr>
          <w:rFonts w:ascii="Segoe UI Semibold" w:hAnsi="Segoe UI Semibold"/>
          <w:bCs/>
          <w:color w:val="000000"/>
          <w:w w:val="80"/>
          <w:sz w:val="20"/>
        </w:rPr>
        <w:t>procentos, pieprasījums pret piedāvājumu</w:t>
      </w:r>
      <w:r>
        <w:rPr>
          <w:rFonts w:ascii="Segoe UI Semibold" w:hAnsi="Segoe UI Semibold"/>
          <w:bCs/>
          <w:color w:val="000000"/>
          <w:w w:val="80"/>
          <w:sz w:val="20"/>
        </w:rPr>
        <w:t xml:space="preserve"> 2020.gadā</w:t>
      </w:r>
    </w:p>
    <w:p w:rsidR="00D42476" w:rsidRDefault="00D42476" w:rsidP="00D42476">
      <w:pPr>
        <w:pStyle w:val="Default"/>
        <w:spacing w:line="360" w:lineRule="auto"/>
        <w:ind w:firstLine="567"/>
        <w:jc w:val="both"/>
        <w:rPr>
          <w:sz w:val="23"/>
          <w:szCs w:val="23"/>
        </w:rPr>
      </w:pPr>
      <w:r w:rsidRPr="007B1682">
        <w:rPr>
          <w:rFonts w:ascii="Segoe UI Semibold" w:hAnsi="Segoe UI Semibold"/>
          <w:bCs/>
          <w:iCs/>
          <w:noProof/>
          <w:w w:val="80"/>
          <w:szCs w:val="26"/>
        </w:rPr>
        <w:drawing>
          <wp:inline distT="0" distB="0" distL="0" distR="0">
            <wp:extent cx="5760085" cy="21600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8080"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
        <w:gridCol w:w="993"/>
        <w:gridCol w:w="992"/>
        <w:gridCol w:w="1422"/>
        <w:gridCol w:w="1134"/>
        <w:gridCol w:w="704"/>
        <w:gridCol w:w="1276"/>
        <w:gridCol w:w="567"/>
      </w:tblGrid>
      <w:tr w:rsidR="00D42476" w:rsidTr="00164887">
        <w:trPr>
          <w:cantSplit/>
          <w:trHeight w:val="1868"/>
        </w:trPr>
        <w:tc>
          <w:tcPr>
            <w:tcW w:w="992" w:type="dxa"/>
            <w:textDirection w:val="btLr"/>
          </w:tcPr>
          <w:p w:rsidR="00D42476" w:rsidRDefault="00D42476" w:rsidP="00D42476">
            <w:pPr>
              <w:ind w:left="113" w:right="113"/>
              <w:rPr>
                <w:rFonts w:ascii="Segoe UI Semibold" w:hAnsi="Segoe UI Semibold"/>
                <w:bCs/>
                <w:iCs/>
                <w:w w:val="80"/>
                <w:szCs w:val="26"/>
              </w:rPr>
            </w:pPr>
            <w:r>
              <w:rPr>
                <w:rFonts w:ascii="Segoe UI Semibold" w:hAnsi="Segoe UI Semibold"/>
                <w:bCs/>
                <w:iCs/>
                <w:w w:val="80"/>
                <w:szCs w:val="26"/>
              </w:rPr>
              <w:t>Izglītība</w:t>
            </w:r>
          </w:p>
        </w:tc>
        <w:tc>
          <w:tcPr>
            <w:tcW w:w="993" w:type="dxa"/>
            <w:textDirection w:val="btLr"/>
          </w:tcPr>
          <w:p w:rsidR="00D42476" w:rsidRDefault="00D42476" w:rsidP="00D42476">
            <w:pPr>
              <w:ind w:left="113" w:right="113"/>
              <w:rPr>
                <w:rFonts w:ascii="Segoe UI Semibold" w:hAnsi="Segoe UI Semibold"/>
                <w:bCs/>
                <w:iCs/>
                <w:w w:val="80"/>
                <w:szCs w:val="26"/>
              </w:rPr>
            </w:pPr>
            <w:r>
              <w:rPr>
                <w:rFonts w:ascii="Segoe UI Semibold" w:hAnsi="Segoe UI Semibold"/>
                <w:bCs/>
                <w:iCs/>
                <w:w w:val="80"/>
                <w:szCs w:val="26"/>
              </w:rPr>
              <w:t>Humanitārās zinātnes un māksla</w:t>
            </w:r>
          </w:p>
        </w:tc>
        <w:tc>
          <w:tcPr>
            <w:tcW w:w="992" w:type="dxa"/>
            <w:textDirection w:val="btLr"/>
          </w:tcPr>
          <w:p w:rsidR="00D42476" w:rsidRDefault="00D42476" w:rsidP="00D42476">
            <w:pPr>
              <w:ind w:left="113" w:right="113"/>
              <w:rPr>
                <w:rFonts w:ascii="Segoe UI Semibold" w:hAnsi="Segoe UI Semibold"/>
                <w:bCs/>
                <w:iCs/>
                <w:w w:val="80"/>
                <w:szCs w:val="26"/>
              </w:rPr>
            </w:pPr>
            <w:r>
              <w:rPr>
                <w:rFonts w:ascii="Segoe UI Semibold" w:hAnsi="Segoe UI Semibold"/>
                <w:bCs/>
                <w:iCs/>
                <w:w w:val="80"/>
                <w:szCs w:val="26"/>
              </w:rPr>
              <w:t xml:space="preserve">Sociālās zinātnes,  </w:t>
            </w:r>
            <w:proofErr w:type="spellStart"/>
            <w:r>
              <w:rPr>
                <w:rFonts w:ascii="Segoe UI Semibold" w:hAnsi="Segoe UI Semibold"/>
                <w:bCs/>
                <w:iCs/>
                <w:w w:val="80"/>
                <w:szCs w:val="26"/>
              </w:rPr>
              <w:t>komerczinības</w:t>
            </w:r>
            <w:proofErr w:type="spellEnd"/>
            <w:r>
              <w:rPr>
                <w:rFonts w:ascii="Segoe UI Semibold" w:hAnsi="Segoe UI Semibold"/>
                <w:bCs/>
                <w:iCs/>
                <w:w w:val="80"/>
                <w:szCs w:val="26"/>
              </w:rPr>
              <w:t xml:space="preserve"> un tiesības</w:t>
            </w:r>
          </w:p>
        </w:tc>
        <w:tc>
          <w:tcPr>
            <w:tcW w:w="1422" w:type="dxa"/>
            <w:textDirection w:val="btLr"/>
          </w:tcPr>
          <w:p w:rsidR="00D42476" w:rsidRDefault="00D42476" w:rsidP="00D42476">
            <w:pPr>
              <w:ind w:left="113" w:right="113"/>
              <w:rPr>
                <w:rFonts w:ascii="Segoe UI Semibold" w:hAnsi="Segoe UI Semibold"/>
                <w:bCs/>
                <w:iCs/>
                <w:w w:val="80"/>
                <w:szCs w:val="26"/>
              </w:rPr>
            </w:pPr>
            <w:r>
              <w:rPr>
                <w:rFonts w:ascii="Segoe UI Semibold" w:hAnsi="Segoe UI Semibold"/>
                <w:bCs/>
                <w:iCs/>
                <w:w w:val="80"/>
                <w:szCs w:val="26"/>
              </w:rPr>
              <w:t>Dabas zinātnes, matemātika un informācijas tehnoloģijas</w:t>
            </w:r>
          </w:p>
        </w:tc>
        <w:tc>
          <w:tcPr>
            <w:tcW w:w="1134" w:type="dxa"/>
            <w:textDirection w:val="btLr"/>
          </w:tcPr>
          <w:p w:rsidR="00D42476" w:rsidRDefault="00D42476" w:rsidP="00D42476">
            <w:pPr>
              <w:ind w:left="113" w:right="113"/>
              <w:rPr>
                <w:rFonts w:ascii="Segoe UI Semibold" w:hAnsi="Segoe UI Semibold"/>
                <w:bCs/>
                <w:iCs/>
                <w:w w:val="80"/>
                <w:szCs w:val="26"/>
              </w:rPr>
            </w:pPr>
            <w:r>
              <w:rPr>
                <w:rFonts w:ascii="Segoe UI Semibold" w:hAnsi="Segoe UI Semibold"/>
                <w:bCs/>
                <w:iCs/>
                <w:w w:val="80"/>
                <w:szCs w:val="26"/>
              </w:rPr>
              <w:t>Inženierzinātnes, ražošana un būvniecība</w:t>
            </w:r>
          </w:p>
        </w:tc>
        <w:tc>
          <w:tcPr>
            <w:tcW w:w="704" w:type="dxa"/>
            <w:textDirection w:val="btLr"/>
          </w:tcPr>
          <w:p w:rsidR="00D42476" w:rsidRDefault="00D42476" w:rsidP="00D42476">
            <w:pPr>
              <w:ind w:left="113" w:right="113"/>
              <w:rPr>
                <w:rFonts w:ascii="Segoe UI Semibold" w:hAnsi="Segoe UI Semibold"/>
                <w:bCs/>
                <w:iCs/>
                <w:w w:val="80"/>
                <w:szCs w:val="26"/>
              </w:rPr>
            </w:pPr>
            <w:r>
              <w:rPr>
                <w:rFonts w:ascii="Segoe UI Semibold" w:hAnsi="Segoe UI Semibold"/>
                <w:bCs/>
                <w:iCs/>
                <w:w w:val="80"/>
                <w:szCs w:val="26"/>
              </w:rPr>
              <w:t>Lauksaimniecība</w:t>
            </w:r>
          </w:p>
        </w:tc>
        <w:tc>
          <w:tcPr>
            <w:tcW w:w="1276" w:type="dxa"/>
            <w:textDirection w:val="btLr"/>
          </w:tcPr>
          <w:p w:rsidR="00D42476" w:rsidRDefault="00D42476" w:rsidP="00D42476">
            <w:pPr>
              <w:ind w:left="113" w:right="113"/>
              <w:rPr>
                <w:rFonts w:ascii="Segoe UI Semibold" w:hAnsi="Segoe UI Semibold"/>
                <w:bCs/>
                <w:iCs/>
                <w:w w:val="80"/>
                <w:szCs w:val="26"/>
              </w:rPr>
            </w:pPr>
            <w:r>
              <w:rPr>
                <w:rFonts w:ascii="Segoe UI Semibold" w:hAnsi="Segoe UI Semibold"/>
                <w:bCs/>
                <w:iCs/>
                <w:w w:val="80"/>
                <w:szCs w:val="26"/>
              </w:rPr>
              <w:t>Veselības aprūpe un sociālā labklājība</w:t>
            </w:r>
          </w:p>
          <w:p w:rsidR="00D42476" w:rsidRDefault="00D42476" w:rsidP="00D42476">
            <w:pPr>
              <w:ind w:left="113" w:right="113"/>
              <w:rPr>
                <w:rFonts w:ascii="Segoe UI Semibold" w:hAnsi="Segoe UI Semibold"/>
                <w:bCs/>
                <w:iCs/>
                <w:w w:val="80"/>
                <w:szCs w:val="26"/>
              </w:rPr>
            </w:pPr>
          </w:p>
        </w:tc>
        <w:tc>
          <w:tcPr>
            <w:tcW w:w="567" w:type="dxa"/>
            <w:textDirection w:val="btLr"/>
          </w:tcPr>
          <w:p w:rsidR="00D42476" w:rsidRDefault="00D42476" w:rsidP="00D42476">
            <w:pPr>
              <w:ind w:left="113" w:right="113"/>
              <w:rPr>
                <w:rFonts w:ascii="Segoe UI Semibold" w:hAnsi="Segoe UI Semibold"/>
                <w:bCs/>
                <w:iCs/>
                <w:w w:val="80"/>
                <w:szCs w:val="26"/>
              </w:rPr>
            </w:pPr>
            <w:r>
              <w:rPr>
                <w:rFonts w:ascii="Segoe UI Semibold" w:hAnsi="Segoe UI Semibold"/>
                <w:bCs/>
                <w:iCs/>
                <w:w w:val="80"/>
                <w:szCs w:val="26"/>
              </w:rPr>
              <w:t>Pakalpojumi</w:t>
            </w:r>
          </w:p>
        </w:tc>
      </w:tr>
    </w:tbl>
    <w:p w:rsidR="00D42476" w:rsidRDefault="00D42476" w:rsidP="00D42476">
      <w:pPr>
        <w:tabs>
          <w:tab w:val="left" w:pos="7088"/>
        </w:tabs>
        <w:spacing w:after="120"/>
        <w:ind w:right="-567"/>
        <w:rPr>
          <w:i/>
          <w:sz w:val="20"/>
        </w:rPr>
      </w:pPr>
    </w:p>
    <w:p w:rsidR="00D42476" w:rsidRPr="000C7B95" w:rsidRDefault="00D42476" w:rsidP="00D42476">
      <w:pPr>
        <w:tabs>
          <w:tab w:val="left" w:pos="7088"/>
        </w:tabs>
        <w:spacing w:after="120"/>
        <w:ind w:right="-567"/>
        <w:rPr>
          <w:i/>
          <w:szCs w:val="24"/>
        </w:rPr>
      </w:pPr>
      <w:r w:rsidRPr="000C7B95">
        <w:rPr>
          <w:i/>
          <w:szCs w:val="24"/>
        </w:rPr>
        <w:t>Avots: EM informatīvais ziņojums, 62.lpp.</w:t>
      </w:r>
    </w:p>
    <w:p w:rsidR="00D42476" w:rsidRPr="00834B53" w:rsidRDefault="00D42476" w:rsidP="00D42476">
      <w:pPr>
        <w:spacing w:after="240"/>
        <w:ind w:firstLine="567"/>
        <w:rPr>
          <w:bCs/>
          <w:iCs/>
          <w:color w:val="000000" w:themeColor="text1"/>
          <w:szCs w:val="24"/>
        </w:rPr>
      </w:pPr>
      <w:r w:rsidRPr="00834B53">
        <w:rPr>
          <w:bCs/>
          <w:iCs/>
          <w:color w:val="000000" w:themeColor="text1"/>
          <w:szCs w:val="24"/>
        </w:rPr>
        <w:t>Kā rāda 1.</w:t>
      </w:r>
      <w:r w:rsidR="000C7B95" w:rsidRPr="00834B53">
        <w:rPr>
          <w:bCs/>
          <w:iCs/>
          <w:color w:val="000000" w:themeColor="text1"/>
          <w:szCs w:val="24"/>
        </w:rPr>
        <w:t>5</w:t>
      </w:r>
      <w:r w:rsidRPr="00834B53">
        <w:rPr>
          <w:bCs/>
          <w:iCs/>
          <w:color w:val="000000" w:themeColor="text1"/>
          <w:szCs w:val="24"/>
        </w:rPr>
        <w:t xml:space="preserve">.attēla dati, saglabājoties esošai sagatavošanas intensitātei, būtiskākais darbaspēka pārpalikums </w:t>
      </w:r>
      <w:r w:rsidRPr="00834B53">
        <w:rPr>
          <w:b/>
          <w:bCs/>
          <w:iCs/>
          <w:color w:val="000000" w:themeColor="text1"/>
          <w:szCs w:val="24"/>
        </w:rPr>
        <w:t xml:space="preserve">augstākās izglītības grupā </w:t>
      </w:r>
      <w:r w:rsidRPr="00834B53">
        <w:rPr>
          <w:bCs/>
          <w:iCs/>
          <w:color w:val="000000" w:themeColor="text1"/>
          <w:szCs w:val="24"/>
        </w:rPr>
        <w:t>sagaidāms starp iedzīvotājiem ar izglītību humanitārajā un pakalpojumu jomā. Nozīmīgs darbaspēka piedāvājuma pārsvars pār pieprasījumu būs vērojams arī sociālajās, komerc</w:t>
      </w:r>
      <w:r w:rsidR="00042BB8">
        <w:rPr>
          <w:bCs/>
          <w:iCs/>
          <w:color w:val="000000" w:themeColor="text1"/>
          <w:szCs w:val="24"/>
        </w:rPr>
        <w:t>iālajās</w:t>
      </w:r>
      <w:r w:rsidRPr="00834B53">
        <w:rPr>
          <w:bCs/>
          <w:iCs/>
          <w:color w:val="000000" w:themeColor="text1"/>
          <w:szCs w:val="24"/>
        </w:rPr>
        <w:t xml:space="preserve"> un tiesību zinībās, kā arī pedagogu izglītības programmu grupā. Savukārt citās izglītības jomās var nākties saskarties ar nepieciešamo speciālistu iztrūkumu. </w:t>
      </w:r>
      <w:r w:rsidR="00EB1420" w:rsidRPr="00834B53">
        <w:rPr>
          <w:bCs/>
          <w:iCs/>
          <w:color w:val="000000" w:themeColor="text1"/>
          <w:szCs w:val="24"/>
        </w:rPr>
        <w:t>I</w:t>
      </w:r>
      <w:r w:rsidRPr="00834B53">
        <w:rPr>
          <w:bCs/>
          <w:iCs/>
          <w:color w:val="000000" w:themeColor="text1"/>
          <w:szCs w:val="24"/>
        </w:rPr>
        <w:t xml:space="preserve">zglītības tematiskajā grupā </w:t>
      </w:r>
      <w:r w:rsidRPr="00834B53">
        <w:rPr>
          <w:bCs/>
          <w:i/>
          <w:iCs/>
          <w:color w:val="000000" w:themeColor="text1"/>
          <w:szCs w:val="24"/>
        </w:rPr>
        <w:t>Dabas zinātnes, matemātika un informācijas tehnoloģijas</w:t>
      </w:r>
      <w:r w:rsidRPr="00834B53">
        <w:rPr>
          <w:bCs/>
          <w:iCs/>
          <w:color w:val="000000" w:themeColor="text1"/>
          <w:szCs w:val="24"/>
        </w:rPr>
        <w:t xml:space="preserve"> darbaspēka pieprasījums pārsniegs piedāvājumu par 27</w:t>
      </w:r>
      <w:r w:rsidR="000003FD" w:rsidRPr="00834B53">
        <w:rPr>
          <w:bCs/>
          <w:iCs/>
          <w:color w:val="000000" w:themeColor="text1"/>
          <w:szCs w:val="24"/>
        </w:rPr>
        <w:t xml:space="preserve"> </w:t>
      </w:r>
      <w:r w:rsidRPr="00834B53">
        <w:rPr>
          <w:bCs/>
          <w:iCs/>
          <w:color w:val="000000" w:themeColor="text1"/>
          <w:szCs w:val="24"/>
        </w:rPr>
        <w:t xml:space="preserve">%, savukārt izglītības tematiskajā grupā </w:t>
      </w:r>
      <w:r w:rsidRPr="00834B53">
        <w:rPr>
          <w:bCs/>
          <w:i/>
          <w:iCs/>
          <w:color w:val="000000" w:themeColor="text1"/>
          <w:szCs w:val="24"/>
        </w:rPr>
        <w:t>Inženierzinātnes, ražošana un būvniecība</w:t>
      </w:r>
      <w:r w:rsidRPr="00834B53">
        <w:rPr>
          <w:bCs/>
          <w:iCs/>
          <w:color w:val="000000" w:themeColor="text1"/>
          <w:szCs w:val="24"/>
        </w:rPr>
        <w:t xml:space="preserve"> pieprasījums pārsniegs piedāvājumu par 15</w:t>
      </w:r>
      <w:r w:rsidR="000003FD" w:rsidRPr="00834B53">
        <w:rPr>
          <w:bCs/>
          <w:iCs/>
          <w:color w:val="000000" w:themeColor="text1"/>
          <w:szCs w:val="24"/>
        </w:rPr>
        <w:t xml:space="preserve"> </w:t>
      </w:r>
      <w:r w:rsidRPr="00834B53">
        <w:rPr>
          <w:bCs/>
          <w:iCs/>
          <w:color w:val="000000" w:themeColor="text1"/>
          <w:szCs w:val="24"/>
        </w:rPr>
        <w:t>%. Ja netiks mainīta esošā izglītības struktūra, līdz 2020.gadam var veidoties iztrūkums pēc speciālistiem ar augstāko izglītību inženierzinātnēs, ražošanā un būvniecībā, lauksaimniecībā</w:t>
      </w:r>
      <w:r w:rsidR="00EB708D" w:rsidRPr="00834B53">
        <w:rPr>
          <w:bCs/>
          <w:iCs/>
          <w:color w:val="000000" w:themeColor="text1"/>
          <w:szCs w:val="24"/>
        </w:rPr>
        <w:t xml:space="preserve">, kā arī veselības aprūpē un sociālajā labklājībā. </w:t>
      </w:r>
    </w:p>
    <w:p w:rsidR="009266D1" w:rsidRPr="00834B53" w:rsidRDefault="009266D1" w:rsidP="009266D1">
      <w:pPr>
        <w:ind w:firstLine="567"/>
        <w:rPr>
          <w:bCs/>
          <w:iCs/>
          <w:color w:val="000000" w:themeColor="text1"/>
          <w:szCs w:val="24"/>
        </w:rPr>
      </w:pPr>
      <w:r w:rsidRPr="00834B53">
        <w:rPr>
          <w:bCs/>
          <w:iCs/>
          <w:color w:val="000000" w:themeColor="text1"/>
          <w:szCs w:val="24"/>
        </w:rPr>
        <w:t>Kā rāda 1.6.attēla dati, līdzīga situācija ir sagaidāma arī</w:t>
      </w:r>
      <w:r w:rsidRPr="00834B53">
        <w:rPr>
          <w:b/>
          <w:bCs/>
          <w:iCs/>
          <w:color w:val="000000" w:themeColor="text1"/>
          <w:szCs w:val="24"/>
        </w:rPr>
        <w:t xml:space="preserve"> vidējās izglītības līmenī. </w:t>
      </w:r>
      <w:r w:rsidRPr="00834B53">
        <w:rPr>
          <w:bCs/>
          <w:iCs/>
          <w:color w:val="000000" w:themeColor="text1"/>
          <w:szCs w:val="24"/>
        </w:rPr>
        <w:t>Relatīvi lielākais darbaspēka pārpalikums veidosies iedzīvotāju grupā ar izglītību humanitārajā un mākslas novirzienā, kā arī sociālo, komerc</w:t>
      </w:r>
      <w:r w:rsidR="00042BB8">
        <w:rPr>
          <w:bCs/>
          <w:iCs/>
          <w:color w:val="000000" w:themeColor="text1"/>
          <w:szCs w:val="24"/>
        </w:rPr>
        <w:t>iālo</w:t>
      </w:r>
      <w:r w:rsidRPr="00834B53">
        <w:rPr>
          <w:bCs/>
          <w:iCs/>
          <w:color w:val="000000" w:themeColor="text1"/>
          <w:szCs w:val="24"/>
        </w:rPr>
        <w:t xml:space="preserve"> un tiesību zinību novirzienā. Vienlaikus nepietiekams piedāvājums paredzams inženierzinātņu, ražošanas un būvniecības (galvenokārt </w:t>
      </w:r>
      <w:proofErr w:type="spellStart"/>
      <w:r w:rsidRPr="00834B53">
        <w:rPr>
          <w:bCs/>
          <w:iCs/>
          <w:color w:val="000000" w:themeColor="text1"/>
          <w:szCs w:val="24"/>
        </w:rPr>
        <w:t>mašīnzinību</w:t>
      </w:r>
      <w:proofErr w:type="spellEnd"/>
      <w:r w:rsidRPr="00834B53">
        <w:rPr>
          <w:bCs/>
          <w:iCs/>
          <w:color w:val="000000" w:themeColor="text1"/>
          <w:szCs w:val="24"/>
        </w:rPr>
        <w:t xml:space="preserve">, elektroiekārtu un elektronikas, pārtikas pārstrādes un kokapstrādes jomās), dabaszinātņu, matemātikas un informācijas tehnoloģiju, kā arī pakalpojumu tematiskajās grupās. </w:t>
      </w:r>
    </w:p>
    <w:p w:rsidR="009266D1" w:rsidRDefault="009266D1" w:rsidP="009266D1">
      <w:pPr>
        <w:ind w:firstLine="567"/>
        <w:rPr>
          <w:szCs w:val="24"/>
        </w:rPr>
      </w:pPr>
      <w:r w:rsidRPr="00834B53">
        <w:rPr>
          <w:szCs w:val="24"/>
        </w:rPr>
        <w:t>EM sniegtās prognozes liecina, ka uz 2030.gadu,</w:t>
      </w:r>
      <w:r w:rsidRPr="00834B53">
        <w:rPr>
          <w:bCs/>
          <w:iCs/>
          <w:color w:val="000000" w:themeColor="text1"/>
          <w:szCs w:val="24"/>
        </w:rPr>
        <w:t xml:space="preserve"> </w:t>
      </w:r>
      <w:r w:rsidRPr="00834B53">
        <w:rPr>
          <w:szCs w:val="24"/>
        </w:rPr>
        <w:t xml:space="preserve">nemainoties uzsvariem izglītības piedāvājumā, minētās disproporcijas ilgtermiņā palielināsies. </w:t>
      </w:r>
      <w:r>
        <w:rPr>
          <w:szCs w:val="24"/>
        </w:rPr>
        <w:br w:type="page"/>
      </w:r>
    </w:p>
    <w:p w:rsidR="00D42476" w:rsidRDefault="00D42476" w:rsidP="00D42476">
      <w:pPr>
        <w:pStyle w:val="Default"/>
        <w:spacing w:line="360" w:lineRule="auto"/>
        <w:ind w:firstLine="567"/>
        <w:jc w:val="right"/>
        <w:rPr>
          <w:bCs/>
          <w:iCs/>
          <w:color w:val="000000" w:themeColor="text1"/>
          <w:szCs w:val="26"/>
        </w:rPr>
      </w:pPr>
      <w:r>
        <w:rPr>
          <w:bCs/>
          <w:iCs/>
          <w:color w:val="000000" w:themeColor="text1"/>
          <w:szCs w:val="26"/>
        </w:rPr>
        <w:lastRenderedPageBreak/>
        <w:t>1.</w:t>
      </w:r>
      <w:r w:rsidR="000C7B95">
        <w:rPr>
          <w:bCs/>
          <w:iCs/>
          <w:color w:val="000000" w:themeColor="text1"/>
          <w:szCs w:val="26"/>
        </w:rPr>
        <w:t>6</w:t>
      </w:r>
      <w:r>
        <w:rPr>
          <w:bCs/>
          <w:iCs/>
          <w:color w:val="000000" w:themeColor="text1"/>
          <w:szCs w:val="26"/>
        </w:rPr>
        <w:t>.attēls</w:t>
      </w:r>
    </w:p>
    <w:p w:rsidR="00D42476" w:rsidRPr="00C3465E" w:rsidRDefault="00D42476" w:rsidP="00D42476">
      <w:pPr>
        <w:spacing w:after="240"/>
        <w:jc w:val="center"/>
        <w:rPr>
          <w:rFonts w:ascii="Segoe UI Semibold" w:hAnsi="Segoe UI Semibold"/>
          <w:w w:val="80"/>
          <w:sz w:val="20"/>
        </w:rPr>
      </w:pPr>
      <w:r w:rsidRPr="00C3465E">
        <w:rPr>
          <w:rFonts w:ascii="Segoe UI Semibold" w:hAnsi="Segoe UI Semibold"/>
          <w:b/>
          <w:w w:val="80"/>
          <w:szCs w:val="26"/>
        </w:rPr>
        <w:t xml:space="preserve">Darbaspēka piedāvājuma un pieprasījuma prognozes </w:t>
      </w:r>
      <w:r w:rsidRPr="00C3465E">
        <w:rPr>
          <w:rFonts w:ascii="Segoe UI Semibold" w:hAnsi="Segoe UI Semibold"/>
          <w:b/>
          <w:w w:val="80"/>
          <w:szCs w:val="26"/>
          <w:u w:val="single"/>
        </w:rPr>
        <w:t xml:space="preserve">ar vidējo </w:t>
      </w:r>
      <w:r w:rsidRPr="00C3465E">
        <w:rPr>
          <w:rFonts w:ascii="Segoe UI Semibold" w:hAnsi="Segoe UI Semibold"/>
          <w:b/>
          <w:bCs/>
          <w:color w:val="000000"/>
          <w:w w:val="80"/>
          <w:szCs w:val="26"/>
          <w:u w:val="single"/>
        </w:rPr>
        <w:t>izglītību</w:t>
      </w:r>
      <w:r w:rsidRPr="00C3465E">
        <w:rPr>
          <w:rFonts w:ascii="Segoe UI Semibold" w:hAnsi="Segoe UI Semibold"/>
          <w:b/>
          <w:bCs/>
          <w:color w:val="000000"/>
          <w:w w:val="80"/>
          <w:szCs w:val="26"/>
        </w:rPr>
        <w:t xml:space="preserve"> </w:t>
      </w:r>
      <w:r w:rsidRPr="00C3465E">
        <w:rPr>
          <w:rFonts w:ascii="Segoe UI Semibold" w:hAnsi="Segoe UI Semibold"/>
          <w:b/>
          <w:bCs/>
          <w:color w:val="000000"/>
          <w:w w:val="80"/>
          <w:szCs w:val="26"/>
        </w:rPr>
        <w:br/>
        <w:t>sadalījumā pa izglītības tematiskajām grupām</w:t>
      </w:r>
      <w:r>
        <w:rPr>
          <w:rFonts w:ascii="Segoe UI Semibold" w:hAnsi="Segoe UI Semibold"/>
          <w:b/>
          <w:bCs/>
          <w:color w:val="000000"/>
          <w:w w:val="80"/>
          <w:szCs w:val="26"/>
        </w:rPr>
        <w:br/>
      </w:r>
      <w:r w:rsidRPr="00C3465E">
        <w:rPr>
          <w:rFonts w:ascii="Segoe UI Semibold" w:hAnsi="Segoe UI Semibold"/>
          <w:bCs/>
          <w:color w:val="000000"/>
          <w:w w:val="80"/>
          <w:sz w:val="20"/>
        </w:rPr>
        <w:t>procentos, pieprasījums pret piedāvājumu</w:t>
      </w:r>
      <w:r>
        <w:rPr>
          <w:rFonts w:ascii="Segoe UI Semibold" w:hAnsi="Segoe UI Semibold"/>
          <w:bCs/>
          <w:color w:val="000000"/>
          <w:w w:val="80"/>
          <w:sz w:val="20"/>
        </w:rPr>
        <w:t xml:space="preserve"> 2020.gadā</w:t>
      </w:r>
    </w:p>
    <w:p w:rsidR="00D42476" w:rsidRDefault="00D42476" w:rsidP="00D42476">
      <w:pPr>
        <w:pStyle w:val="Default"/>
        <w:spacing w:line="360" w:lineRule="auto"/>
        <w:ind w:firstLine="567"/>
        <w:jc w:val="both"/>
        <w:rPr>
          <w:sz w:val="23"/>
          <w:szCs w:val="23"/>
        </w:rPr>
      </w:pPr>
      <w:r w:rsidRPr="007B1682">
        <w:rPr>
          <w:rFonts w:ascii="Segoe UI Semibold" w:hAnsi="Segoe UI Semibold"/>
          <w:bCs/>
          <w:iCs/>
          <w:noProof/>
          <w:w w:val="80"/>
          <w:szCs w:val="26"/>
        </w:rPr>
        <w:drawing>
          <wp:inline distT="0" distB="0" distL="0" distR="0">
            <wp:extent cx="5760085" cy="2160000"/>
            <wp:effectExtent l="0" t="0" r="0" b="0"/>
            <wp:docPr id="357" name="Chart 3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8222"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992"/>
        <w:gridCol w:w="993"/>
        <w:gridCol w:w="1134"/>
        <w:gridCol w:w="1134"/>
        <w:gridCol w:w="992"/>
        <w:gridCol w:w="855"/>
        <w:gridCol w:w="988"/>
      </w:tblGrid>
      <w:tr w:rsidR="00D42476" w:rsidRPr="009522A4" w:rsidTr="009266D1">
        <w:trPr>
          <w:trHeight w:val="1777"/>
        </w:trPr>
        <w:tc>
          <w:tcPr>
            <w:tcW w:w="1134" w:type="dxa"/>
            <w:textDirection w:val="btLr"/>
          </w:tcPr>
          <w:p w:rsidR="00D42476" w:rsidRPr="009522A4" w:rsidRDefault="00D42476" w:rsidP="00D42476">
            <w:pPr>
              <w:ind w:left="113" w:right="113"/>
              <w:rPr>
                <w:rFonts w:ascii="Segoe UI Semibold" w:hAnsi="Segoe UI Semibold"/>
                <w:bCs/>
                <w:iCs/>
                <w:w w:val="80"/>
                <w:sz w:val="22"/>
                <w:szCs w:val="22"/>
              </w:rPr>
            </w:pPr>
            <w:r w:rsidRPr="009522A4">
              <w:rPr>
                <w:rFonts w:ascii="Segoe UI Semibold" w:hAnsi="Segoe UI Semibold"/>
                <w:bCs/>
                <w:iCs/>
                <w:w w:val="80"/>
                <w:sz w:val="22"/>
                <w:szCs w:val="22"/>
              </w:rPr>
              <w:t>Humanitārās zinātnes un māksla</w:t>
            </w:r>
          </w:p>
        </w:tc>
        <w:tc>
          <w:tcPr>
            <w:tcW w:w="992" w:type="dxa"/>
            <w:textDirection w:val="btLr"/>
          </w:tcPr>
          <w:p w:rsidR="00D42476" w:rsidRPr="009522A4" w:rsidRDefault="00D42476" w:rsidP="00D42476">
            <w:pPr>
              <w:ind w:left="113" w:right="113"/>
              <w:rPr>
                <w:rFonts w:ascii="Segoe UI Semibold" w:hAnsi="Segoe UI Semibold"/>
                <w:bCs/>
                <w:iCs/>
                <w:w w:val="80"/>
                <w:sz w:val="22"/>
                <w:szCs w:val="22"/>
              </w:rPr>
            </w:pPr>
            <w:r w:rsidRPr="009522A4">
              <w:rPr>
                <w:rFonts w:ascii="Segoe UI Semibold" w:hAnsi="Segoe UI Semibold"/>
                <w:bCs/>
                <w:iCs/>
                <w:w w:val="80"/>
                <w:sz w:val="22"/>
                <w:szCs w:val="22"/>
              </w:rPr>
              <w:t xml:space="preserve">Sociālās zinātnes,  </w:t>
            </w:r>
            <w:proofErr w:type="spellStart"/>
            <w:r w:rsidRPr="009522A4">
              <w:rPr>
                <w:rFonts w:ascii="Segoe UI Semibold" w:hAnsi="Segoe UI Semibold"/>
                <w:bCs/>
                <w:iCs/>
                <w:w w:val="80"/>
                <w:sz w:val="22"/>
                <w:szCs w:val="22"/>
              </w:rPr>
              <w:t>komerczinības</w:t>
            </w:r>
            <w:proofErr w:type="spellEnd"/>
            <w:r w:rsidRPr="009522A4">
              <w:rPr>
                <w:rFonts w:ascii="Segoe UI Semibold" w:hAnsi="Segoe UI Semibold"/>
                <w:bCs/>
                <w:iCs/>
                <w:w w:val="80"/>
                <w:sz w:val="22"/>
                <w:szCs w:val="22"/>
              </w:rPr>
              <w:t xml:space="preserve"> un tiesības</w:t>
            </w:r>
          </w:p>
        </w:tc>
        <w:tc>
          <w:tcPr>
            <w:tcW w:w="993" w:type="dxa"/>
            <w:textDirection w:val="btLr"/>
          </w:tcPr>
          <w:p w:rsidR="00D42476" w:rsidRPr="009522A4" w:rsidRDefault="00D42476" w:rsidP="00D42476">
            <w:pPr>
              <w:ind w:left="113" w:right="113"/>
              <w:rPr>
                <w:rFonts w:ascii="Segoe UI Semibold" w:hAnsi="Segoe UI Semibold"/>
                <w:bCs/>
                <w:iCs/>
                <w:w w:val="80"/>
                <w:sz w:val="22"/>
                <w:szCs w:val="22"/>
              </w:rPr>
            </w:pPr>
            <w:r w:rsidRPr="009522A4">
              <w:rPr>
                <w:rFonts w:ascii="Segoe UI Semibold" w:hAnsi="Segoe UI Semibold"/>
                <w:bCs/>
                <w:iCs/>
                <w:w w:val="80"/>
                <w:sz w:val="22"/>
                <w:szCs w:val="22"/>
              </w:rPr>
              <w:t>Dabas zinātnes, matemātika un IT</w:t>
            </w:r>
          </w:p>
        </w:tc>
        <w:tc>
          <w:tcPr>
            <w:tcW w:w="1134" w:type="dxa"/>
            <w:textDirection w:val="btLr"/>
          </w:tcPr>
          <w:p w:rsidR="00D42476" w:rsidRPr="009522A4" w:rsidRDefault="00D42476" w:rsidP="00D42476">
            <w:pPr>
              <w:ind w:left="113" w:right="113"/>
              <w:rPr>
                <w:rFonts w:ascii="Segoe UI Semibold" w:hAnsi="Segoe UI Semibold"/>
                <w:bCs/>
                <w:iCs/>
                <w:w w:val="80"/>
                <w:sz w:val="22"/>
                <w:szCs w:val="22"/>
              </w:rPr>
            </w:pPr>
            <w:r w:rsidRPr="009522A4">
              <w:rPr>
                <w:rFonts w:ascii="Segoe UI Semibold" w:hAnsi="Segoe UI Semibold"/>
                <w:bCs/>
                <w:iCs/>
                <w:w w:val="80"/>
                <w:sz w:val="22"/>
                <w:szCs w:val="22"/>
              </w:rPr>
              <w:t>Inženierzinātnes, ražošana un būvniecība</w:t>
            </w:r>
          </w:p>
        </w:tc>
        <w:tc>
          <w:tcPr>
            <w:tcW w:w="1134" w:type="dxa"/>
            <w:textDirection w:val="btLr"/>
          </w:tcPr>
          <w:p w:rsidR="00D42476" w:rsidRPr="009522A4" w:rsidRDefault="00D42476" w:rsidP="00D42476">
            <w:pPr>
              <w:ind w:left="113" w:right="113"/>
              <w:rPr>
                <w:rFonts w:ascii="Segoe UI Semibold" w:hAnsi="Segoe UI Semibold"/>
                <w:bCs/>
                <w:iCs/>
                <w:w w:val="80"/>
                <w:sz w:val="22"/>
                <w:szCs w:val="22"/>
              </w:rPr>
            </w:pPr>
            <w:r w:rsidRPr="009522A4">
              <w:rPr>
                <w:rFonts w:ascii="Segoe UI Semibold" w:hAnsi="Segoe UI Semibold"/>
                <w:bCs/>
                <w:iCs/>
                <w:w w:val="80"/>
                <w:sz w:val="22"/>
                <w:szCs w:val="22"/>
              </w:rPr>
              <w:t>Lauksaimniecība</w:t>
            </w:r>
          </w:p>
        </w:tc>
        <w:tc>
          <w:tcPr>
            <w:tcW w:w="992" w:type="dxa"/>
            <w:textDirection w:val="btLr"/>
          </w:tcPr>
          <w:p w:rsidR="00D42476" w:rsidRPr="009522A4" w:rsidRDefault="00D42476" w:rsidP="00D42476">
            <w:pPr>
              <w:ind w:left="113" w:right="113"/>
              <w:rPr>
                <w:rFonts w:ascii="Segoe UI Semibold" w:hAnsi="Segoe UI Semibold"/>
                <w:bCs/>
                <w:iCs/>
                <w:w w:val="80"/>
                <w:sz w:val="22"/>
                <w:szCs w:val="22"/>
              </w:rPr>
            </w:pPr>
            <w:r w:rsidRPr="009522A4">
              <w:rPr>
                <w:rFonts w:ascii="Segoe UI Semibold" w:hAnsi="Segoe UI Semibold"/>
                <w:bCs/>
                <w:iCs/>
                <w:w w:val="80"/>
                <w:sz w:val="22"/>
                <w:szCs w:val="22"/>
              </w:rPr>
              <w:t>Veselības aprūpe un sociālā labklājība</w:t>
            </w:r>
          </w:p>
          <w:p w:rsidR="00D42476" w:rsidRPr="009522A4" w:rsidRDefault="00D42476" w:rsidP="00D42476">
            <w:pPr>
              <w:ind w:left="113" w:right="113"/>
              <w:rPr>
                <w:rFonts w:ascii="Segoe UI Semibold" w:hAnsi="Segoe UI Semibold"/>
                <w:bCs/>
                <w:iCs/>
                <w:w w:val="80"/>
                <w:sz w:val="22"/>
                <w:szCs w:val="22"/>
              </w:rPr>
            </w:pPr>
          </w:p>
        </w:tc>
        <w:tc>
          <w:tcPr>
            <w:tcW w:w="855" w:type="dxa"/>
            <w:textDirection w:val="btLr"/>
          </w:tcPr>
          <w:p w:rsidR="00D42476" w:rsidRPr="009522A4" w:rsidRDefault="00D42476" w:rsidP="00D42476">
            <w:pPr>
              <w:ind w:left="113" w:right="113"/>
              <w:rPr>
                <w:rFonts w:ascii="Segoe UI Semibold" w:hAnsi="Segoe UI Semibold"/>
                <w:bCs/>
                <w:iCs/>
                <w:w w:val="80"/>
                <w:sz w:val="22"/>
                <w:szCs w:val="22"/>
              </w:rPr>
            </w:pPr>
            <w:r w:rsidRPr="009522A4">
              <w:rPr>
                <w:rFonts w:ascii="Segoe UI Semibold" w:hAnsi="Segoe UI Semibold"/>
                <w:bCs/>
                <w:iCs/>
                <w:w w:val="80"/>
                <w:sz w:val="22"/>
                <w:szCs w:val="22"/>
              </w:rPr>
              <w:t>Pakalpojumi</w:t>
            </w:r>
          </w:p>
        </w:tc>
        <w:tc>
          <w:tcPr>
            <w:tcW w:w="988" w:type="dxa"/>
            <w:textDirection w:val="btLr"/>
          </w:tcPr>
          <w:p w:rsidR="00D42476" w:rsidRPr="009522A4" w:rsidRDefault="00D42476" w:rsidP="00D42476">
            <w:pPr>
              <w:ind w:left="113" w:right="113"/>
              <w:rPr>
                <w:rFonts w:ascii="Segoe UI Semibold" w:hAnsi="Segoe UI Semibold"/>
                <w:bCs/>
                <w:iCs/>
                <w:w w:val="80"/>
                <w:sz w:val="22"/>
                <w:szCs w:val="22"/>
              </w:rPr>
            </w:pPr>
            <w:r w:rsidRPr="009522A4">
              <w:rPr>
                <w:rFonts w:ascii="Segoe UI Semibold" w:hAnsi="Segoe UI Semibold"/>
                <w:bCs/>
                <w:iCs/>
                <w:w w:val="80"/>
                <w:sz w:val="22"/>
                <w:szCs w:val="22"/>
              </w:rPr>
              <w:t>Vispārējās izglītības un citur neklasificētās tematiskās grupas</w:t>
            </w:r>
          </w:p>
        </w:tc>
      </w:tr>
    </w:tbl>
    <w:p w:rsidR="00D42476" w:rsidRPr="000C7B95" w:rsidRDefault="00D42476" w:rsidP="00D42476">
      <w:pPr>
        <w:spacing w:after="240"/>
        <w:rPr>
          <w:bCs/>
          <w:i/>
          <w:iCs/>
          <w:color w:val="000000" w:themeColor="text1"/>
          <w:szCs w:val="24"/>
        </w:rPr>
      </w:pPr>
      <w:r w:rsidRPr="000C7B95">
        <w:rPr>
          <w:bCs/>
          <w:i/>
          <w:iCs/>
          <w:color w:val="000000" w:themeColor="text1"/>
          <w:szCs w:val="24"/>
        </w:rPr>
        <w:t>Avots: EM informatīvais ziņojums, 66.lpp.</w:t>
      </w:r>
    </w:p>
    <w:p w:rsidR="00D42476" w:rsidRPr="00834B53" w:rsidRDefault="00D42476" w:rsidP="00D42476">
      <w:pPr>
        <w:pStyle w:val="Default"/>
        <w:spacing w:line="360" w:lineRule="auto"/>
        <w:ind w:firstLine="567"/>
        <w:jc w:val="right"/>
      </w:pPr>
      <w:r w:rsidRPr="00834B53">
        <w:t>1.</w:t>
      </w:r>
      <w:r w:rsidR="0011205F" w:rsidRPr="00834B53">
        <w:t>3</w:t>
      </w:r>
      <w:r w:rsidRPr="00834B53">
        <w:t>.tabula</w:t>
      </w:r>
    </w:p>
    <w:p w:rsidR="00D42476" w:rsidRPr="00A61F81" w:rsidRDefault="00D42476" w:rsidP="00D42476">
      <w:pPr>
        <w:spacing w:after="240"/>
        <w:jc w:val="center"/>
        <w:rPr>
          <w:rFonts w:ascii="Segoe UI Semibold" w:hAnsi="Segoe UI Semibold"/>
          <w:w w:val="80"/>
          <w:sz w:val="20"/>
        </w:rPr>
      </w:pPr>
      <w:r w:rsidRPr="000C7B95">
        <w:rPr>
          <w:rFonts w:ascii="Segoe UI Semibold" w:hAnsi="Segoe UI Semibold"/>
          <w:b/>
          <w:w w:val="80"/>
          <w:szCs w:val="26"/>
        </w:rPr>
        <w:t>Darbaspēka pieprasījuma un piedāvājuma prognozes pa izglītības tematiskām grupām 2030.gadā</w:t>
      </w:r>
      <w:r w:rsidRPr="000C7B95">
        <w:rPr>
          <w:rFonts w:ascii="Segoe UI Semibold" w:hAnsi="Segoe UI Semibold"/>
          <w:b/>
          <w:w w:val="80"/>
          <w:szCs w:val="26"/>
        </w:rPr>
        <w:br/>
      </w:r>
      <w:r w:rsidRPr="00A61F81">
        <w:rPr>
          <w:rFonts w:ascii="Segoe UI Semibold" w:hAnsi="Segoe UI Semibold"/>
          <w:w w:val="80"/>
          <w:sz w:val="20"/>
        </w:rPr>
        <w:t>saglabājoties pašreizējai darb</w:t>
      </w:r>
      <w:r>
        <w:rPr>
          <w:rFonts w:ascii="Segoe UI Semibold" w:hAnsi="Segoe UI Semibold"/>
          <w:w w:val="80"/>
          <w:sz w:val="20"/>
        </w:rPr>
        <w:t>aspēka sagatavošanas struktūrai</w:t>
      </w:r>
    </w:p>
    <w:tbl>
      <w:tblPr>
        <w:tblW w:w="5000" w:type="pct"/>
        <w:tblBorders>
          <w:top w:val="single" w:sz="4" w:space="0" w:color="auto"/>
          <w:insideH w:val="single" w:sz="4" w:space="0" w:color="auto"/>
          <w:insideV w:val="single" w:sz="4" w:space="0" w:color="auto"/>
        </w:tblBorders>
        <w:tblLook w:val="0400"/>
      </w:tblPr>
      <w:tblGrid>
        <w:gridCol w:w="4615"/>
        <w:gridCol w:w="1339"/>
        <w:gridCol w:w="1742"/>
        <w:gridCol w:w="1592"/>
      </w:tblGrid>
      <w:tr w:rsidR="00D42476" w:rsidRPr="00280C38" w:rsidTr="000579B9">
        <w:trPr>
          <w:trHeight w:val="271"/>
        </w:trPr>
        <w:tc>
          <w:tcPr>
            <w:tcW w:w="2484" w:type="pct"/>
            <w:vMerge w:val="restart"/>
            <w:tcBorders>
              <w:left w:val="single" w:sz="4" w:space="0" w:color="auto"/>
              <w:bottom w:val="single" w:sz="4" w:space="0" w:color="auto"/>
            </w:tcBorders>
          </w:tcPr>
          <w:p w:rsidR="00D42476" w:rsidRPr="00280C38" w:rsidRDefault="00D42476" w:rsidP="00D42476">
            <w:pPr>
              <w:jc w:val="center"/>
              <w:rPr>
                <w:b/>
                <w:bCs/>
                <w:color w:val="000000"/>
                <w:sz w:val="20"/>
              </w:rPr>
            </w:pPr>
          </w:p>
        </w:tc>
        <w:tc>
          <w:tcPr>
            <w:tcW w:w="2516" w:type="pct"/>
            <w:gridSpan w:val="3"/>
            <w:tcBorders>
              <w:right w:val="single" w:sz="4" w:space="0" w:color="auto"/>
            </w:tcBorders>
          </w:tcPr>
          <w:p w:rsidR="00D42476" w:rsidRPr="00280C38" w:rsidRDefault="00D42476" w:rsidP="00D42476">
            <w:pPr>
              <w:jc w:val="center"/>
              <w:rPr>
                <w:b/>
                <w:color w:val="000000"/>
                <w:sz w:val="20"/>
              </w:rPr>
            </w:pPr>
            <w:r w:rsidRPr="00280C38">
              <w:rPr>
                <w:b/>
                <w:color w:val="000000"/>
                <w:sz w:val="20"/>
              </w:rPr>
              <w:t>Prognoze</w:t>
            </w:r>
            <w:r>
              <w:rPr>
                <w:b/>
                <w:color w:val="000000"/>
                <w:sz w:val="20"/>
              </w:rPr>
              <w:t xml:space="preserve"> </w:t>
            </w:r>
            <w:r w:rsidRPr="00280C38">
              <w:rPr>
                <w:b/>
                <w:color w:val="000000"/>
                <w:sz w:val="20"/>
              </w:rPr>
              <w:t>2030.</w:t>
            </w:r>
          </w:p>
        </w:tc>
      </w:tr>
      <w:tr w:rsidR="00D42476" w:rsidRPr="00280C38" w:rsidTr="000579B9">
        <w:trPr>
          <w:trHeight w:val="20"/>
        </w:trPr>
        <w:tc>
          <w:tcPr>
            <w:tcW w:w="2484" w:type="pct"/>
            <w:vMerge/>
            <w:tcBorders>
              <w:left w:val="single" w:sz="4" w:space="0" w:color="auto"/>
              <w:bottom w:val="single" w:sz="4" w:space="0" w:color="auto"/>
            </w:tcBorders>
          </w:tcPr>
          <w:p w:rsidR="00D42476" w:rsidRPr="00280C38" w:rsidRDefault="00D42476" w:rsidP="00D42476">
            <w:pPr>
              <w:jc w:val="center"/>
              <w:rPr>
                <w:bCs/>
                <w:color w:val="000000"/>
                <w:sz w:val="20"/>
              </w:rPr>
            </w:pPr>
          </w:p>
        </w:tc>
        <w:tc>
          <w:tcPr>
            <w:tcW w:w="721" w:type="pct"/>
            <w:tcBorders>
              <w:bottom w:val="single" w:sz="4" w:space="0" w:color="auto"/>
            </w:tcBorders>
          </w:tcPr>
          <w:p w:rsidR="00D42476" w:rsidRPr="00280C38" w:rsidRDefault="00D42476" w:rsidP="00D42476">
            <w:pPr>
              <w:jc w:val="center"/>
              <w:rPr>
                <w:color w:val="000000"/>
                <w:sz w:val="20"/>
              </w:rPr>
            </w:pPr>
            <w:r w:rsidRPr="00280C38">
              <w:rPr>
                <w:color w:val="000000"/>
                <w:sz w:val="20"/>
              </w:rPr>
              <w:t>piepra</w:t>
            </w:r>
            <w:r w:rsidRPr="00280C38">
              <w:rPr>
                <w:color w:val="000000"/>
                <w:sz w:val="20"/>
              </w:rPr>
              <w:softHyphen/>
              <w:t>sījums</w:t>
            </w:r>
          </w:p>
          <w:p w:rsidR="00D42476" w:rsidRPr="00280C38" w:rsidRDefault="00D42476" w:rsidP="00D42476">
            <w:pPr>
              <w:jc w:val="center"/>
              <w:rPr>
                <w:color w:val="000000"/>
                <w:sz w:val="20"/>
              </w:rPr>
            </w:pPr>
            <w:r w:rsidRPr="00280C38">
              <w:rPr>
                <w:color w:val="000000"/>
                <w:sz w:val="20"/>
              </w:rPr>
              <w:t>(tūkst.)</w:t>
            </w:r>
          </w:p>
        </w:tc>
        <w:tc>
          <w:tcPr>
            <w:tcW w:w="938" w:type="pct"/>
            <w:tcBorders>
              <w:bottom w:val="single" w:sz="4" w:space="0" w:color="auto"/>
            </w:tcBorders>
          </w:tcPr>
          <w:p w:rsidR="00D42476" w:rsidRPr="00280C38" w:rsidRDefault="00D42476" w:rsidP="00D42476">
            <w:pPr>
              <w:jc w:val="center"/>
              <w:rPr>
                <w:color w:val="000000"/>
                <w:sz w:val="20"/>
              </w:rPr>
            </w:pPr>
            <w:r w:rsidRPr="00280C38">
              <w:rPr>
                <w:color w:val="000000"/>
                <w:sz w:val="20"/>
              </w:rPr>
              <w:t>piedā</w:t>
            </w:r>
            <w:r w:rsidRPr="00280C38">
              <w:rPr>
                <w:color w:val="000000"/>
                <w:sz w:val="20"/>
              </w:rPr>
              <w:softHyphen/>
              <w:t>vājums</w:t>
            </w:r>
          </w:p>
          <w:p w:rsidR="00D42476" w:rsidRPr="00280C38" w:rsidRDefault="00D42476" w:rsidP="00D42476">
            <w:pPr>
              <w:jc w:val="center"/>
              <w:rPr>
                <w:color w:val="000000"/>
                <w:sz w:val="20"/>
              </w:rPr>
            </w:pPr>
            <w:r w:rsidRPr="00280C38">
              <w:rPr>
                <w:color w:val="000000"/>
                <w:sz w:val="20"/>
              </w:rPr>
              <w:t>(tūkst.)</w:t>
            </w:r>
          </w:p>
        </w:tc>
        <w:tc>
          <w:tcPr>
            <w:tcW w:w="857" w:type="pct"/>
            <w:tcBorders>
              <w:bottom w:val="single" w:sz="4" w:space="0" w:color="auto"/>
              <w:right w:val="single" w:sz="4" w:space="0" w:color="auto"/>
            </w:tcBorders>
          </w:tcPr>
          <w:p w:rsidR="00D42476" w:rsidRPr="00280C38" w:rsidRDefault="00D42476" w:rsidP="00D42476">
            <w:pPr>
              <w:jc w:val="center"/>
              <w:rPr>
                <w:color w:val="000000"/>
                <w:sz w:val="20"/>
              </w:rPr>
            </w:pPr>
            <w:r w:rsidRPr="00280C38">
              <w:rPr>
                <w:color w:val="000000"/>
                <w:sz w:val="20"/>
              </w:rPr>
              <w:t>Atbilstība</w:t>
            </w:r>
          </w:p>
          <w:p w:rsidR="00D42476" w:rsidRPr="00280C38" w:rsidRDefault="00D42476" w:rsidP="00D42476">
            <w:pPr>
              <w:jc w:val="center"/>
              <w:rPr>
                <w:color w:val="000000"/>
                <w:sz w:val="20"/>
              </w:rPr>
            </w:pPr>
            <w:r w:rsidRPr="00280C38">
              <w:rPr>
                <w:color w:val="000000"/>
                <w:sz w:val="20"/>
              </w:rPr>
              <w:t>(%)</w:t>
            </w:r>
          </w:p>
        </w:tc>
      </w:tr>
      <w:tr w:rsidR="00D42476" w:rsidRPr="00A15C78" w:rsidTr="000579B9">
        <w:trPr>
          <w:trHeight w:val="20"/>
        </w:trPr>
        <w:tc>
          <w:tcPr>
            <w:tcW w:w="2484" w:type="pct"/>
            <w:tcBorders>
              <w:left w:val="single" w:sz="4" w:space="0" w:color="auto"/>
              <w:bottom w:val="single" w:sz="4" w:space="0" w:color="auto"/>
            </w:tcBorders>
            <w:hideMark/>
          </w:tcPr>
          <w:p w:rsidR="00D42476" w:rsidRPr="00280C38" w:rsidRDefault="00D42476" w:rsidP="00D42476">
            <w:pPr>
              <w:rPr>
                <w:color w:val="000000"/>
                <w:sz w:val="20"/>
              </w:rPr>
            </w:pPr>
            <w:r w:rsidRPr="00280C38">
              <w:rPr>
                <w:b/>
                <w:bCs/>
                <w:sz w:val="20"/>
              </w:rPr>
              <w:t>Augstākā izglītība kopā</w:t>
            </w:r>
            <w:r>
              <w:rPr>
                <w:b/>
                <w:bCs/>
                <w:sz w:val="20"/>
              </w:rPr>
              <w:t>, tai skaitā:</w:t>
            </w:r>
          </w:p>
        </w:tc>
        <w:tc>
          <w:tcPr>
            <w:tcW w:w="721" w:type="pct"/>
            <w:tcBorders>
              <w:bottom w:val="single" w:sz="4" w:space="0" w:color="auto"/>
            </w:tcBorders>
            <w:vAlign w:val="bottom"/>
          </w:tcPr>
          <w:p w:rsidR="00D42476" w:rsidRPr="005D13ED" w:rsidRDefault="00D42476" w:rsidP="00D42476">
            <w:pPr>
              <w:jc w:val="center"/>
              <w:rPr>
                <w:b/>
                <w:color w:val="000000"/>
                <w:sz w:val="22"/>
                <w:szCs w:val="22"/>
              </w:rPr>
            </w:pPr>
            <w:r w:rsidRPr="005D13ED">
              <w:rPr>
                <w:b/>
                <w:color w:val="000000"/>
                <w:w w:val="80"/>
                <w:sz w:val="22"/>
                <w:szCs w:val="22"/>
              </w:rPr>
              <w:t>391,3</w:t>
            </w:r>
          </w:p>
        </w:tc>
        <w:tc>
          <w:tcPr>
            <w:tcW w:w="938" w:type="pct"/>
            <w:tcBorders>
              <w:bottom w:val="single" w:sz="4" w:space="0" w:color="auto"/>
            </w:tcBorders>
            <w:vAlign w:val="bottom"/>
          </w:tcPr>
          <w:p w:rsidR="00D42476" w:rsidRPr="005D13ED" w:rsidRDefault="00D42476" w:rsidP="00D42476">
            <w:pPr>
              <w:jc w:val="center"/>
              <w:rPr>
                <w:b/>
                <w:color w:val="000000"/>
                <w:sz w:val="22"/>
                <w:szCs w:val="22"/>
              </w:rPr>
            </w:pPr>
            <w:r w:rsidRPr="005D13ED">
              <w:rPr>
                <w:b/>
                <w:color w:val="000000"/>
                <w:w w:val="80"/>
                <w:sz w:val="22"/>
                <w:szCs w:val="22"/>
              </w:rPr>
              <w:t>419,8</w:t>
            </w:r>
          </w:p>
        </w:tc>
        <w:tc>
          <w:tcPr>
            <w:tcW w:w="857" w:type="pct"/>
            <w:tcBorders>
              <w:bottom w:val="single" w:sz="4" w:space="0" w:color="auto"/>
              <w:right w:val="single" w:sz="4" w:space="0" w:color="auto"/>
            </w:tcBorders>
            <w:vAlign w:val="bottom"/>
          </w:tcPr>
          <w:p w:rsidR="00D42476" w:rsidRPr="005D13ED" w:rsidRDefault="00D42476" w:rsidP="00D42476">
            <w:pPr>
              <w:jc w:val="center"/>
              <w:rPr>
                <w:b/>
                <w:color w:val="000000"/>
                <w:sz w:val="22"/>
                <w:szCs w:val="22"/>
              </w:rPr>
            </w:pPr>
            <w:r w:rsidRPr="005D13ED">
              <w:rPr>
                <w:b/>
                <w:color w:val="000000"/>
                <w:w w:val="80"/>
                <w:sz w:val="22"/>
                <w:szCs w:val="22"/>
              </w:rPr>
              <w:t>93</w:t>
            </w:r>
          </w:p>
        </w:tc>
      </w:tr>
      <w:tr w:rsidR="00D42476" w:rsidRPr="00A15C78" w:rsidTr="000579B9">
        <w:trPr>
          <w:trHeight w:val="20"/>
        </w:trPr>
        <w:tc>
          <w:tcPr>
            <w:tcW w:w="2484" w:type="pct"/>
            <w:tcBorders>
              <w:left w:val="single" w:sz="4" w:space="0" w:color="auto"/>
              <w:bottom w:val="single" w:sz="4" w:space="0" w:color="auto"/>
            </w:tcBorders>
            <w:hideMark/>
          </w:tcPr>
          <w:p w:rsidR="00D42476" w:rsidRPr="00280C38" w:rsidRDefault="00D42476" w:rsidP="00D42476">
            <w:pPr>
              <w:rPr>
                <w:color w:val="000000"/>
                <w:sz w:val="20"/>
              </w:rPr>
            </w:pPr>
            <w:r w:rsidRPr="00280C38">
              <w:rPr>
                <w:color w:val="000000"/>
                <w:sz w:val="20"/>
              </w:rPr>
              <w:t>Izglītība</w:t>
            </w:r>
          </w:p>
        </w:tc>
        <w:tc>
          <w:tcPr>
            <w:tcW w:w="721"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35,3</w:t>
            </w:r>
          </w:p>
        </w:tc>
        <w:tc>
          <w:tcPr>
            <w:tcW w:w="938"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39,2</w:t>
            </w:r>
          </w:p>
        </w:tc>
        <w:tc>
          <w:tcPr>
            <w:tcW w:w="857" w:type="pct"/>
            <w:tcBorders>
              <w:bottom w:val="single" w:sz="4" w:space="0" w:color="auto"/>
              <w:right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90</w:t>
            </w:r>
          </w:p>
        </w:tc>
      </w:tr>
      <w:tr w:rsidR="00D42476" w:rsidRPr="00A15C78" w:rsidTr="000579B9">
        <w:trPr>
          <w:trHeight w:val="20"/>
        </w:trPr>
        <w:tc>
          <w:tcPr>
            <w:tcW w:w="2484" w:type="pct"/>
            <w:tcBorders>
              <w:left w:val="single" w:sz="4" w:space="0" w:color="auto"/>
              <w:bottom w:val="single" w:sz="4" w:space="0" w:color="auto"/>
            </w:tcBorders>
            <w:hideMark/>
          </w:tcPr>
          <w:p w:rsidR="00D42476" w:rsidRPr="00280C38" w:rsidRDefault="00D42476" w:rsidP="00D42476">
            <w:pPr>
              <w:rPr>
                <w:color w:val="000000"/>
                <w:sz w:val="20"/>
              </w:rPr>
            </w:pPr>
            <w:r w:rsidRPr="00280C38">
              <w:rPr>
                <w:color w:val="000000"/>
                <w:sz w:val="20"/>
              </w:rPr>
              <w:t>Humanitārās zinātnes un māksla</w:t>
            </w:r>
          </w:p>
        </w:tc>
        <w:tc>
          <w:tcPr>
            <w:tcW w:w="721"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21,2</w:t>
            </w:r>
          </w:p>
        </w:tc>
        <w:tc>
          <w:tcPr>
            <w:tcW w:w="938"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31,7</w:t>
            </w:r>
          </w:p>
        </w:tc>
        <w:tc>
          <w:tcPr>
            <w:tcW w:w="857" w:type="pct"/>
            <w:tcBorders>
              <w:bottom w:val="single" w:sz="4" w:space="0" w:color="auto"/>
              <w:right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67</w:t>
            </w:r>
          </w:p>
        </w:tc>
      </w:tr>
      <w:tr w:rsidR="00D42476" w:rsidRPr="00A15C78" w:rsidTr="000579B9">
        <w:trPr>
          <w:trHeight w:val="20"/>
        </w:trPr>
        <w:tc>
          <w:tcPr>
            <w:tcW w:w="2484" w:type="pct"/>
            <w:tcBorders>
              <w:left w:val="single" w:sz="4" w:space="0" w:color="auto"/>
              <w:bottom w:val="single" w:sz="4" w:space="0" w:color="auto"/>
            </w:tcBorders>
            <w:hideMark/>
          </w:tcPr>
          <w:p w:rsidR="00D42476" w:rsidRPr="00280C38" w:rsidRDefault="00D42476" w:rsidP="00D42476">
            <w:pPr>
              <w:rPr>
                <w:color w:val="000000"/>
                <w:sz w:val="20"/>
              </w:rPr>
            </w:pPr>
            <w:r w:rsidRPr="00280C38">
              <w:rPr>
                <w:color w:val="000000"/>
                <w:sz w:val="20"/>
              </w:rPr>
              <w:t xml:space="preserve">Sociālās zinātnes, </w:t>
            </w:r>
            <w:proofErr w:type="spellStart"/>
            <w:r w:rsidRPr="00280C38">
              <w:rPr>
                <w:color w:val="000000"/>
                <w:sz w:val="20"/>
              </w:rPr>
              <w:t>komerczinības</w:t>
            </w:r>
            <w:proofErr w:type="spellEnd"/>
            <w:r w:rsidRPr="00280C38">
              <w:rPr>
                <w:color w:val="000000"/>
                <w:sz w:val="20"/>
              </w:rPr>
              <w:t xml:space="preserve"> un tiesības</w:t>
            </w:r>
          </w:p>
        </w:tc>
        <w:tc>
          <w:tcPr>
            <w:tcW w:w="721"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150,9</w:t>
            </w:r>
          </w:p>
        </w:tc>
        <w:tc>
          <w:tcPr>
            <w:tcW w:w="938"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187,4</w:t>
            </w:r>
          </w:p>
        </w:tc>
        <w:tc>
          <w:tcPr>
            <w:tcW w:w="857" w:type="pct"/>
            <w:tcBorders>
              <w:bottom w:val="single" w:sz="4" w:space="0" w:color="auto"/>
              <w:right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81</w:t>
            </w:r>
          </w:p>
        </w:tc>
      </w:tr>
      <w:tr w:rsidR="00D42476" w:rsidRPr="00A15C78" w:rsidTr="000579B9">
        <w:trPr>
          <w:trHeight w:val="20"/>
        </w:trPr>
        <w:tc>
          <w:tcPr>
            <w:tcW w:w="2484" w:type="pct"/>
            <w:tcBorders>
              <w:left w:val="single" w:sz="4" w:space="0" w:color="auto"/>
              <w:bottom w:val="single" w:sz="4" w:space="0" w:color="auto"/>
            </w:tcBorders>
            <w:hideMark/>
          </w:tcPr>
          <w:p w:rsidR="00D42476" w:rsidRPr="00A15C78" w:rsidRDefault="00D42476" w:rsidP="00D42476">
            <w:pPr>
              <w:rPr>
                <w:color w:val="000000"/>
                <w:sz w:val="20"/>
              </w:rPr>
            </w:pPr>
            <w:r w:rsidRPr="00A15C78">
              <w:rPr>
                <w:color w:val="000000"/>
                <w:sz w:val="20"/>
              </w:rPr>
              <w:t>Dabas zinātnes, matemātika un IT</w:t>
            </w:r>
          </w:p>
        </w:tc>
        <w:tc>
          <w:tcPr>
            <w:tcW w:w="721"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44,4</w:t>
            </w:r>
          </w:p>
        </w:tc>
        <w:tc>
          <w:tcPr>
            <w:tcW w:w="938"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31,8</w:t>
            </w:r>
          </w:p>
        </w:tc>
        <w:tc>
          <w:tcPr>
            <w:tcW w:w="857" w:type="pct"/>
            <w:tcBorders>
              <w:bottom w:val="single" w:sz="4" w:space="0" w:color="auto"/>
              <w:right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140</w:t>
            </w:r>
          </w:p>
        </w:tc>
      </w:tr>
      <w:tr w:rsidR="00D42476" w:rsidRPr="00A15C78" w:rsidTr="000579B9">
        <w:trPr>
          <w:trHeight w:val="20"/>
        </w:trPr>
        <w:tc>
          <w:tcPr>
            <w:tcW w:w="2484" w:type="pct"/>
            <w:tcBorders>
              <w:left w:val="single" w:sz="4" w:space="0" w:color="auto"/>
              <w:bottom w:val="single" w:sz="4" w:space="0" w:color="auto"/>
            </w:tcBorders>
            <w:hideMark/>
          </w:tcPr>
          <w:p w:rsidR="00D42476" w:rsidRPr="00A15C78" w:rsidRDefault="00D42476" w:rsidP="00D42476">
            <w:pPr>
              <w:rPr>
                <w:color w:val="000000"/>
                <w:sz w:val="20"/>
              </w:rPr>
            </w:pPr>
            <w:r w:rsidRPr="00A15C78">
              <w:rPr>
                <w:color w:val="000000"/>
                <w:sz w:val="20"/>
              </w:rPr>
              <w:t>Inženierzinātnes, ražošana un būvniecība</w:t>
            </w:r>
          </w:p>
        </w:tc>
        <w:tc>
          <w:tcPr>
            <w:tcW w:w="721"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77,3</w:t>
            </w:r>
          </w:p>
        </w:tc>
        <w:tc>
          <w:tcPr>
            <w:tcW w:w="938"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60,7</w:t>
            </w:r>
          </w:p>
        </w:tc>
        <w:tc>
          <w:tcPr>
            <w:tcW w:w="857" w:type="pct"/>
            <w:tcBorders>
              <w:bottom w:val="single" w:sz="4" w:space="0" w:color="auto"/>
              <w:right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127</w:t>
            </w:r>
          </w:p>
        </w:tc>
      </w:tr>
      <w:tr w:rsidR="00D42476" w:rsidRPr="00A15C78" w:rsidTr="000579B9">
        <w:trPr>
          <w:trHeight w:val="20"/>
        </w:trPr>
        <w:tc>
          <w:tcPr>
            <w:tcW w:w="2484" w:type="pct"/>
            <w:tcBorders>
              <w:left w:val="single" w:sz="4" w:space="0" w:color="auto"/>
              <w:bottom w:val="single" w:sz="4" w:space="0" w:color="auto"/>
            </w:tcBorders>
            <w:hideMark/>
          </w:tcPr>
          <w:p w:rsidR="00D42476" w:rsidRPr="00A15C78" w:rsidRDefault="00D42476" w:rsidP="00D42476">
            <w:pPr>
              <w:rPr>
                <w:color w:val="000000"/>
                <w:sz w:val="20"/>
              </w:rPr>
            </w:pPr>
            <w:r w:rsidRPr="00A15C78">
              <w:rPr>
                <w:color w:val="000000"/>
                <w:sz w:val="20"/>
              </w:rPr>
              <w:t>Lauksaimniecība</w:t>
            </w:r>
          </w:p>
        </w:tc>
        <w:tc>
          <w:tcPr>
            <w:tcW w:w="721"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8,2</w:t>
            </w:r>
          </w:p>
        </w:tc>
        <w:tc>
          <w:tcPr>
            <w:tcW w:w="938"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7,2</w:t>
            </w:r>
          </w:p>
        </w:tc>
        <w:tc>
          <w:tcPr>
            <w:tcW w:w="857" w:type="pct"/>
            <w:tcBorders>
              <w:bottom w:val="single" w:sz="4" w:space="0" w:color="auto"/>
              <w:right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115</w:t>
            </w:r>
          </w:p>
        </w:tc>
      </w:tr>
      <w:tr w:rsidR="00D42476" w:rsidRPr="00A15C78" w:rsidTr="000579B9">
        <w:trPr>
          <w:trHeight w:val="20"/>
        </w:trPr>
        <w:tc>
          <w:tcPr>
            <w:tcW w:w="2484" w:type="pct"/>
            <w:tcBorders>
              <w:left w:val="single" w:sz="4" w:space="0" w:color="auto"/>
              <w:bottom w:val="single" w:sz="4" w:space="0" w:color="auto"/>
            </w:tcBorders>
            <w:hideMark/>
          </w:tcPr>
          <w:p w:rsidR="00D42476" w:rsidRPr="00A15C78" w:rsidRDefault="00D42476" w:rsidP="00D42476">
            <w:pPr>
              <w:rPr>
                <w:color w:val="000000"/>
                <w:sz w:val="20"/>
              </w:rPr>
            </w:pPr>
            <w:r w:rsidRPr="00A15C78">
              <w:rPr>
                <w:color w:val="000000"/>
                <w:sz w:val="20"/>
              </w:rPr>
              <w:t>Veselības aprūpe un sociālā labklājība</w:t>
            </w:r>
          </w:p>
        </w:tc>
        <w:tc>
          <w:tcPr>
            <w:tcW w:w="721"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39,8</w:t>
            </w:r>
          </w:p>
        </w:tc>
        <w:tc>
          <w:tcPr>
            <w:tcW w:w="938" w:type="pct"/>
            <w:tcBorders>
              <w:bottom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39,6</w:t>
            </w:r>
          </w:p>
        </w:tc>
        <w:tc>
          <w:tcPr>
            <w:tcW w:w="857" w:type="pct"/>
            <w:tcBorders>
              <w:bottom w:val="single" w:sz="4" w:space="0" w:color="auto"/>
              <w:right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101</w:t>
            </w:r>
          </w:p>
        </w:tc>
      </w:tr>
      <w:tr w:rsidR="00D42476" w:rsidRPr="00A15C78" w:rsidTr="000579B9">
        <w:trPr>
          <w:trHeight w:val="20"/>
        </w:trPr>
        <w:tc>
          <w:tcPr>
            <w:tcW w:w="2484" w:type="pct"/>
            <w:tcBorders>
              <w:left w:val="single" w:sz="4" w:space="0" w:color="auto"/>
            </w:tcBorders>
            <w:hideMark/>
          </w:tcPr>
          <w:p w:rsidR="00D42476" w:rsidRPr="00A15C78" w:rsidRDefault="00D42476" w:rsidP="00D42476">
            <w:pPr>
              <w:rPr>
                <w:color w:val="000000"/>
                <w:sz w:val="20"/>
              </w:rPr>
            </w:pPr>
            <w:r w:rsidRPr="00A15C78">
              <w:rPr>
                <w:color w:val="000000"/>
                <w:sz w:val="20"/>
              </w:rPr>
              <w:t>Pakalpojumi</w:t>
            </w:r>
          </w:p>
        </w:tc>
        <w:tc>
          <w:tcPr>
            <w:tcW w:w="721" w:type="pct"/>
            <w:vAlign w:val="bottom"/>
          </w:tcPr>
          <w:p w:rsidR="00D42476" w:rsidRPr="00A15C78" w:rsidRDefault="00D42476" w:rsidP="00D42476">
            <w:pPr>
              <w:jc w:val="center"/>
              <w:rPr>
                <w:color w:val="000000"/>
                <w:sz w:val="22"/>
                <w:szCs w:val="22"/>
              </w:rPr>
            </w:pPr>
            <w:r w:rsidRPr="00A15C78">
              <w:rPr>
                <w:color w:val="000000"/>
                <w:w w:val="80"/>
                <w:sz w:val="22"/>
                <w:szCs w:val="22"/>
              </w:rPr>
              <w:t>14,2</w:t>
            </w:r>
          </w:p>
        </w:tc>
        <w:tc>
          <w:tcPr>
            <w:tcW w:w="938" w:type="pct"/>
            <w:vAlign w:val="bottom"/>
          </w:tcPr>
          <w:p w:rsidR="00D42476" w:rsidRPr="00A15C78" w:rsidRDefault="00D42476" w:rsidP="00D42476">
            <w:pPr>
              <w:jc w:val="center"/>
              <w:rPr>
                <w:color w:val="000000"/>
                <w:sz w:val="22"/>
                <w:szCs w:val="22"/>
              </w:rPr>
            </w:pPr>
            <w:r w:rsidRPr="00A15C78">
              <w:rPr>
                <w:color w:val="000000"/>
                <w:w w:val="80"/>
                <w:sz w:val="22"/>
                <w:szCs w:val="22"/>
              </w:rPr>
              <w:t>22,4</w:t>
            </w:r>
          </w:p>
        </w:tc>
        <w:tc>
          <w:tcPr>
            <w:tcW w:w="857" w:type="pct"/>
            <w:tcBorders>
              <w:right w:val="single" w:sz="4" w:space="0" w:color="auto"/>
            </w:tcBorders>
            <w:vAlign w:val="bottom"/>
          </w:tcPr>
          <w:p w:rsidR="00D42476" w:rsidRPr="00A15C78" w:rsidRDefault="00D42476" w:rsidP="00D42476">
            <w:pPr>
              <w:jc w:val="center"/>
              <w:rPr>
                <w:color w:val="000000"/>
                <w:sz w:val="22"/>
                <w:szCs w:val="22"/>
              </w:rPr>
            </w:pPr>
            <w:r w:rsidRPr="00A15C78">
              <w:rPr>
                <w:color w:val="000000"/>
                <w:w w:val="80"/>
                <w:sz w:val="22"/>
                <w:szCs w:val="22"/>
              </w:rPr>
              <w:t>63</w:t>
            </w:r>
          </w:p>
        </w:tc>
      </w:tr>
      <w:tr w:rsidR="00D42476" w:rsidRPr="00A15C78" w:rsidTr="000579B9">
        <w:trPr>
          <w:trHeight w:val="20"/>
        </w:trPr>
        <w:tc>
          <w:tcPr>
            <w:tcW w:w="2484" w:type="pct"/>
            <w:tcBorders>
              <w:left w:val="single" w:sz="4" w:space="0" w:color="auto"/>
            </w:tcBorders>
          </w:tcPr>
          <w:p w:rsidR="00D42476" w:rsidRPr="00A15C78" w:rsidRDefault="00D42476" w:rsidP="00D42476">
            <w:pPr>
              <w:rPr>
                <w:b/>
                <w:color w:val="000000"/>
                <w:sz w:val="20"/>
              </w:rPr>
            </w:pPr>
            <w:r>
              <w:rPr>
                <w:b/>
                <w:bCs/>
                <w:sz w:val="20"/>
              </w:rPr>
              <w:t>Vidējā profesionālā</w:t>
            </w:r>
            <w:r w:rsidRPr="00280C38">
              <w:rPr>
                <w:b/>
                <w:bCs/>
                <w:sz w:val="20"/>
              </w:rPr>
              <w:t xml:space="preserve"> izglītība kopā</w:t>
            </w:r>
            <w:r>
              <w:rPr>
                <w:b/>
                <w:bCs/>
                <w:sz w:val="20"/>
              </w:rPr>
              <w:t>, tai skaitā:</w:t>
            </w:r>
          </w:p>
        </w:tc>
        <w:tc>
          <w:tcPr>
            <w:tcW w:w="721" w:type="pct"/>
            <w:vAlign w:val="bottom"/>
          </w:tcPr>
          <w:p w:rsidR="00D42476" w:rsidRPr="005D13ED" w:rsidRDefault="00D42476" w:rsidP="00D42476">
            <w:pPr>
              <w:jc w:val="center"/>
              <w:rPr>
                <w:b/>
                <w:color w:val="000000"/>
                <w:w w:val="80"/>
                <w:sz w:val="22"/>
                <w:szCs w:val="22"/>
              </w:rPr>
            </w:pPr>
            <w:r w:rsidRPr="005D13ED">
              <w:rPr>
                <w:b/>
                <w:color w:val="000000"/>
                <w:w w:val="80"/>
                <w:sz w:val="22"/>
                <w:szCs w:val="22"/>
              </w:rPr>
              <w:t>299,4</w:t>
            </w:r>
          </w:p>
        </w:tc>
        <w:tc>
          <w:tcPr>
            <w:tcW w:w="938" w:type="pct"/>
            <w:vAlign w:val="bottom"/>
          </w:tcPr>
          <w:p w:rsidR="00D42476" w:rsidRPr="005D13ED" w:rsidRDefault="00D42476" w:rsidP="00D42476">
            <w:pPr>
              <w:jc w:val="center"/>
              <w:rPr>
                <w:b/>
                <w:color w:val="000000"/>
                <w:w w:val="80"/>
                <w:sz w:val="22"/>
                <w:szCs w:val="22"/>
              </w:rPr>
            </w:pPr>
            <w:r w:rsidRPr="005D13ED">
              <w:rPr>
                <w:b/>
                <w:color w:val="000000"/>
                <w:w w:val="80"/>
                <w:sz w:val="22"/>
                <w:szCs w:val="22"/>
              </w:rPr>
              <w:t>233,9</w:t>
            </w:r>
          </w:p>
        </w:tc>
        <w:tc>
          <w:tcPr>
            <w:tcW w:w="857" w:type="pct"/>
            <w:tcBorders>
              <w:right w:val="single" w:sz="4" w:space="0" w:color="auto"/>
            </w:tcBorders>
            <w:vAlign w:val="bottom"/>
          </w:tcPr>
          <w:p w:rsidR="00D42476" w:rsidRPr="005D13ED" w:rsidRDefault="00D42476" w:rsidP="00D42476">
            <w:pPr>
              <w:jc w:val="center"/>
              <w:rPr>
                <w:b/>
                <w:color w:val="000000"/>
                <w:w w:val="80"/>
                <w:sz w:val="22"/>
                <w:szCs w:val="22"/>
              </w:rPr>
            </w:pPr>
            <w:r w:rsidRPr="005D13ED">
              <w:rPr>
                <w:b/>
                <w:color w:val="000000"/>
                <w:w w:val="80"/>
                <w:sz w:val="22"/>
                <w:szCs w:val="22"/>
              </w:rPr>
              <w:t>128</w:t>
            </w:r>
          </w:p>
        </w:tc>
      </w:tr>
      <w:tr w:rsidR="00D42476" w:rsidRPr="00A15C78" w:rsidTr="000579B9">
        <w:trPr>
          <w:trHeight w:val="20"/>
        </w:trPr>
        <w:tc>
          <w:tcPr>
            <w:tcW w:w="2484" w:type="pct"/>
            <w:tcBorders>
              <w:left w:val="single" w:sz="4" w:space="0" w:color="auto"/>
            </w:tcBorders>
          </w:tcPr>
          <w:p w:rsidR="00D42476" w:rsidRPr="00A15C78" w:rsidRDefault="00D42476" w:rsidP="00D42476">
            <w:pPr>
              <w:rPr>
                <w:color w:val="000000"/>
                <w:sz w:val="20"/>
              </w:rPr>
            </w:pPr>
            <w:r w:rsidRPr="00A15C78">
              <w:rPr>
                <w:color w:val="000000"/>
                <w:sz w:val="20"/>
              </w:rPr>
              <w:t>Izglītība</w:t>
            </w:r>
          </w:p>
        </w:tc>
        <w:tc>
          <w:tcPr>
            <w:tcW w:w="721" w:type="pct"/>
            <w:vAlign w:val="bottom"/>
          </w:tcPr>
          <w:p w:rsidR="00D42476" w:rsidRPr="00A15C78" w:rsidRDefault="00D42476" w:rsidP="00D42476">
            <w:pPr>
              <w:jc w:val="center"/>
              <w:rPr>
                <w:color w:val="000000"/>
                <w:w w:val="80"/>
                <w:sz w:val="22"/>
                <w:szCs w:val="22"/>
              </w:rPr>
            </w:pPr>
            <w:r w:rsidRPr="00A15C78">
              <w:rPr>
                <w:color w:val="000000"/>
                <w:w w:val="80"/>
                <w:sz w:val="22"/>
                <w:szCs w:val="22"/>
              </w:rPr>
              <w:t>2,6</w:t>
            </w:r>
          </w:p>
        </w:tc>
        <w:tc>
          <w:tcPr>
            <w:tcW w:w="938" w:type="pct"/>
            <w:vAlign w:val="bottom"/>
          </w:tcPr>
          <w:p w:rsidR="00D42476" w:rsidRPr="00A15C78" w:rsidRDefault="00D42476" w:rsidP="00D42476">
            <w:pPr>
              <w:jc w:val="center"/>
              <w:rPr>
                <w:color w:val="000000"/>
                <w:w w:val="80"/>
                <w:sz w:val="22"/>
                <w:szCs w:val="22"/>
              </w:rPr>
            </w:pPr>
            <w:r w:rsidRPr="00A15C78">
              <w:rPr>
                <w:color w:val="000000"/>
                <w:w w:val="80"/>
                <w:sz w:val="22"/>
                <w:szCs w:val="22"/>
              </w:rPr>
              <w:t>1,3</w:t>
            </w:r>
          </w:p>
        </w:tc>
        <w:tc>
          <w:tcPr>
            <w:tcW w:w="857" w:type="pct"/>
            <w:tcBorders>
              <w:right w:val="single" w:sz="4" w:space="0" w:color="auto"/>
            </w:tcBorders>
            <w:vAlign w:val="bottom"/>
          </w:tcPr>
          <w:p w:rsidR="00D42476" w:rsidRPr="00A15C78" w:rsidRDefault="00D42476" w:rsidP="00D42476">
            <w:pPr>
              <w:jc w:val="center"/>
              <w:rPr>
                <w:color w:val="000000"/>
                <w:w w:val="80"/>
                <w:sz w:val="22"/>
                <w:szCs w:val="22"/>
              </w:rPr>
            </w:pPr>
            <w:r w:rsidRPr="00A15C78">
              <w:rPr>
                <w:color w:val="000000"/>
                <w:w w:val="80"/>
                <w:sz w:val="22"/>
                <w:szCs w:val="22"/>
              </w:rPr>
              <w:t>195</w:t>
            </w:r>
          </w:p>
        </w:tc>
      </w:tr>
      <w:tr w:rsidR="00D42476" w:rsidRPr="00A15C78" w:rsidTr="000579B9">
        <w:trPr>
          <w:trHeight w:val="20"/>
        </w:trPr>
        <w:tc>
          <w:tcPr>
            <w:tcW w:w="2484" w:type="pct"/>
            <w:tcBorders>
              <w:left w:val="single" w:sz="4" w:space="0" w:color="auto"/>
            </w:tcBorders>
          </w:tcPr>
          <w:p w:rsidR="00D42476" w:rsidRPr="00A15C78" w:rsidRDefault="00D42476" w:rsidP="00D42476">
            <w:pPr>
              <w:rPr>
                <w:color w:val="000000"/>
                <w:sz w:val="20"/>
              </w:rPr>
            </w:pPr>
            <w:r w:rsidRPr="00A15C78">
              <w:rPr>
                <w:color w:val="000000"/>
                <w:sz w:val="20"/>
              </w:rPr>
              <w:t>Humanitārās zinātnes un māksla</w:t>
            </w:r>
          </w:p>
        </w:tc>
        <w:tc>
          <w:tcPr>
            <w:tcW w:w="721" w:type="pct"/>
            <w:vAlign w:val="bottom"/>
          </w:tcPr>
          <w:p w:rsidR="00D42476" w:rsidRPr="00A15C78" w:rsidRDefault="00D42476" w:rsidP="00D42476">
            <w:pPr>
              <w:jc w:val="center"/>
              <w:rPr>
                <w:color w:val="000000"/>
                <w:w w:val="80"/>
                <w:sz w:val="22"/>
                <w:szCs w:val="22"/>
              </w:rPr>
            </w:pPr>
            <w:r w:rsidRPr="00A15C78">
              <w:rPr>
                <w:color w:val="000000"/>
                <w:w w:val="80"/>
                <w:sz w:val="22"/>
                <w:szCs w:val="22"/>
              </w:rPr>
              <w:t>7,1</w:t>
            </w:r>
          </w:p>
        </w:tc>
        <w:tc>
          <w:tcPr>
            <w:tcW w:w="938" w:type="pct"/>
            <w:vAlign w:val="bottom"/>
          </w:tcPr>
          <w:p w:rsidR="00D42476" w:rsidRPr="00A15C78" w:rsidRDefault="00D42476" w:rsidP="00D42476">
            <w:pPr>
              <w:jc w:val="center"/>
              <w:rPr>
                <w:color w:val="000000"/>
                <w:w w:val="80"/>
                <w:sz w:val="22"/>
                <w:szCs w:val="22"/>
              </w:rPr>
            </w:pPr>
            <w:r w:rsidRPr="00A15C78">
              <w:rPr>
                <w:color w:val="000000"/>
                <w:w w:val="80"/>
                <w:sz w:val="22"/>
                <w:szCs w:val="22"/>
              </w:rPr>
              <w:t>10,0</w:t>
            </w:r>
          </w:p>
        </w:tc>
        <w:tc>
          <w:tcPr>
            <w:tcW w:w="857" w:type="pct"/>
            <w:tcBorders>
              <w:right w:val="single" w:sz="4" w:space="0" w:color="auto"/>
            </w:tcBorders>
            <w:vAlign w:val="bottom"/>
          </w:tcPr>
          <w:p w:rsidR="00D42476" w:rsidRPr="00A15C78" w:rsidRDefault="00D42476" w:rsidP="00D42476">
            <w:pPr>
              <w:jc w:val="center"/>
              <w:rPr>
                <w:color w:val="000000"/>
                <w:w w:val="80"/>
                <w:sz w:val="22"/>
                <w:szCs w:val="22"/>
              </w:rPr>
            </w:pPr>
            <w:r w:rsidRPr="00A15C78">
              <w:rPr>
                <w:color w:val="000000"/>
                <w:w w:val="80"/>
                <w:sz w:val="22"/>
                <w:szCs w:val="22"/>
              </w:rPr>
              <w:t>71</w:t>
            </w:r>
          </w:p>
        </w:tc>
      </w:tr>
      <w:tr w:rsidR="00D42476" w:rsidRPr="00A15C78" w:rsidTr="000579B9">
        <w:trPr>
          <w:trHeight w:val="20"/>
        </w:trPr>
        <w:tc>
          <w:tcPr>
            <w:tcW w:w="2484" w:type="pct"/>
            <w:tcBorders>
              <w:left w:val="single" w:sz="4" w:space="0" w:color="auto"/>
            </w:tcBorders>
          </w:tcPr>
          <w:p w:rsidR="00D42476" w:rsidRPr="00A15C78" w:rsidRDefault="00D42476" w:rsidP="00D42476">
            <w:pPr>
              <w:rPr>
                <w:color w:val="000000"/>
                <w:sz w:val="20"/>
              </w:rPr>
            </w:pPr>
            <w:r w:rsidRPr="00A15C78">
              <w:rPr>
                <w:color w:val="000000"/>
                <w:sz w:val="20"/>
              </w:rPr>
              <w:t xml:space="preserve">Sociālās zinātnes, </w:t>
            </w:r>
            <w:proofErr w:type="spellStart"/>
            <w:r w:rsidRPr="00A15C78">
              <w:rPr>
                <w:color w:val="000000"/>
                <w:sz w:val="20"/>
              </w:rPr>
              <w:t>komerczinības</w:t>
            </w:r>
            <w:proofErr w:type="spellEnd"/>
            <w:r w:rsidRPr="00A15C78">
              <w:rPr>
                <w:color w:val="000000"/>
                <w:sz w:val="20"/>
              </w:rPr>
              <w:t xml:space="preserve"> un tiesības</w:t>
            </w:r>
          </w:p>
        </w:tc>
        <w:tc>
          <w:tcPr>
            <w:tcW w:w="721" w:type="pct"/>
            <w:vAlign w:val="bottom"/>
          </w:tcPr>
          <w:p w:rsidR="00D42476" w:rsidRPr="00A15C78" w:rsidRDefault="00D42476" w:rsidP="00D42476">
            <w:pPr>
              <w:jc w:val="center"/>
              <w:rPr>
                <w:color w:val="000000"/>
                <w:w w:val="80"/>
                <w:sz w:val="22"/>
                <w:szCs w:val="22"/>
              </w:rPr>
            </w:pPr>
            <w:r w:rsidRPr="00A15C78">
              <w:rPr>
                <w:color w:val="000000"/>
                <w:w w:val="80"/>
                <w:sz w:val="22"/>
                <w:szCs w:val="22"/>
              </w:rPr>
              <w:t>24,7</w:t>
            </w:r>
          </w:p>
        </w:tc>
        <w:tc>
          <w:tcPr>
            <w:tcW w:w="938" w:type="pct"/>
            <w:vAlign w:val="bottom"/>
          </w:tcPr>
          <w:p w:rsidR="00D42476" w:rsidRPr="00A15C78" w:rsidRDefault="00D42476" w:rsidP="00D42476">
            <w:pPr>
              <w:jc w:val="center"/>
              <w:rPr>
                <w:color w:val="000000"/>
                <w:w w:val="80"/>
                <w:sz w:val="22"/>
                <w:szCs w:val="22"/>
              </w:rPr>
            </w:pPr>
            <w:r w:rsidRPr="00A15C78">
              <w:rPr>
                <w:color w:val="000000"/>
                <w:w w:val="80"/>
                <w:sz w:val="22"/>
                <w:szCs w:val="22"/>
              </w:rPr>
              <w:t>26,4</w:t>
            </w:r>
          </w:p>
        </w:tc>
        <w:tc>
          <w:tcPr>
            <w:tcW w:w="857" w:type="pct"/>
            <w:tcBorders>
              <w:right w:val="single" w:sz="4" w:space="0" w:color="auto"/>
            </w:tcBorders>
            <w:vAlign w:val="bottom"/>
          </w:tcPr>
          <w:p w:rsidR="00D42476" w:rsidRPr="00A15C78" w:rsidRDefault="00D42476" w:rsidP="00D42476">
            <w:pPr>
              <w:jc w:val="center"/>
              <w:rPr>
                <w:color w:val="000000"/>
                <w:w w:val="80"/>
                <w:sz w:val="22"/>
                <w:szCs w:val="22"/>
              </w:rPr>
            </w:pPr>
            <w:r w:rsidRPr="00A15C78">
              <w:rPr>
                <w:color w:val="000000"/>
                <w:w w:val="80"/>
                <w:sz w:val="22"/>
                <w:szCs w:val="22"/>
              </w:rPr>
              <w:t>94</w:t>
            </w:r>
          </w:p>
        </w:tc>
      </w:tr>
      <w:tr w:rsidR="00D42476" w:rsidRPr="00A15C78" w:rsidTr="000579B9">
        <w:trPr>
          <w:trHeight w:val="20"/>
        </w:trPr>
        <w:tc>
          <w:tcPr>
            <w:tcW w:w="2484" w:type="pct"/>
            <w:tcBorders>
              <w:left w:val="single" w:sz="4" w:space="0" w:color="auto"/>
            </w:tcBorders>
          </w:tcPr>
          <w:p w:rsidR="00D42476" w:rsidRPr="00A15C78" w:rsidRDefault="00D42476" w:rsidP="00D42476">
            <w:pPr>
              <w:rPr>
                <w:color w:val="000000"/>
                <w:sz w:val="20"/>
              </w:rPr>
            </w:pPr>
            <w:r w:rsidRPr="00A15C78">
              <w:rPr>
                <w:color w:val="000000"/>
                <w:sz w:val="20"/>
              </w:rPr>
              <w:t>Dabas zinātnes, matemātika un IT</w:t>
            </w:r>
          </w:p>
        </w:tc>
        <w:tc>
          <w:tcPr>
            <w:tcW w:w="721" w:type="pct"/>
            <w:vAlign w:val="bottom"/>
          </w:tcPr>
          <w:p w:rsidR="00D42476" w:rsidRPr="00A15C78" w:rsidRDefault="00D42476" w:rsidP="00D42476">
            <w:pPr>
              <w:jc w:val="center"/>
              <w:rPr>
                <w:color w:val="000000"/>
                <w:w w:val="80"/>
                <w:sz w:val="22"/>
                <w:szCs w:val="22"/>
              </w:rPr>
            </w:pPr>
            <w:r w:rsidRPr="00A15C78">
              <w:rPr>
                <w:color w:val="000000"/>
                <w:w w:val="80"/>
                <w:sz w:val="22"/>
                <w:szCs w:val="22"/>
              </w:rPr>
              <w:t>7,4</w:t>
            </w:r>
          </w:p>
        </w:tc>
        <w:tc>
          <w:tcPr>
            <w:tcW w:w="938" w:type="pct"/>
            <w:vAlign w:val="bottom"/>
          </w:tcPr>
          <w:p w:rsidR="00D42476" w:rsidRPr="00A15C78" w:rsidRDefault="00D42476" w:rsidP="00D42476">
            <w:pPr>
              <w:jc w:val="center"/>
              <w:rPr>
                <w:color w:val="000000"/>
                <w:w w:val="80"/>
                <w:sz w:val="22"/>
                <w:szCs w:val="22"/>
              </w:rPr>
            </w:pPr>
            <w:r w:rsidRPr="00A15C78">
              <w:rPr>
                <w:color w:val="000000"/>
                <w:w w:val="80"/>
                <w:sz w:val="22"/>
                <w:szCs w:val="22"/>
              </w:rPr>
              <w:t>6,1</w:t>
            </w:r>
          </w:p>
        </w:tc>
        <w:tc>
          <w:tcPr>
            <w:tcW w:w="857" w:type="pct"/>
            <w:tcBorders>
              <w:right w:val="single" w:sz="4" w:space="0" w:color="auto"/>
            </w:tcBorders>
            <w:vAlign w:val="bottom"/>
          </w:tcPr>
          <w:p w:rsidR="00D42476" w:rsidRPr="00A15C78" w:rsidRDefault="00D42476" w:rsidP="00D42476">
            <w:pPr>
              <w:jc w:val="center"/>
              <w:rPr>
                <w:color w:val="000000"/>
                <w:w w:val="80"/>
                <w:sz w:val="22"/>
                <w:szCs w:val="22"/>
              </w:rPr>
            </w:pPr>
            <w:r w:rsidRPr="00A15C78">
              <w:rPr>
                <w:color w:val="000000"/>
                <w:w w:val="80"/>
                <w:sz w:val="22"/>
                <w:szCs w:val="22"/>
              </w:rPr>
              <w:t>120</w:t>
            </w:r>
          </w:p>
        </w:tc>
      </w:tr>
      <w:tr w:rsidR="00D42476" w:rsidRPr="00A15C78" w:rsidTr="000579B9">
        <w:trPr>
          <w:trHeight w:val="20"/>
        </w:trPr>
        <w:tc>
          <w:tcPr>
            <w:tcW w:w="2484" w:type="pct"/>
            <w:tcBorders>
              <w:left w:val="single" w:sz="4" w:space="0" w:color="auto"/>
            </w:tcBorders>
          </w:tcPr>
          <w:p w:rsidR="00D42476" w:rsidRPr="00A15C78" w:rsidRDefault="00D42476" w:rsidP="00D42476">
            <w:pPr>
              <w:rPr>
                <w:color w:val="000000"/>
                <w:sz w:val="20"/>
              </w:rPr>
            </w:pPr>
            <w:r w:rsidRPr="00A15C78">
              <w:rPr>
                <w:color w:val="000000"/>
                <w:sz w:val="20"/>
              </w:rPr>
              <w:t>Inženierzinātnes, ražošana un būvniecība</w:t>
            </w:r>
          </w:p>
        </w:tc>
        <w:tc>
          <w:tcPr>
            <w:tcW w:w="721" w:type="pct"/>
            <w:vAlign w:val="bottom"/>
          </w:tcPr>
          <w:p w:rsidR="00D42476" w:rsidRPr="00A15C78" w:rsidRDefault="00D42476" w:rsidP="00D42476">
            <w:pPr>
              <w:jc w:val="center"/>
              <w:rPr>
                <w:color w:val="000000"/>
                <w:w w:val="80"/>
                <w:sz w:val="22"/>
                <w:szCs w:val="22"/>
              </w:rPr>
            </w:pPr>
            <w:r w:rsidRPr="00A15C78">
              <w:rPr>
                <w:color w:val="000000"/>
                <w:w w:val="80"/>
                <w:sz w:val="22"/>
                <w:szCs w:val="22"/>
              </w:rPr>
              <w:t>184,7</w:t>
            </w:r>
          </w:p>
        </w:tc>
        <w:tc>
          <w:tcPr>
            <w:tcW w:w="938" w:type="pct"/>
            <w:vAlign w:val="bottom"/>
          </w:tcPr>
          <w:p w:rsidR="00D42476" w:rsidRPr="00A15C78" w:rsidRDefault="00D42476" w:rsidP="00D42476">
            <w:pPr>
              <w:jc w:val="center"/>
              <w:rPr>
                <w:color w:val="000000"/>
                <w:w w:val="80"/>
                <w:sz w:val="22"/>
                <w:szCs w:val="22"/>
              </w:rPr>
            </w:pPr>
            <w:r w:rsidRPr="00A15C78">
              <w:rPr>
                <w:color w:val="000000"/>
                <w:w w:val="80"/>
                <w:sz w:val="22"/>
                <w:szCs w:val="22"/>
              </w:rPr>
              <w:t>126,4</w:t>
            </w:r>
          </w:p>
        </w:tc>
        <w:tc>
          <w:tcPr>
            <w:tcW w:w="857" w:type="pct"/>
            <w:tcBorders>
              <w:right w:val="single" w:sz="4" w:space="0" w:color="auto"/>
            </w:tcBorders>
            <w:vAlign w:val="bottom"/>
          </w:tcPr>
          <w:p w:rsidR="00D42476" w:rsidRPr="00A15C78" w:rsidRDefault="00D42476" w:rsidP="00D42476">
            <w:pPr>
              <w:jc w:val="center"/>
              <w:rPr>
                <w:color w:val="000000"/>
                <w:w w:val="80"/>
                <w:sz w:val="22"/>
                <w:szCs w:val="22"/>
              </w:rPr>
            </w:pPr>
            <w:r w:rsidRPr="00A15C78">
              <w:rPr>
                <w:color w:val="000000"/>
                <w:w w:val="80"/>
                <w:sz w:val="22"/>
                <w:szCs w:val="22"/>
              </w:rPr>
              <w:t>146</w:t>
            </w:r>
          </w:p>
        </w:tc>
      </w:tr>
      <w:tr w:rsidR="00D42476" w:rsidRPr="00A15C78" w:rsidTr="000579B9">
        <w:trPr>
          <w:trHeight w:val="20"/>
        </w:trPr>
        <w:tc>
          <w:tcPr>
            <w:tcW w:w="2484" w:type="pct"/>
            <w:tcBorders>
              <w:left w:val="single" w:sz="4" w:space="0" w:color="auto"/>
            </w:tcBorders>
          </w:tcPr>
          <w:p w:rsidR="00D42476" w:rsidRPr="00A15C78" w:rsidRDefault="00D42476" w:rsidP="00D42476">
            <w:pPr>
              <w:rPr>
                <w:color w:val="000000"/>
                <w:sz w:val="20"/>
              </w:rPr>
            </w:pPr>
            <w:r w:rsidRPr="00A15C78">
              <w:rPr>
                <w:color w:val="000000"/>
                <w:sz w:val="20"/>
              </w:rPr>
              <w:t>Lauksaimniecība</w:t>
            </w:r>
          </w:p>
        </w:tc>
        <w:tc>
          <w:tcPr>
            <w:tcW w:w="721" w:type="pct"/>
            <w:vAlign w:val="bottom"/>
          </w:tcPr>
          <w:p w:rsidR="00D42476" w:rsidRPr="00A15C78" w:rsidRDefault="00D42476" w:rsidP="00D42476">
            <w:pPr>
              <w:jc w:val="center"/>
              <w:rPr>
                <w:color w:val="000000"/>
                <w:w w:val="80"/>
                <w:sz w:val="22"/>
                <w:szCs w:val="22"/>
              </w:rPr>
            </w:pPr>
            <w:r w:rsidRPr="00A15C78">
              <w:rPr>
                <w:color w:val="000000"/>
                <w:w w:val="80"/>
                <w:sz w:val="22"/>
                <w:szCs w:val="22"/>
              </w:rPr>
              <w:t>16,3</w:t>
            </w:r>
          </w:p>
        </w:tc>
        <w:tc>
          <w:tcPr>
            <w:tcW w:w="938" w:type="pct"/>
            <w:vAlign w:val="bottom"/>
          </w:tcPr>
          <w:p w:rsidR="00D42476" w:rsidRPr="00A15C78" w:rsidRDefault="00D42476" w:rsidP="00D42476">
            <w:pPr>
              <w:jc w:val="center"/>
              <w:rPr>
                <w:color w:val="000000"/>
                <w:w w:val="80"/>
                <w:sz w:val="22"/>
                <w:szCs w:val="22"/>
              </w:rPr>
            </w:pPr>
            <w:r w:rsidRPr="00A15C78">
              <w:rPr>
                <w:color w:val="000000"/>
                <w:w w:val="80"/>
                <w:sz w:val="22"/>
                <w:szCs w:val="22"/>
              </w:rPr>
              <w:t>11,6</w:t>
            </w:r>
          </w:p>
        </w:tc>
        <w:tc>
          <w:tcPr>
            <w:tcW w:w="857" w:type="pct"/>
            <w:tcBorders>
              <w:right w:val="single" w:sz="4" w:space="0" w:color="auto"/>
            </w:tcBorders>
            <w:vAlign w:val="bottom"/>
          </w:tcPr>
          <w:p w:rsidR="00D42476" w:rsidRPr="00A15C78" w:rsidRDefault="00D42476" w:rsidP="00D42476">
            <w:pPr>
              <w:jc w:val="center"/>
              <w:rPr>
                <w:color w:val="000000"/>
                <w:w w:val="80"/>
                <w:sz w:val="22"/>
                <w:szCs w:val="22"/>
              </w:rPr>
            </w:pPr>
            <w:r w:rsidRPr="00A15C78">
              <w:rPr>
                <w:color w:val="000000"/>
                <w:w w:val="80"/>
                <w:sz w:val="22"/>
                <w:szCs w:val="22"/>
              </w:rPr>
              <w:t>140</w:t>
            </w:r>
          </w:p>
        </w:tc>
      </w:tr>
      <w:tr w:rsidR="00D42476" w:rsidRPr="00A15C78" w:rsidTr="000579B9">
        <w:trPr>
          <w:trHeight w:val="20"/>
        </w:trPr>
        <w:tc>
          <w:tcPr>
            <w:tcW w:w="2484" w:type="pct"/>
            <w:tcBorders>
              <w:left w:val="single" w:sz="4" w:space="0" w:color="auto"/>
            </w:tcBorders>
          </w:tcPr>
          <w:p w:rsidR="00D42476" w:rsidRPr="00A15C78" w:rsidRDefault="00D42476" w:rsidP="00D42476">
            <w:pPr>
              <w:rPr>
                <w:color w:val="000000"/>
                <w:sz w:val="20"/>
              </w:rPr>
            </w:pPr>
            <w:r w:rsidRPr="00A15C78">
              <w:rPr>
                <w:color w:val="000000"/>
                <w:sz w:val="20"/>
              </w:rPr>
              <w:t>Veselības aprūpe un sociālā labklājība</w:t>
            </w:r>
          </w:p>
        </w:tc>
        <w:tc>
          <w:tcPr>
            <w:tcW w:w="721" w:type="pct"/>
            <w:vAlign w:val="bottom"/>
          </w:tcPr>
          <w:p w:rsidR="00D42476" w:rsidRPr="00A15C78" w:rsidRDefault="00D42476" w:rsidP="00D42476">
            <w:pPr>
              <w:jc w:val="center"/>
              <w:rPr>
                <w:color w:val="000000"/>
                <w:w w:val="80"/>
                <w:sz w:val="22"/>
                <w:szCs w:val="22"/>
              </w:rPr>
            </w:pPr>
            <w:r w:rsidRPr="00A15C78">
              <w:rPr>
                <w:color w:val="000000"/>
                <w:w w:val="80"/>
                <w:sz w:val="22"/>
                <w:szCs w:val="22"/>
              </w:rPr>
              <w:t>10,9</w:t>
            </w:r>
          </w:p>
        </w:tc>
        <w:tc>
          <w:tcPr>
            <w:tcW w:w="938" w:type="pct"/>
            <w:vAlign w:val="bottom"/>
          </w:tcPr>
          <w:p w:rsidR="00D42476" w:rsidRPr="00A15C78" w:rsidRDefault="00D42476" w:rsidP="00D42476">
            <w:pPr>
              <w:jc w:val="center"/>
              <w:rPr>
                <w:color w:val="000000"/>
                <w:w w:val="80"/>
                <w:sz w:val="22"/>
                <w:szCs w:val="22"/>
              </w:rPr>
            </w:pPr>
            <w:r w:rsidRPr="00A15C78">
              <w:rPr>
                <w:color w:val="000000"/>
                <w:w w:val="80"/>
                <w:sz w:val="22"/>
                <w:szCs w:val="22"/>
              </w:rPr>
              <w:t>9,0</w:t>
            </w:r>
          </w:p>
        </w:tc>
        <w:tc>
          <w:tcPr>
            <w:tcW w:w="857" w:type="pct"/>
            <w:tcBorders>
              <w:right w:val="single" w:sz="4" w:space="0" w:color="auto"/>
            </w:tcBorders>
            <w:vAlign w:val="bottom"/>
          </w:tcPr>
          <w:p w:rsidR="00D42476" w:rsidRPr="00A15C78" w:rsidRDefault="00D42476" w:rsidP="00D42476">
            <w:pPr>
              <w:jc w:val="center"/>
              <w:rPr>
                <w:color w:val="000000"/>
                <w:w w:val="80"/>
                <w:sz w:val="22"/>
                <w:szCs w:val="22"/>
              </w:rPr>
            </w:pPr>
            <w:r w:rsidRPr="00A15C78">
              <w:rPr>
                <w:color w:val="000000"/>
                <w:w w:val="80"/>
                <w:sz w:val="22"/>
                <w:szCs w:val="22"/>
              </w:rPr>
              <w:t>122</w:t>
            </w:r>
          </w:p>
        </w:tc>
      </w:tr>
      <w:tr w:rsidR="00D42476" w:rsidRPr="00A15C78" w:rsidTr="000579B9">
        <w:trPr>
          <w:trHeight w:val="20"/>
        </w:trPr>
        <w:tc>
          <w:tcPr>
            <w:tcW w:w="2484" w:type="pct"/>
            <w:tcBorders>
              <w:left w:val="single" w:sz="4" w:space="0" w:color="auto"/>
              <w:bottom w:val="single" w:sz="4" w:space="0" w:color="auto"/>
            </w:tcBorders>
          </w:tcPr>
          <w:p w:rsidR="00D42476" w:rsidRPr="00A15C78" w:rsidRDefault="00D42476" w:rsidP="00D42476">
            <w:pPr>
              <w:rPr>
                <w:color w:val="000000"/>
                <w:sz w:val="20"/>
              </w:rPr>
            </w:pPr>
            <w:r w:rsidRPr="00A15C78">
              <w:rPr>
                <w:color w:val="000000"/>
                <w:sz w:val="20"/>
              </w:rPr>
              <w:t>Pakalpojumi</w:t>
            </w:r>
          </w:p>
        </w:tc>
        <w:tc>
          <w:tcPr>
            <w:tcW w:w="721" w:type="pct"/>
            <w:tcBorders>
              <w:bottom w:val="single" w:sz="4" w:space="0" w:color="auto"/>
            </w:tcBorders>
            <w:vAlign w:val="bottom"/>
          </w:tcPr>
          <w:p w:rsidR="00D42476" w:rsidRPr="00A15C78" w:rsidRDefault="00D42476" w:rsidP="00D42476">
            <w:pPr>
              <w:jc w:val="center"/>
              <w:rPr>
                <w:color w:val="000000"/>
                <w:w w:val="80"/>
                <w:sz w:val="22"/>
                <w:szCs w:val="22"/>
              </w:rPr>
            </w:pPr>
            <w:r w:rsidRPr="00A15C78">
              <w:rPr>
                <w:color w:val="000000"/>
                <w:w w:val="80"/>
                <w:sz w:val="22"/>
                <w:szCs w:val="22"/>
              </w:rPr>
              <w:t>45,8</w:t>
            </w:r>
          </w:p>
        </w:tc>
        <w:tc>
          <w:tcPr>
            <w:tcW w:w="938" w:type="pct"/>
            <w:tcBorders>
              <w:bottom w:val="single" w:sz="4" w:space="0" w:color="auto"/>
            </w:tcBorders>
            <w:vAlign w:val="bottom"/>
          </w:tcPr>
          <w:p w:rsidR="00D42476" w:rsidRPr="00A15C78" w:rsidRDefault="00D42476" w:rsidP="00D42476">
            <w:pPr>
              <w:jc w:val="center"/>
              <w:rPr>
                <w:color w:val="000000"/>
                <w:w w:val="80"/>
                <w:sz w:val="22"/>
                <w:szCs w:val="22"/>
              </w:rPr>
            </w:pPr>
            <w:r w:rsidRPr="00A15C78">
              <w:rPr>
                <w:color w:val="000000"/>
                <w:w w:val="80"/>
                <w:sz w:val="22"/>
                <w:szCs w:val="22"/>
              </w:rPr>
              <w:t>43,1</w:t>
            </w:r>
          </w:p>
        </w:tc>
        <w:tc>
          <w:tcPr>
            <w:tcW w:w="857" w:type="pct"/>
            <w:tcBorders>
              <w:bottom w:val="single" w:sz="4" w:space="0" w:color="auto"/>
              <w:right w:val="single" w:sz="4" w:space="0" w:color="auto"/>
            </w:tcBorders>
            <w:vAlign w:val="bottom"/>
          </w:tcPr>
          <w:p w:rsidR="00D42476" w:rsidRPr="00A15C78" w:rsidRDefault="00D42476" w:rsidP="00D42476">
            <w:pPr>
              <w:jc w:val="center"/>
              <w:rPr>
                <w:color w:val="000000"/>
                <w:w w:val="80"/>
                <w:sz w:val="22"/>
                <w:szCs w:val="22"/>
              </w:rPr>
            </w:pPr>
            <w:r w:rsidRPr="00A15C78">
              <w:rPr>
                <w:color w:val="000000"/>
                <w:w w:val="80"/>
                <w:sz w:val="22"/>
                <w:szCs w:val="22"/>
              </w:rPr>
              <w:t>106</w:t>
            </w:r>
          </w:p>
        </w:tc>
      </w:tr>
    </w:tbl>
    <w:p w:rsidR="00D42476" w:rsidRPr="000C7B95" w:rsidRDefault="00D42476" w:rsidP="00D42476">
      <w:pPr>
        <w:pStyle w:val="Default"/>
        <w:spacing w:line="360" w:lineRule="auto"/>
        <w:jc w:val="both"/>
        <w:rPr>
          <w:i/>
        </w:rPr>
      </w:pPr>
      <w:r w:rsidRPr="000C7B95">
        <w:rPr>
          <w:i/>
        </w:rPr>
        <w:t>Avots: EM informatīvais ziņojums, 70.lpp.</w:t>
      </w:r>
    </w:p>
    <w:p w:rsidR="00820F72" w:rsidRPr="00834B53" w:rsidRDefault="00D42476">
      <w:pPr>
        <w:pStyle w:val="Default"/>
        <w:ind w:firstLine="567"/>
        <w:jc w:val="both"/>
      </w:pPr>
      <w:r w:rsidRPr="00834B53">
        <w:lastRenderedPageBreak/>
        <w:t>Kā rāda 1.</w:t>
      </w:r>
      <w:r w:rsidR="0011205F" w:rsidRPr="00834B53">
        <w:t>3</w:t>
      </w:r>
      <w:r w:rsidRPr="00834B53">
        <w:t>.tabulas dati, uz 2030.gadu pieprasījums pēc darbaspēka ar augstāko izglītību kopumā prognozēts mazāks nekā piedāvājums, savukārt pieprasījums pēc darbaspēka ar</w:t>
      </w:r>
      <w:r w:rsidR="004C085F" w:rsidRPr="00834B53">
        <w:t xml:space="preserve"> vidējo profesionālo izglītību </w:t>
      </w:r>
      <w:r w:rsidRPr="00834B53">
        <w:t xml:space="preserve">prognozēts lielāks nekā piedāvājums. Pēc EM aprēķiniem 2030.gadā salīdzinājumā ar 2020.gadu tiek prognozēta vēl lielāka neatbilstība starp pieprasījumu un piedāvājumu dažādās tematiskajās grupās. Pieprasījums pēc darbaspēka ar augstāko izglītību izglītības tematiskajā grupā </w:t>
      </w:r>
      <w:r w:rsidRPr="00834B53">
        <w:rPr>
          <w:bCs/>
          <w:i/>
          <w:iCs/>
          <w:color w:val="000000" w:themeColor="text1"/>
        </w:rPr>
        <w:t>Dabas zinātnes, matemātika un informācijas tehnoloģijas</w:t>
      </w:r>
      <w:r w:rsidRPr="00834B53">
        <w:rPr>
          <w:bCs/>
          <w:iCs/>
          <w:color w:val="000000" w:themeColor="text1"/>
        </w:rPr>
        <w:t xml:space="preserve"> pārsniegs tā piedāvājumu par 40</w:t>
      </w:r>
      <w:r w:rsidR="000003FD" w:rsidRPr="00834B53">
        <w:rPr>
          <w:bCs/>
          <w:iCs/>
          <w:color w:val="000000" w:themeColor="text1"/>
        </w:rPr>
        <w:t xml:space="preserve"> </w:t>
      </w:r>
      <w:r w:rsidRPr="00834B53">
        <w:rPr>
          <w:bCs/>
          <w:iCs/>
          <w:color w:val="000000" w:themeColor="text1"/>
        </w:rPr>
        <w:t xml:space="preserve">%, savukārt izglītības tematiskajā grupā </w:t>
      </w:r>
      <w:r w:rsidRPr="00834B53">
        <w:rPr>
          <w:bCs/>
          <w:i/>
          <w:iCs/>
          <w:color w:val="000000" w:themeColor="text1"/>
        </w:rPr>
        <w:t>Inženierzinātnes, ražošana un būvniecība</w:t>
      </w:r>
      <w:r w:rsidRPr="00834B53">
        <w:rPr>
          <w:bCs/>
          <w:iCs/>
          <w:color w:val="000000" w:themeColor="text1"/>
        </w:rPr>
        <w:t xml:space="preserve"> pieprasījums pārsniegs piedāvājumu par 27</w:t>
      </w:r>
      <w:r w:rsidR="000003FD" w:rsidRPr="00834B53">
        <w:rPr>
          <w:bCs/>
          <w:iCs/>
          <w:color w:val="000000" w:themeColor="text1"/>
        </w:rPr>
        <w:t xml:space="preserve"> </w:t>
      </w:r>
      <w:r w:rsidRPr="00834B53">
        <w:rPr>
          <w:bCs/>
          <w:iCs/>
          <w:color w:val="000000" w:themeColor="text1"/>
        </w:rPr>
        <w:t xml:space="preserve">%. Līdzīga situācija būs vērojama arī darbaspēkam ar vidējo profesionālo izglītību, kur pieprasījums izglītības tematiskajā grupā </w:t>
      </w:r>
      <w:r w:rsidRPr="00834B53">
        <w:rPr>
          <w:bCs/>
          <w:i/>
          <w:iCs/>
          <w:color w:val="000000" w:themeColor="text1"/>
        </w:rPr>
        <w:t>Inženierzinātnes, ražošana un būvniecība</w:t>
      </w:r>
      <w:r w:rsidRPr="00834B53">
        <w:rPr>
          <w:bCs/>
          <w:iCs/>
          <w:color w:val="000000" w:themeColor="text1"/>
        </w:rPr>
        <w:t xml:space="preserve"> pārsniegs piedāvājumu par 46</w:t>
      </w:r>
      <w:r w:rsidR="000003FD" w:rsidRPr="00834B53">
        <w:rPr>
          <w:bCs/>
          <w:iCs/>
          <w:color w:val="000000" w:themeColor="text1"/>
        </w:rPr>
        <w:t xml:space="preserve"> </w:t>
      </w:r>
      <w:r w:rsidRPr="00834B53">
        <w:rPr>
          <w:bCs/>
          <w:iCs/>
          <w:color w:val="000000" w:themeColor="text1"/>
        </w:rPr>
        <w:t xml:space="preserve">%, bet </w:t>
      </w:r>
      <w:r w:rsidRPr="00834B53">
        <w:t xml:space="preserve">izglītības tematiskajā grupā </w:t>
      </w:r>
      <w:r w:rsidRPr="00834B53">
        <w:rPr>
          <w:bCs/>
          <w:i/>
          <w:iCs/>
          <w:color w:val="000000" w:themeColor="text1"/>
        </w:rPr>
        <w:t xml:space="preserve">Dabas zinātnes, matemātika un informācijas tehnoloģijas </w:t>
      </w:r>
      <w:r w:rsidRPr="00834B53">
        <w:rPr>
          <w:bCs/>
          <w:iCs/>
          <w:color w:val="000000" w:themeColor="text1"/>
        </w:rPr>
        <w:t>pieprasījums pārsniegs piedāvājumu par 20</w:t>
      </w:r>
      <w:r w:rsidR="000003FD" w:rsidRPr="00834B53">
        <w:rPr>
          <w:bCs/>
          <w:iCs/>
          <w:color w:val="000000" w:themeColor="text1"/>
        </w:rPr>
        <w:t xml:space="preserve"> </w:t>
      </w:r>
      <w:r w:rsidRPr="00834B53">
        <w:rPr>
          <w:bCs/>
          <w:iCs/>
          <w:color w:val="000000" w:themeColor="text1"/>
        </w:rPr>
        <w:t xml:space="preserve">%. Būtiska darbaspēka nepietiekamība ar vidējo profesionālo izglītību tiek prognozēta izglītības tematiskajā grupā </w:t>
      </w:r>
      <w:r w:rsidRPr="00834B53">
        <w:rPr>
          <w:i/>
        </w:rPr>
        <w:t>Veselības aprūpe un sociālā labklājība</w:t>
      </w:r>
      <w:r w:rsidRPr="00834B53">
        <w:t>, kur pieprasījums pārsniegs piedāvājumu par 22</w:t>
      </w:r>
      <w:r w:rsidR="000003FD" w:rsidRPr="00834B53">
        <w:t xml:space="preserve"> </w:t>
      </w:r>
      <w:r w:rsidRPr="00834B53">
        <w:t>%.</w:t>
      </w:r>
    </w:p>
    <w:p w:rsidR="00820F72" w:rsidRPr="00834B53" w:rsidRDefault="00D42476">
      <w:pPr>
        <w:ind w:firstLine="567"/>
        <w:rPr>
          <w:szCs w:val="24"/>
        </w:rPr>
      </w:pPr>
      <w:r w:rsidRPr="00834B53">
        <w:rPr>
          <w:szCs w:val="24"/>
        </w:rPr>
        <w:t>Arī izvērtējot EM prognozēto darbaspēka piedāvājuma un pieprasījuma starpību pa izglītības tematiskajām jomām (skat. 1.</w:t>
      </w:r>
      <w:r w:rsidR="0011205F" w:rsidRPr="00834B53">
        <w:rPr>
          <w:szCs w:val="24"/>
        </w:rPr>
        <w:t>4</w:t>
      </w:r>
      <w:r w:rsidRPr="00834B53">
        <w:rPr>
          <w:szCs w:val="24"/>
        </w:rPr>
        <w:t xml:space="preserve">.tabulu), secināms, ka uz 2020.gadu vislielākais darbaspēka iztrūkums prognozējams inženierzinātņu un tehnoloģiju jomā (7200 speciālisti ar augstāko izglītību un 13 200 speciālisti ar vidējo profesionālo izglītību), datorikas jomā (3 100 speciālisti ar augstāko izglītību), kā arī veselības aprūpes jomā (3 100 speciālisti ar augstāko izglītību un 500 speciālisti ar vidējo profesionālo izglītību). Bez tam ievērojams speciālistu iztrūkums  ar vidējo profesionālo izglītību būs vērojams ražošanas un pārstrādes jomā (4 900 speciālisti) un transporta pakalpojumu jomā (3 900 speciālisti). </w:t>
      </w:r>
    </w:p>
    <w:p w:rsidR="00D42476" w:rsidRPr="00D70E31" w:rsidRDefault="00D42476" w:rsidP="00D42476">
      <w:pPr>
        <w:pStyle w:val="ListParagraph"/>
        <w:spacing w:after="120"/>
        <w:jc w:val="right"/>
        <w:rPr>
          <w:bCs/>
          <w:szCs w:val="24"/>
        </w:rPr>
      </w:pPr>
      <w:r w:rsidRPr="00D70E31">
        <w:rPr>
          <w:bCs/>
          <w:szCs w:val="24"/>
        </w:rPr>
        <w:t>1.</w:t>
      </w:r>
      <w:r w:rsidR="0011205F" w:rsidRPr="00D70E31">
        <w:rPr>
          <w:bCs/>
          <w:szCs w:val="24"/>
        </w:rPr>
        <w:t>4</w:t>
      </w:r>
      <w:r w:rsidRPr="00D70E31">
        <w:rPr>
          <w:bCs/>
          <w:szCs w:val="24"/>
        </w:rPr>
        <w:t>.tabula</w:t>
      </w:r>
    </w:p>
    <w:p w:rsidR="00D42476" w:rsidRPr="00A86303" w:rsidRDefault="00D42476" w:rsidP="00D42476">
      <w:pPr>
        <w:spacing w:after="120"/>
        <w:ind w:firstLine="567"/>
        <w:jc w:val="center"/>
        <w:rPr>
          <w:i/>
          <w:szCs w:val="26"/>
        </w:rPr>
      </w:pPr>
      <w:r w:rsidRPr="00A86303">
        <w:rPr>
          <w:b/>
          <w:bCs/>
          <w:i/>
          <w:sz w:val="23"/>
          <w:szCs w:val="23"/>
        </w:rPr>
        <w:t>Darbaspēka piedāvājuma un pieprasījuma starpība pa izglītības</w:t>
      </w:r>
      <w:r>
        <w:rPr>
          <w:b/>
          <w:bCs/>
          <w:i/>
          <w:sz w:val="23"/>
          <w:szCs w:val="23"/>
        </w:rPr>
        <w:t xml:space="preserve"> tematiskajām</w:t>
      </w:r>
      <w:r w:rsidRPr="00A86303">
        <w:rPr>
          <w:b/>
          <w:bCs/>
          <w:i/>
          <w:sz w:val="23"/>
          <w:szCs w:val="23"/>
        </w:rPr>
        <w:t xml:space="preserve"> jomām 2020.gadā, </w:t>
      </w:r>
      <w:r w:rsidRPr="00A86303">
        <w:rPr>
          <w:b/>
          <w:bCs/>
          <w:i/>
          <w:sz w:val="20"/>
        </w:rPr>
        <w:t>tūkstošos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4501"/>
        <w:gridCol w:w="1742"/>
        <w:gridCol w:w="2175"/>
      </w:tblGrid>
      <w:tr w:rsidR="00D42476" w:rsidRPr="00EB1420" w:rsidTr="009266D1">
        <w:trPr>
          <w:trHeight w:val="93"/>
        </w:trPr>
        <w:tc>
          <w:tcPr>
            <w:tcW w:w="468" w:type="pct"/>
          </w:tcPr>
          <w:p w:rsidR="00D42476" w:rsidRPr="00EB1420" w:rsidRDefault="00D42476" w:rsidP="00D42476">
            <w:pPr>
              <w:pStyle w:val="Default"/>
              <w:rPr>
                <w:sz w:val="20"/>
                <w:szCs w:val="20"/>
              </w:rPr>
            </w:pPr>
            <w:r w:rsidRPr="00EB1420">
              <w:rPr>
                <w:bCs/>
                <w:sz w:val="20"/>
                <w:szCs w:val="20"/>
              </w:rPr>
              <w:t xml:space="preserve">Kods </w:t>
            </w:r>
          </w:p>
        </w:tc>
        <w:tc>
          <w:tcPr>
            <w:tcW w:w="2422" w:type="pct"/>
          </w:tcPr>
          <w:p w:rsidR="00D42476" w:rsidRPr="001538A5" w:rsidRDefault="00D42476" w:rsidP="00D42476">
            <w:pPr>
              <w:pStyle w:val="Default"/>
              <w:rPr>
                <w:bCs/>
                <w:sz w:val="20"/>
                <w:szCs w:val="20"/>
              </w:rPr>
            </w:pPr>
            <w:r w:rsidRPr="00821941">
              <w:rPr>
                <w:bCs/>
                <w:sz w:val="20"/>
                <w:szCs w:val="20"/>
              </w:rPr>
              <w:t>Izgl</w:t>
            </w:r>
            <w:r w:rsidRPr="001538A5">
              <w:rPr>
                <w:bCs/>
                <w:sz w:val="20"/>
                <w:szCs w:val="20"/>
              </w:rPr>
              <w:t xml:space="preserve">ītības tematiskās jomas </w:t>
            </w:r>
          </w:p>
          <w:p w:rsidR="00D42476" w:rsidRPr="00940DD0" w:rsidRDefault="00D42476" w:rsidP="00D42476">
            <w:pPr>
              <w:pStyle w:val="Default"/>
              <w:rPr>
                <w:sz w:val="20"/>
                <w:szCs w:val="20"/>
              </w:rPr>
            </w:pPr>
          </w:p>
        </w:tc>
        <w:tc>
          <w:tcPr>
            <w:tcW w:w="938" w:type="pct"/>
          </w:tcPr>
          <w:p w:rsidR="00D42476" w:rsidRPr="00940DD0" w:rsidRDefault="00D42476" w:rsidP="00D42476">
            <w:pPr>
              <w:pStyle w:val="Default"/>
              <w:rPr>
                <w:sz w:val="20"/>
                <w:szCs w:val="20"/>
              </w:rPr>
            </w:pPr>
            <w:r w:rsidRPr="00940DD0">
              <w:rPr>
                <w:bCs/>
                <w:sz w:val="20"/>
                <w:szCs w:val="20"/>
              </w:rPr>
              <w:t xml:space="preserve">Augstākā izglītība </w:t>
            </w:r>
          </w:p>
        </w:tc>
        <w:tc>
          <w:tcPr>
            <w:tcW w:w="1172" w:type="pct"/>
          </w:tcPr>
          <w:p w:rsidR="00D42476" w:rsidRPr="00940DD0" w:rsidRDefault="00D42476" w:rsidP="00D42476">
            <w:pPr>
              <w:pStyle w:val="Default"/>
              <w:rPr>
                <w:sz w:val="20"/>
                <w:szCs w:val="20"/>
              </w:rPr>
            </w:pPr>
            <w:r w:rsidRPr="00940DD0">
              <w:rPr>
                <w:bCs/>
                <w:sz w:val="20"/>
                <w:szCs w:val="20"/>
              </w:rPr>
              <w:t xml:space="preserve">Vidējā izglītība </w:t>
            </w:r>
          </w:p>
        </w:tc>
      </w:tr>
      <w:tr w:rsidR="00746396" w:rsidTr="009266D1">
        <w:trPr>
          <w:trHeight w:val="93"/>
        </w:trPr>
        <w:tc>
          <w:tcPr>
            <w:tcW w:w="2891" w:type="pct"/>
            <w:gridSpan w:val="2"/>
          </w:tcPr>
          <w:p w:rsidR="00746396" w:rsidRPr="00D54E0D" w:rsidRDefault="00746396" w:rsidP="00AE7FDF">
            <w:pPr>
              <w:pStyle w:val="Default"/>
              <w:rPr>
                <w:sz w:val="20"/>
                <w:szCs w:val="20"/>
              </w:rPr>
            </w:pPr>
            <w:r w:rsidRPr="00D54E0D">
              <w:rPr>
                <w:bCs/>
                <w:sz w:val="20"/>
                <w:szCs w:val="20"/>
              </w:rPr>
              <w:t xml:space="preserve">Kopā </w:t>
            </w:r>
          </w:p>
        </w:tc>
        <w:tc>
          <w:tcPr>
            <w:tcW w:w="938" w:type="pct"/>
          </w:tcPr>
          <w:p w:rsidR="00746396" w:rsidRPr="00D54E0D" w:rsidRDefault="00746396" w:rsidP="00AE7FDF">
            <w:pPr>
              <w:pStyle w:val="Default"/>
              <w:rPr>
                <w:sz w:val="20"/>
                <w:szCs w:val="20"/>
              </w:rPr>
            </w:pPr>
            <w:r w:rsidRPr="00D54E0D">
              <w:rPr>
                <w:bCs/>
                <w:sz w:val="20"/>
                <w:szCs w:val="20"/>
              </w:rPr>
              <w:t xml:space="preserve">6,2 </w:t>
            </w:r>
          </w:p>
        </w:tc>
        <w:tc>
          <w:tcPr>
            <w:tcW w:w="1172" w:type="pct"/>
          </w:tcPr>
          <w:p w:rsidR="00746396" w:rsidRPr="00D54E0D" w:rsidRDefault="00746396" w:rsidP="00AE7FDF">
            <w:pPr>
              <w:pStyle w:val="Default"/>
              <w:rPr>
                <w:sz w:val="20"/>
                <w:szCs w:val="20"/>
              </w:rPr>
            </w:pPr>
            <w:r w:rsidRPr="00D54E0D">
              <w:rPr>
                <w:bCs/>
                <w:sz w:val="20"/>
                <w:szCs w:val="20"/>
              </w:rPr>
              <w:t xml:space="preserve">1,5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14 </w:t>
            </w:r>
          </w:p>
        </w:tc>
        <w:tc>
          <w:tcPr>
            <w:tcW w:w="2422" w:type="pct"/>
          </w:tcPr>
          <w:p w:rsidR="00746396" w:rsidRPr="00D54E0D" w:rsidRDefault="00746396" w:rsidP="00AE7FDF">
            <w:pPr>
              <w:pStyle w:val="Default"/>
              <w:rPr>
                <w:sz w:val="20"/>
                <w:szCs w:val="20"/>
              </w:rPr>
            </w:pPr>
            <w:r w:rsidRPr="00D54E0D">
              <w:rPr>
                <w:bCs/>
                <w:sz w:val="20"/>
                <w:szCs w:val="20"/>
              </w:rPr>
              <w:t xml:space="preserve">Pedagogu izglītība un izglītības zinātnes </w:t>
            </w:r>
          </w:p>
        </w:tc>
        <w:tc>
          <w:tcPr>
            <w:tcW w:w="938" w:type="pct"/>
          </w:tcPr>
          <w:p w:rsidR="00746396" w:rsidRPr="00D54E0D" w:rsidRDefault="00746396" w:rsidP="00AE7FDF">
            <w:pPr>
              <w:pStyle w:val="Default"/>
              <w:rPr>
                <w:sz w:val="20"/>
                <w:szCs w:val="20"/>
              </w:rPr>
            </w:pPr>
            <w:r w:rsidRPr="00D54E0D">
              <w:rPr>
                <w:bCs/>
                <w:sz w:val="20"/>
                <w:szCs w:val="20"/>
              </w:rPr>
              <w:t xml:space="preserve">1,6 </w:t>
            </w:r>
          </w:p>
        </w:tc>
        <w:tc>
          <w:tcPr>
            <w:tcW w:w="1172" w:type="pct"/>
          </w:tcPr>
          <w:p w:rsidR="00746396" w:rsidRPr="00D54E0D" w:rsidRDefault="00746396" w:rsidP="00AE7FDF">
            <w:pPr>
              <w:pStyle w:val="Default"/>
              <w:rPr>
                <w:sz w:val="20"/>
                <w:szCs w:val="20"/>
              </w:rPr>
            </w:pPr>
            <w:r w:rsidRPr="00D54E0D">
              <w:rPr>
                <w:bCs/>
                <w:sz w:val="20"/>
                <w:szCs w:val="20"/>
              </w:rPr>
              <w:t xml:space="preserve">-0,7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21 </w:t>
            </w:r>
          </w:p>
        </w:tc>
        <w:tc>
          <w:tcPr>
            <w:tcW w:w="2422" w:type="pct"/>
          </w:tcPr>
          <w:p w:rsidR="00746396" w:rsidRPr="00D54E0D" w:rsidRDefault="00746396" w:rsidP="00AE7FDF">
            <w:pPr>
              <w:pStyle w:val="Default"/>
              <w:rPr>
                <w:sz w:val="20"/>
                <w:szCs w:val="20"/>
              </w:rPr>
            </w:pPr>
            <w:r w:rsidRPr="00D54E0D">
              <w:rPr>
                <w:bCs/>
                <w:sz w:val="20"/>
                <w:szCs w:val="20"/>
              </w:rPr>
              <w:t xml:space="preserve">Mākslas </w:t>
            </w:r>
          </w:p>
        </w:tc>
        <w:tc>
          <w:tcPr>
            <w:tcW w:w="938" w:type="pct"/>
          </w:tcPr>
          <w:p w:rsidR="00746396" w:rsidRPr="00D54E0D" w:rsidRDefault="00746396" w:rsidP="00AE7FDF">
            <w:pPr>
              <w:pStyle w:val="Default"/>
              <w:rPr>
                <w:sz w:val="20"/>
                <w:szCs w:val="20"/>
              </w:rPr>
            </w:pPr>
            <w:r w:rsidRPr="00D54E0D">
              <w:rPr>
                <w:bCs/>
                <w:sz w:val="20"/>
                <w:szCs w:val="20"/>
              </w:rPr>
              <w:t xml:space="preserve">2,5 </w:t>
            </w:r>
          </w:p>
        </w:tc>
        <w:tc>
          <w:tcPr>
            <w:tcW w:w="1172" w:type="pct"/>
          </w:tcPr>
          <w:p w:rsidR="00746396" w:rsidRPr="00D54E0D" w:rsidRDefault="00746396" w:rsidP="00AE7FDF">
            <w:pPr>
              <w:pStyle w:val="Default"/>
              <w:rPr>
                <w:sz w:val="20"/>
                <w:szCs w:val="20"/>
              </w:rPr>
            </w:pPr>
            <w:r w:rsidRPr="00D54E0D">
              <w:rPr>
                <w:bCs/>
                <w:sz w:val="20"/>
                <w:szCs w:val="20"/>
              </w:rPr>
              <w:t xml:space="preserve">2,4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22 </w:t>
            </w:r>
          </w:p>
        </w:tc>
        <w:tc>
          <w:tcPr>
            <w:tcW w:w="2422" w:type="pct"/>
          </w:tcPr>
          <w:p w:rsidR="00746396" w:rsidRPr="00D54E0D" w:rsidRDefault="00746396" w:rsidP="00AE7FDF">
            <w:pPr>
              <w:pStyle w:val="Default"/>
              <w:rPr>
                <w:sz w:val="20"/>
                <w:szCs w:val="20"/>
              </w:rPr>
            </w:pPr>
            <w:r w:rsidRPr="00D54E0D">
              <w:rPr>
                <w:bCs/>
                <w:sz w:val="20"/>
                <w:szCs w:val="20"/>
              </w:rPr>
              <w:t xml:space="preserve">Humanitārās zinātnes </w:t>
            </w:r>
          </w:p>
        </w:tc>
        <w:tc>
          <w:tcPr>
            <w:tcW w:w="938" w:type="pct"/>
          </w:tcPr>
          <w:p w:rsidR="00746396" w:rsidRPr="00D54E0D" w:rsidRDefault="00746396" w:rsidP="00AE7FDF">
            <w:pPr>
              <w:pStyle w:val="Default"/>
              <w:rPr>
                <w:sz w:val="20"/>
                <w:szCs w:val="20"/>
              </w:rPr>
            </w:pPr>
            <w:r w:rsidRPr="00D54E0D">
              <w:rPr>
                <w:bCs/>
                <w:sz w:val="20"/>
                <w:szCs w:val="20"/>
              </w:rPr>
              <w:t xml:space="preserve">3,0 </w:t>
            </w:r>
          </w:p>
        </w:tc>
        <w:tc>
          <w:tcPr>
            <w:tcW w:w="1172" w:type="pct"/>
          </w:tcPr>
          <w:p w:rsidR="00746396" w:rsidRPr="00D54E0D" w:rsidRDefault="00746396" w:rsidP="00AE7FDF">
            <w:pPr>
              <w:pStyle w:val="Default"/>
              <w:rPr>
                <w:sz w:val="20"/>
                <w:szCs w:val="20"/>
              </w:rPr>
            </w:pPr>
            <w:r w:rsidRPr="00D54E0D">
              <w:rPr>
                <w:bCs/>
                <w:sz w:val="20"/>
                <w:szCs w:val="20"/>
              </w:rPr>
              <w:t xml:space="preserve">0,0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31 </w:t>
            </w:r>
          </w:p>
        </w:tc>
        <w:tc>
          <w:tcPr>
            <w:tcW w:w="2422" w:type="pct"/>
          </w:tcPr>
          <w:p w:rsidR="00746396" w:rsidRPr="00D54E0D" w:rsidRDefault="00746396" w:rsidP="00AE7FDF">
            <w:pPr>
              <w:pStyle w:val="Default"/>
              <w:rPr>
                <w:sz w:val="20"/>
                <w:szCs w:val="20"/>
              </w:rPr>
            </w:pPr>
            <w:r w:rsidRPr="00D54E0D">
              <w:rPr>
                <w:bCs/>
                <w:sz w:val="20"/>
                <w:szCs w:val="20"/>
              </w:rPr>
              <w:t xml:space="preserve">Sociālās un </w:t>
            </w:r>
            <w:proofErr w:type="spellStart"/>
            <w:r w:rsidRPr="00D54E0D">
              <w:rPr>
                <w:bCs/>
                <w:sz w:val="20"/>
                <w:szCs w:val="20"/>
              </w:rPr>
              <w:t>cilvēkrīcības</w:t>
            </w:r>
            <w:proofErr w:type="spellEnd"/>
            <w:r w:rsidRPr="00D54E0D">
              <w:rPr>
                <w:bCs/>
                <w:sz w:val="20"/>
                <w:szCs w:val="20"/>
              </w:rPr>
              <w:t xml:space="preserve"> zinātnes </w:t>
            </w:r>
          </w:p>
        </w:tc>
        <w:tc>
          <w:tcPr>
            <w:tcW w:w="938" w:type="pct"/>
          </w:tcPr>
          <w:p w:rsidR="00746396" w:rsidRPr="00D54E0D" w:rsidRDefault="00746396" w:rsidP="00AE7FDF">
            <w:pPr>
              <w:pStyle w:val="Default"/>
              <w:rPr>
                <w:sz w:val="20"/>
                <w:szCs w:val="20"/>
              </w:rPr>
            </w:pPr>
            <w:r w:rsidRPr="00D54E0D">
              <w:rPr>
                <w:bCs/>
                <w:sz w:val="20"/>
                <w:szCs w:val="20"/>
              </w:rPr>
              <w:t xml:space="preserve">2,0 </w:t>
            </w:r>
          </w:p>
        </w:tc>
        <w:tc>
          <w:tcPr>
            <w:tcW w:w="1172" w:type="pct"/>
          </w:tcPr>
          <w:p w:rsidR="00746396" w:rsidRPr="00D54E0D" w:rsidRDefault="00746396" w:rsidP="00AE7FDF">
            <w:pPr>
              <w:pStyle w:val="Default"/>
              <w:rPr>
                <w:sz w:val="20"/>
                <w:szCs w:val="20"/>
              </w:rPr>
            </w:pPr>
            <w:r w:rsidRPr="00D54E0D">
              <w:rPr>
                <w:bCs/>
                <w:sz w:val="20"/>
                <w:szCs w:val="20"/>
              </w:rPr>
              <w:t xml:space="preserve">-0,1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32 </w:t>
            </w:r>
          </w:p>
        </w:tc>
        <w:tc>
          <w:tcPr>
            <w:tcW w:w="2422" w:type="pct"/>
          </w:tcPr>
          <w:p w:rsidR="00746396" w:rsidRPr="00D54E0D" w:rsidRDefault="00746396" w:rsidP="00AE7FDF">
            <w:pPr>
              <w:pStyle w:val="Default"/>
              <w:rPr>
                <w:sz w:val="20"/>
                <w:szCs w:val="20"/>
              </w:rPr>
            </w:pPr>
            <w:r w:rsidRPr="00D54E0D">
              <w:rPr>
                <w:bCs/>
                <w:sz w:val="20"/>
                <w:szCs w:val="20"/>
              </w:rPr>
              <w:t xml:space="preserve">Informācijas un komunikācijas zinātnes </w:t>
            </w:r>
          </w:p>
        </w:tc>
        <w:tc>
          <w:tcPr>
            <w:tcW w:w="938" w:type="pct"/>
          </w:tcPr>
          <w:p w:rsidR="00746396" w:rsidRPr="00D54E0D" w:rsidRDefault="00746396" w:rsidP="00AE7FDF">
            <w:pPr>
              <w:pStyle w:val="Default"/>
              <w:rPr>
                <w:sz w:val="20"/>
                <w:szCs w:val="20"/>
              </w:rPr>
            </w:pPr>
            <w:r w:rsidRPr="00D54E0D">
              <w:rPr>
                <w:bCs/>
                <w:sz w:val="20"/>
                <w:szCs w:val="20"/>
              </w:rPr>
              <w:t xml:space="preserve">1,4 </w:t>
            </w:r>
          </w:p>
        </w:tc>
        <w:tc>
          <w:tcPr>
            <w:tcW w:w="1172" w:type="pct"/>
          </w:tcPr>
          <w:p w:rsidR="00746396" w:rsidRPr="00D54E0D" w:rsidRDefault="00746396" w:rsidP="00AE7FDF">
            <w:pPr>
              <w:pStyle w:val="Default"/>
              <w:rPr>
                <w:sz w:val="20"/>
                <w:szCs w:val="20"/>
              </w:rPr>
            </w:pPr>
            <w:r w:rsidRPr="00D54E0D">
              <w:rPr>
                <w:bCs/>
                <w:sz w:val="20"/>
                <w:szCs w:val="20"/>
              </w:rPr>
              <w:t xml:space="preserve">0,1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34 </w:t>
            </w:r>
          </w:p>
        </w:tc>
        <w:tc>
          <w:tcPr>
            <w:tcW w:w="2422" w:type="pct"/>
          </w:tcPr>
          <w:p w:rsidR="00746396" w:rsidRPr="00D54E0D" w:rsidRDefault="00746396" w:rsidP="00AE7FDF">
            <w:pPr>
              <w:pStyle w:val="Default"/>
              <w:rPr>
                <w:sz w:val="20"/>
                <w:szCs w:val="20"/>
              </w:rPr>
            </w:pPr>
            <w:proofErr w:type="spellStart"/>
            <w:r w:rsidRPr="00D54E0D">
              <w:rPr>
                <w:bCs/>
                <w:sz w:val="20"/>
                <w:szCs w:val="20"/>
              </w:rPr>
              <w:t>Komerczinības</w:t>
            </w:r>
            <w:proofErr w:type="spellEnd"/>
            <w:r w:rsidRPr="00D54E0D">
              <w:rPr>
                <w:bCs/>
                <w:sz w:val="20"/>
                <w:szCs w:val="20"/>
              </w:rPr>
              <w:t xml:space="preserve"> un administrēšana </w:t>
            </w:r>
          </w:p>
        </w:tc>
        <w:tc>
          <w:tcPr>
            <w:tcW w:w="938" w:type="pct"/>
          </w:tcPr>
          <w:p w:rsidR="00746396" w:rsidRPr="00D54E0D" w:rsidRDefault="00746396" w:rsidP="00AE7FDF">
            <w:pPr>
              <w:pStyle w:val="Default"/>
              <w:rPr>
                <w:sz w:val="20"/>
                <w:szCs w:val="20"/>
              </w:rPr>
            </w:pPr>
            <w:r w:rsidRPr="00D54E0D">
              <w:rPr>
                <w:bCs/>
                <w:sz w:val="20"/>
                <w:szCs w:val="20"/>
              </w:rPr>
              <w:t xml:space="preserve">7,3 </w:t>
            </w:r>
          </w:p>
        </w:tc>
        <w:tc>
          <w:tcPr>
            <w:tcW w:w="1172" w:type="pct"/>
          </w:tcPr>
          <w:p w:rsidR="00746396" w:rsidRPr="00D54E0D" w:rsidRDefault="00746396" w:rsidP="00AE7FDF">
            <w:pPr>
              <w:pStyle w:val="Default"/>
              <w:rPr>
                <w:sz w:val="20"/>
                <w:szCs w:val="20"/>
              </w:rPr>
            </w:pPr>
            <w:r w:rsidRPr="00D54E0D">
              <w:rPr>
                <w:bCs/>
                <w:sz w:val="20"/>
                <w:szCs w:val="20"/>
              </w:rPr>
              <w:t xml:space="preserve">0,9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38 </w:t>
            </w:r>
          </w:p>
        </w:tc>
        <w:tc>
          <w:tcPr>
            <w:tcW w:w="2422" w:type="pct"/>
          </w:tcPr>
          <w:p w:rsidR="00746396" w:rsidRPr="00D54E0D" w:rsidRDefault="00746396" w:rsidP="00AE7FDF">
            <w:pPr>
              <w:pStyle w:val="Default"/>
              <w:rPr>
                <w:sz w:val="20"/>
                <w:szCs w:val="20"/>
              </w:rPr>
            </w:pPr>
            <w:r w:rsidRPr="00D54E0D">
              <w:rPr>
                <w:bCs/>
                <w:sz w:val="20"/>
                <w:szCs w:val="20"/>
              </w:rPr>
              <w:t xml:space="preserve">Tiesību zinātne </w:t>
            </w:r>
          </w:p>
        </w:tc>
        <w:tc>
          <w:tcPr>
            <w:tcW w:w="938" w:type="pct"/>
          </w:tcPr>
          <w:p w:rsidR="00746396" w:rsidRPr="00D54E0D" w:rsidRDefault="00746396" w:rsidP="00AE7FDF">
            <w:pPr>
              <w:pStyle w:val="Default"/>
              <w:rPr>
                <w:sz w:val="20"/>
                <w:szCs w:val="20"/>
              </w:rPr>
            </w:pPr>
            <w:r w:rsidRPr="00D54E0D">
              <w:rPr>
                <w:bCs/>
                <w:sz w:val="20"/>
                <w:szCs w:val="20"/>
              </w:rPr>
              <w:t xml:space="preserve">1,0 </w:t>
            </w:r>
          </w:p>
        </w:tc>
        <w:tc>
          <w:tcPr>
            <w:tcW w:w="1172" w:type="pct"/>
          </w:tcPr>
          <w:p w:rsidR="00746396" w:rsidRPr="00D54E0D" w:rsidRDefault="00746396" w:rsidP="00AE7FDF">
            <w:pPr>
              <w:pStyle w:val="Default"/>
              <w:rPr>
                <w:sz w:val="20"/>
                <w:szCs w:val="20"/>
              </w:rPr>
            </w:pPr>
            <w:r w:rsidRPr="00D54E0D">
              <w:rPr>
                <w:bCs/>
                <w:sz w:val="20"/>
                <w:szCs w:val="20"/>
              </w:rPr>
              <w:t xml:space="preserve">0,2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42 </w:t>
            </w:r>
          </w:p>
        </w:tc>
        <w:tc>
          <w:tcPr>
            <w:tcW w:w="2422" w:type="pct"/>
          </w:tcPr>
          <w:p w:rsidR="00746396" w:rsidRPr="00D54E0D" w:rsidRDefault="00746396" w:rsidP="00AE7FDF">
            <w:pPr>
              <w:pStyle w:val="Default"/>
              <w:rPr>
                <w:sz w:val="20"/>
                <w:szCs w:val="20"/>
              </w:rPr>
            </w:pPr>
            <w:r w:rsidRPr="00D54E0D">
              <w:rPr>
                <w:bCs/>
                <w:sz w:val="20"/>
                <w:szCs w:val="20"/>
              </w:rPr>
              <w:t xml:space="preserve">Dzīvās dabas zinātnes </w:t>
            </w:r>
          </w:p>
        </w:tc>
        <w:tc>
          <w:tcPr>
            <w:tcW w:w="938" w:type="pct"/>
          </w:tcPr>
          <w:p w:rsidR="00746396" w:rsidRPr="00D54E0D" w:rsidRDefault="00746396" w:rsidP="00AE7FDF">
            <w:pPr>
              <w:pStyle w:val="Default"/>
              <w:rPr>
                <w:sz w:val="20"/>
                <w:szCs w:val="20"/>
              </w:rPr>
            </w:pPr>
            <w:r w:rsidRPr="00D54E0D">
              <w:rPr>
                <w:bCs/>
                <w:sz w:val="20"/>
                <w:szCs w:val="20"/>
              </w:rPr>
              <w:t xml:space="preserve">0,3 </w:t>
            </w:r>
          </w:p>
        </w:tc>
        <w:tc>
          <w:tcPr>
            <w:tcW w:w="1172" w:type="pct"/>
          </w:tcPr>
          <w:p w:rsidR="00746396" w:rsidRPr="00D54E0D" w:rsidRDefault="00746396" w:rsidP="00AE7FDF">
            <w:pPr>
              <w:pStyle w:val="Default"/>
              <w:rPr>
                <w:sz w:val="20"/>
                <w:szCs w:val="20"/>
              </w:rPr>
            </w:pPr>
            <w:r w:rsidRPr="00D54E0D">
              <w:rPr>
                <w:bCs/>
                <w:sz w:val="20"/>
                <w:szCs w:val="20"/>
              </w:rPr>
              <w:t xml:space="preserve">0,1 </w:t>
            </w:r>
          </w:p>
        </w:tc>
      </w:tr>
      <w:tr w:rsidR="00746396" w:rsidTr="009266D1">
        <w:trPr>
          <w:trHeight w:val="93"/>
        </w:trPr>
        <w:tc>
          <w:tcPr>
            <w:tcW w:w="468" w:type="pct"/>
          </w:tcPr>
          <w:p w:rsidR="00746396" w:rsidRPr="00DC1B60" w:rsidRDefault="00746396" w:rsidP="00AE7FDF">
            <w:pPr>
              <w:pStyle w:val="Default"/>
              <w:rPr>
                <w:b/>
                <w:sz w:val="20"/>
                <w:szCs w:val="20"/>
              </w:rPr>
            </w:pPr>
            <w:r w:rsidRPr="00DC1B60">
              <w:rPr>
                <w:b/>
                <w:bCs/>
                <w:sz w:val="20"/>
                <w:szCs w:val="20"/>
              </w:rPr>
              <w:t xml:space="preserve">44 </w:t>
            </w:r>
          </w:p>
        </w:tc>
        <w:tc>
          <w:tcPr>
            <w:tcW w:w="2422" w:type="pct"/>
          </w:tcPr>
          <w:p w:rsidR="00746396" w:rsidRPr="00D54E0D" w:rsidRDefault="00746396" w:rsidP="00AE7FDF">
            <w:pPr>
              <w:pStyle w:val="Default"/>
              <w:rPr>
                <w:b/>
                <w:sz w:val="20"/>
                <w:szCs w:val="20"/>
              </w:rPr>
            </w:pPr>
            <w:r w:rsidRPr="00D54E0D">
              <w:rPr>
                <w:b/>
                <w:bCs/>
                <w:sz w:val="20"/>
                <w:szCs w:val="20"/>
              </w:rPr>
              <w:t xml:space="preserve">Fizikālās zinātnes </w:t>
            </w:r>
          </w:p>
        </w:tc>
        <w:tc>
          <w:tcPr>
            <w:tcW w:w="938" w:type="pct"/>
          </w:tcPr>
          <w:p w:rsidR="00746396" w:rsidRPr="00EC28E7" w:rsidRDefault="00746396" w:rsidP="00AE7FDF">
            <w:pPr>
              <w:pStyle w:val="Default"/>
              <w:rPr>
                <w:b/>
                <w:sz w:val="20"/>
                <w:szCs w:val="20"/>
              </w:rPr>
            </w:pPr>
            <w:r w:rsidRPr="00EC28E7">
              <w:rPr>
                <w:b/>
                <w:bCs/>
                <w:sz w:val="20"/>
                <w:szCs w:val="20"/>
              </w:rPr>
              <w:t xml:space="preserve">-2,5 </w:t>
            </w:r>
          </w:p>
        </w:tc>
        <w:tc>
          <w:tcPr>
            <w:tcW w:w="1172" w:type="pct"/>
          </w:tcPr>
          <w:p w:rsidR="00746396" w:rsidRPr="00EC28E7" w:rsidRDefault="00746396" w:rsidP="00AE7FDF">
            <w:pPr>
              <w:pStyle w:val="Default"/>
              <w:rPr>
                <w:sz w:val="20"/>
                <w:szCs w:val="20"/>
              </w:rPr>
            </w:pPr>
            <w:r w:rsidRPr="00EC28E7">
              <w:rPr>
                <w:bCs/>
                <w:sz w:val="20"/>
                <w:szCs w:val="20"/>
              </w:rPr>
              <w:t xml:space="preserve">-0,3 </w:t>
            </w:r>
          </w:p>
        </w:tc>
      </w:tr>
      <w:tr w:rsidR="00746396" w:rsidTr="009266D1">
        <w:trPr>
          <w:trHeight w:val="93"/>
        </w:trPr>
        <w:tc>
          <w:tcPr>
            <w:tcW w:w="468" w:type="pct"/>
          </w:tcPr>
          <w:p w:rsidR="00746396" w:rsidRPr="00DC1B60" w:rsidRDefault="00746396" w:rsidP="00AE7FDF">
            <w:pPr>
              <w:pStyle w:val="Default"/>
              <w:rPr>
                <w:b/>
                <w:sz w:val="20"/>
                <w:szCs w:val="20"/>
              </w:rPr>
            </w:pPr>
            <w:r w:rsidRPr="00DC1B60">
              <w:rPr>
                <w:b/>
                <w:bCs/>
                <w:sz w:val="20"/>
                <w:szCs w:val="20"/>
              </w:rPr>
              <w:t xml:space="preserve">46 </w:t>
            </w:r>
          </w:p>
        </w:tc>
        <w:tc>
          <w:tcPr>
            <w:tcW w:w="2422" w:type="pct"/>
          </w:tcPr>
          <w:p w:rsidR="00746396" w:rsidRPr="00D54E0D" w:rsidRDefault="00746396" w:rsidP="00AE7FDF">
            <w:pPr>
              <w:pStyle w:val="Default"/>
              <w:rPr>
                <w:b/>
                <w:sz w:val="20"/>
                <w:szCs w:val="20"/>
              </w:rPr>
            </w:pPr>
            <w:r w:rsidRPr="00D54E0D">
              <w:rPr>
                <w:b/>
                <w:bCs/>
                <w:sz w:val="20"/>
                <w:szCs w:val="20"/>
              </w:rPr>
              <w:t xml:space="preserve">Matemātika un statistika </w:t>
            </w:r>
          </w:p>
        </w:tc>
        <w:tc>
          <w:tcPr>
            <w:tcW w:w="938" w:type="pct"/>
          </w:tcPr>
          <w:p w:rsidR="00746396" w:rsidRPr="00EC28E7" w:rsidRDefault="00746396" w:rsidP="00AE7FDF">
            <w:pPr>
              <w:pStyle w:val="Default"/>
              <w:rPr>
                <w:b/>
                <w:sz w:val="20"/>
                <w:szCs w:val="20"/>
              </w:rPr>
            </w:pPr>
            <w:r w:rsidRPr="00EC28E7">
              <w:rPr>
                <w:b/>
                <w:bCs/>
                <w:sz w:val="20"/>
                <w:szCs w:val="20"/>
              </w:rPr>
              <w:t xml:space="preserve">-0,8 </w:t>
            </w:r>
          </w:p>
        </w:tc>
        <w:tc>
          <w:tcPr>
            <w:tcW w:w="1172" w:type="pct"/>
          </w:tcPr>
          <w:p w:rsidR="00746396" w:rsidRPr="00EC28E7" w:rsidRDefault="00746396" w:rsidP="00AE7FDF">
            <w:pPr>
              <w:pStyle w:val="Default"/>
              <w:rPr>
                <w:sz w:val="20"/>
                <w:szCs w:val="20"/>
              </w:rPr>
            </w:pPr>
            <w:r w:rsidRPr="00EC28E7">
              <w:rPr>
                <w:bCs/>
                <w:sz w:val="20"/>
                <w:szCs w:val="20"/>
              </w:rPr>
              <w:t xml:space="preserve">0,1 </w:t>
            </w:r>
          </w:p>
        </w:tc>
      </w:tr>
      <w:tr w:rsidR="00746396" w:rsidTr="009266D1">
        <w:trPr>
          <w:trHeight w:val="93"/>
        </w:trPr>
        <w:tc>
          <w:tcPr>
            <w:tcW w:w="468" w:type="pct"/>
          </w:tcPr>
          <w:p w:rsidR="00746396" w:rsidRPr="00DC1B60" w:rsidRDefault="00746396" w:rsidP="00AE7FDF">
            <w:pPr>
              <w:pStyle w:val="Default"/>
              <w:rPr>
                <w:b/>
                <w:sz w:val="20"/>
                <w:szCs w:val="20"/>
              </w:rPr>
            </w:pPr>
            <w:r w:rsidRPr="00DC1B60">
              <w:rPr>
                <w:b/>
                <w:bCs/>
                <w:sz w:val="20"/>
                <w:szCs w:val="20"/>
              </w:rPr>
              <w:t xml:space="preserve">48 </w:t>
            </w:r>
          </w:p>
        </w:tc>
        <w:tc>
          <w:tcPr>
            <w:tcW w:w="2422" w:type="pct"/>
          </w:tcPr>
          <w:p w:rsidR="00746396" w:rsidRPr="00D54E0D" w:rsidRDefault="00746396" w:rsidP="00AE7FDF">
            <w:pPr>
              <w:pStyle w:val="Default"/>
              <w:rPr>
                <w:b/>
                <w:sz w:val="20"/>
                <w:szCs w:val="20"/>
              </w:rPr>
            </w:pPr>
            <w:r w:rsidRPr="00D54E0D">
              <w:rPr>
                <w:b/>
                <w:bCs/>
                <w:sz w:val="20"/>
                <w:szCs w:val="20"/>
              </w:rPr>
              <w:t xml:space="preserve">Datorika </w:t>
            </w:r>
          </w:p>
        </w:tc>
        <w:tc>
          <w:tcPr>
            <w:tcW w:w="938" w:type="pct"/>
          </w:tcPr>
          <w:p w:rsidR="00746396" w:rsidRPr="00EC28E7" w:rsidRDefault="00746396" w:rsidP="00AE7FDF">
            <w:pPr>
              <w:pStyle w:val="Default"/>
              <w:rPr>
                <w:b/>
                <w:sz w:val="20"/>
                <w:szCs w:val="20"/>
              </w:rPr>
            </w:pPr>
            <w:r w:rsidRPr="00EC28E7">
              <w:rPr>
                <w:b/>
                <w:bCs/>
                <w:sz w:val="20"/>
                <w:szCs w:val="20"/>
              </w:rPr>
              <w:t xml:space="preserve">-3,1 </w:t>
            </w:r>
          </w:p>
        </w:tc>
        <w:tc>
          <w:tcPr>
            <w:tcW w:w="1172" w:type="pct"/>
          </w:tcPr>
          <w:p w:rsidR="00746396" w:rsidRPr="00EC28E7" w:rsidRDefault="00746396" w:rsidP="00AE7FDF">
            <w:pPr>
              <w:pStyle w:val="Default"/>
              <w:rPr>
                <w:sz w:val="20"/>
                <w:szCs w:val="20"/>
              </w:rPr>
            </w:pPr>
            <w:r w:rsidRPr="00EC28E7">
              <w:rPr>
                <w:bCs/>
                <w:sz w:val="20"/>
                <w:szCs w:val="20"/>
              </w:rPr>
              <w:t xml:space="preserve">-0,4 </w:t>
            </w:r>
          </w:p>
        </w:tc>
      </w:tr>
      <w:tr w:rsidR="00746396" w:rsidTr="009266D1">
        <w:trPr>
          <w:trHeight w:val="93"/>
        </w:trPr>
        <w:tc>
          <w:tcPr>
            <w:tcW w:w="468" w:type="pct"/>
          </w:tcPr>
          <w:p w:rsidR="00746396" w:rsidRPr="00DC1B60" w:rsidRDefault="00746396" w:rsidP="00AE7FDF">
            <w:pPr>
              <w:pStyle w:val="Default"/>
              <w:rPr>
                <w:b/>
                <w:sz w:val="20"/>
                <w:szCs w:val="20"/>
              </w:rPr>
            </w:pPr>
            <w:r w:rsidRPr="00DC1B60">
              <w:rPr>
                <w:b/>
                <w:bCs/>
                <w:sz w:val="20"/>
                <w:szCs w:val="20"/>
              </w:rPr>
              <w:t xml:space="preserve">52 </w:t>
            </w:r>
          </w:p>
        </w:tc>
        <w:tc>
          <w:tcPr>
            <w:tcW w:w="2422" w:type="pct"/>
          </w:tcPr>
          <w:p w:rsidR="00746396" w:rsidRPr="00D54E0D" w:rsidRDefault="00746396" w:rsidP="00AE7FDF">
            <w:pPr>
              <w:pStyle w:val="Default"/>
              <w:rPr>
                <w:b/>
                <w:sz w:val="20"/>
                <w:szCs w:val="20"/>
              </w:rPr>
            </w:pPr>
            <w:r w:rsidRPr="00D54E0D">
              <w:rPr>
                <w:b/>
                <w:bCs/>
                <w:sz w:val="20"/>
                <w:szCs w:val="20"/>
              </w:rPr>
              <w:t xml:space="preserve">Inženierzinātnes un tehnoloģijas </w:t>
            </w:r>
          </w:p>
        </w:tc>
        <w:tc>
          <w:tcPr>
            <w:tcW w:w="938" w:type="pct"/>
          </w:tcPr>
          <w:p w:rsidR="00746396" w:rsidRPr="00EC28E7" w:rsidRDefault="00746396" w:rsidP="00AE7FDF">
            <w:pPr>
              <w:pStyle w:val="Default"/>
              <w:rPr>
                <w:b/>
                <w:sz w:val="20"/>
                <w:szCs w:val="20"/>
              </w:rPr>
            </w:pPr>
            <w:r w:rsidRPr="00EC28E7">
              <w:rPr>
                <w:b/>
                <w:bCs/>
                <w:sz w:val="20"/>
                <w:szCs w:val="20"/>
              </w:rPr>
              <w:t xml:space="preserve">-7,2 </w:t>
            </w:r>
          </w:p>
        </w:tc>
        <w:tc>
          <w:tcPr>
            <w:tcW w:w="1172" w:type="pct"/>
          </w:tcPr>
          <w:p w:rsidR="00746396" w:rsidRPr="00EC28E7" w:rsidRDefault="00746396" w:rsidP="00AE7FDF">
            <w:pPr>
              <w:pStyle w:val="Default"/>
              <w:rPr>
                <w:b/>
                <w:sz w:val="20"/>
                <w:szCs w:val="20"/>
              </w:rPr>
            </w:pPr>
            <w:r w:rsidRPr="00EC28E7">
              <w:rPr>
                <w:b/>
                <w:bCs/>
                <w:sz w:val="20"/>
                <w:szCs w:val="20"/>
              </w:rPr>
              <w:t xml:space="preserve">-13,2 </w:t>
            </w:r>
          </w:p>
        </w:tc>
      </w:tr>
      <w:tr w:rsidR="00746396" w:rsidTr="009266D1">
        <w:trPr>
          <w:trHeight w:val="93"/>
        </w:trPr>
        <w:tc>
          <w:tcPr>
            <w:tcW w:w="468" w:type="pct"/>
          </w:tcPr>
          <w:p w:rsidR="00746396" w:rsidRPr="00DC1B60" w:rsidRDefault="00746396" w:rsidP="00AE7FDF">
            <w:pPr>
              <w:pStyle w:val="Default"/>
              <w:rPr>
                <w:b/>
                <w:sz w:val="20"/>
                <w:szCs w:val="20"/>
              </w:rPr>
            </w:pPr>
            <w:r w:rsidRPr="00DC1B60">
              <w:rPr>
                <w:b/>
                <w:bCs/>
                <w:sz w:val="20"/>
                <w:szCs w:val="20"/>
              </w:rPr>
              <w:t xml:space="preserve">54 </w:t>
            </w:r>
          </w:p>
        </w:tc>
        <w:tc>
          <w:tcPr>
            <w:tcW w:w="2422" w:type="pct"/>
          </w:tcPr>
          <w:p w:rsidR="00746396" w:rsidRPr="00D54E0D" w:rsidRDefault="00746396" w:rsidP="00AE7FDF">
            <w:pPr>
              <w:pStyle w:val="Default"/>
              <w:rPr>
                <w:sz w:val="20"/>
                <w:szCs w:val="20"/>
              </w:rPr>
            </w:pPr>
            <w:r w:rsidRPr="00D54E0D">
              <w:rPr>
                <w:bCs/>
                <w:sz w:val="20"/>
                <w:szCs w:val="20"/>
              </w:rPr>
              <w:t xml:space="preserve">Ražošana un pārstrāde </w:t>
            </w:r>
          </w:p>
        </w:tc>
        <w:tc>
          <w:tcPr>
            <w:tcW w:w="938" w:type="pct"/>
          </w:tcPr>
          <w:p w:rsidR="00746396" w:rsidRPr="00D54E0D" w:rsidRDefault="00746396" w:rsidP="00AE7FDF">
            <w:pPr>
              <w:pStyle w:val="Default"/>
              <w:rPr>
                <w:sz w:val="20"/>
                <w:szCs w:val="20"/>
              </w:rPr>
            </w:pPr>
            <w:r w:rsidRPr="00D54E0D">
              <w:rPr>
                <w:bCs/>
                <w:sz w:val="20"/>
                <w:szCs w:val="20"/>
              </w:rPr>
              <w:t xml:space="preserve">1,0 </w:t>
            </w:r>
          </w:p>
        </w:tc>
        <w:tc>
          <w:tcPr>
            <w:tcW w:w="1172" w:type="pct"/>
          </w:tcPr>
          <w:p w:rsidR="00746396" w:rsidRPr="00EC28E7" w:rsidRDefault="00746396" w:rsidP="00AE7FDF">
            <w:pPr>
              <w:pStyle w:val="Default"/>
              <w:rPr>
                <w:b/>
                <w:sz w:val="20"/>
                <w:szCs w:val="20"/>
              </w:rPr>
            </w:pPr>
            <w:r w:rsidRPr="00EC28E7">
              <w:rPr>
                <w:b/>
                <w:bCs/>
                <w:sz w:val="20"/>
                <w:szCs w:val="20"/>
              </w:rPr>
              <w:t xml:space="preserve">-4,9 </w:t>
            </w:r>
          </w:p>
        </w:tc>
      </w:tr>
      <w:tr w:rsidR="00746396" w:rsidTr="009266D1">
        <w:trPr>
          <w:trHeight w:val="93"/>
        </w:trPr>
        <w:tc>
          <w:tcPr>
            <w:tcW w:w="468" w:type="pct"/>
          </w:tcPr>
          <w:p w:rsidR="00746396" w:rsidRPr="00DC1B60" w:rsidRDefault="00746396" w:rsidP="00AE7FDF">
            <w:pPr>
              <w:pStyle w:val="Default"/>
              <w:rPr>
                <w:b/>
                <w:sz w:val="20"/>
                <w:szCs w:val="20"/>
              </w:rPr>
            </w:pPr>
            <w:r w:rsidRPr="00DC1B60">
              <w:rPr>
                <w:b/>
                <w:bCs/>
                <w:sz w:val="20"/>
                <w:szCs w:val="20"/>
              </w:rPr>
              <w:t xml:space="preserve">58 </w:t>
            </w:r>
          </w:p>
        </w:tc>
        <w:tc>
          <w:tcPr>
            <w:tcW w:w="2422" w:type="pct"/>
          </w:tcPr>
          <w:p w:rsidR="00746396" w:rsidRPr="00D54E0D" w:rsidRDefault="00746396" w:rsidP="00AE7FDF">
            <w:pPr>
              <w:pStyle w:val="Default"/>
              <w:rPr>
                <w:sz w:val="20"/>
                <w:szCs w:val="20"/>
              </w:rPr>
            </w:pPr>
            <w:r w:rsidRPr="00D54E0D">
              <w:rPr>
                <w:bCs/>
                <w:sz w:val="20"/>
                <w:szCs w:val="20"/>
              </w:rPr>
              <w:t xml:space="preserve">Arhitektūra un būvniecība </w:t>
            </w:r>
          </w:p>
        </w:tc>
        <w:tc>
          <w:tcPr>
            <w:tcW w:w="938" w:type="pct"/>
          </w:tcPr>
          <w:p w:rsidR="00746396" w:rsidRPr="00D54E0D" w:rsidRDefault="00746396" w:rsidP="00AE7FDF">
            <w:pPr>
              <w:pStyle w:val="Default"/>
              <w:rPr>
                <w:sz w:val="20"/>
                <w:szCs w:val="20"/>
              </w:rPr>
            </w:pPr>
            <w:r w:rsidRPr="00D54E0D">
              <w:rPr>
                <w:bCs/>
                <w:sz w:val="20"/>
                <w:szCs w:val="20"/>
              </w:rPr>
              <w:t xml:space="preserve">-1,3 </w:t>
            </w:r>
          </w:p>
        </w:tc>
        <w:tc>
          <w:tcPr>
            <w:tcW w:w="1172" w:type="pct"/>
          </w:tcPr>
          <w:p w:rsidR="00746396" w:rsidRPr="00D54E0D" w:rsidRDefault="00746396" w:rsidP="00AE7FDF">
            <w:pPr>
              <w:pStyle w:val="Default"/>
              <w:rPr>
                <w:sz w:val="20"/>
                <w:szCs w:val="20"/>
              </w:rPr>
            </w:pPr>
            <w:r w:rsidRPr="00D54E0D">
              <w:rPr>
                <w:bCs/>
                <w:sz w:val="20"/>
                <w:szCs w:val="20"/>
              </w:rPr>
              <w:t xml:space="preserve">-1,4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62 </w:t>
            </w:r>
          </w:p>
        </w:tc>
        <w:tc>
          <w:tcPr>
            <w:tcW w:w="2422" w:type="pct"/>
          </w:tcPr>
          <w:p w:rsidR="00746396" w:rsidRPr="00D54E0D" w:rsidRDefault="00746396" w:rsidP="00AE7FDF">
            <w:pPr>
              <w:pStyle w:val="Default"/>
              <w:rPr>
                <w:sz w:val="20"/>
                <w:szCs w:val="20"/>
              </w:rPr>
            </w:pPr>
            <w:r w:rsidRPr="00D54E0D">
              <w:rPr>
                <w:bCs/>
                <w:sz w:val="20"/>
                <w:szCs w:val="20"/>
              </w:rPr>
              <w:t xml:space="preserve">Lauksaimniecība, mežsaimniecība un zivsaimniecība </w:t>
            </w:r>
          </w:p>
        </w:tc>
        <w:tc>
          <w:tcPr>
            <w:tcW w:w="938" w:type="pct"/>
          </w:tcPr>
          <w:p w:rsidR="00746396" w:rsidRPr="00D54E0D" w:rsidRDefault="00746396" w:rsidP="00AE7FDF">
            <w:pPr>
              <w:pStyle w:val="Default"/>
              <w:rPr>
                <w:sz w:val="20"/>
                <w:szCs w:val="20"/>
              </w:rPr>
            </w:pPr>
            <w:r w:rsidRPr="00D54E0D">
              <w:rPr>
                <w:bCs/>
                <w:sz w:val="20"/>
                <w:szCs w:val="20"/>
              </w:rPr>
              <w:t xml:space="preserve">-0,3 </w:t>
            </w:r>
          </w:p>
        </w:tc>
        <w:tc>
          <w:tcPr>
            <w:tcW w:w="1172" w:type="pct"/>
          </w:tcPr>
          <w:p w:rsidR="00746396" w:rsidRPr="00D54E0D" w:rsidRDefault="00746396" w:rsidP="00AE7FDF">
            <w:pPr>
              <w:pStyle w:val="Default"/>
              <w:rPr>
                <w:sz w:val="20"/>
                <w:szCs w:val="20"/>
              </w:rPr>
            </w:pPr>
            <w:r w:rsidRPr="00D54E0D">
              <w:rPr>
                <w:bCs/>
                <w:sz w:val="20"/>
                <w:szCs w:val="20"/>
              </w:rPr>
              <w:t xml:space="preserve">-1,6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64 </w:t>
            </w:r>
          </w:p>
        </w:tc>
        <w:tc>
          <w:tcPr>
            <w:tcW w:w="2422" w:type="pct"/>
          </w:tcPr>
          <w:p w:rsidR="00746396" w:rsidRPr="00D54E0D" w:rsidRDefault="00746396" w:rsidP="00AE7FDF">
            <w:pPr>
              <w:pStyle w:val="Default"/>
              <w:rPr>
                <w:sz w:val="20"/>
                <w:szCs w:val="20"/>
              </w:rPr>
            </w:pPr>
            <w:r w:rsidRPr="00D54E0D">
              <w:rPr>
                <w:bCs/>
                <w:sz w:val="20"/>
                <w:szCs w:val="20"/>
              </w:rPr>
              <w:t xml:space="preserve">Veterinārija </w:t>
            </w:r>
          </w:p>
        </w:tc>
        <w:tc>
          <w:tcPr>
            <w:tcW w:w="938" w:type="pct"/>
          </w:tcPr>
          <w:p w:rsidR="00746396" w:rsidRPr="00D54E0D" w:rsidRDefault="00746396" w:rsidP="00AE7FDF">
            <w:pPr>
              <w:pStyle w:val="Default"/>
              <w:rPr>
                <w:sz w:val="20"/>
                <w:szCs w:val="20"/>
              </w:rPr>
            </w:pPr>
            <w:r w:rsidRPr="00D54E0D">
              <w:rPr>
                <w:bCs/>
                <w:sz w:val="20"/>
                <w:szCs w:val="20"/>
              </w:rPr>
              <w:t xml:space="preserve">-0,2 </w:t>
            </w:r>
          </w:p>
        </w:tc>
        <w:tc>
          <w:tcPr>
            <w:tcW w:w="1172" w:type="pct"/>
          </w:tcPr>
          <w:p w:rsidR="00746396" w:rsidRPr="00D54E0D" w:rsidRDefault="00746396" w:rsidP="00AE7FDF">
            <w:pPr>
              <w:pStyle w:val="Default"/>
              <w:rPr>
                <w:sz w:val="20"/>
                <w:szCs w:val="20"/>
              </w:rPr>
            </w:pPr>
            <w:r w:rsidRPr="00D54E0D">
              <w:rPr>
                <w:bCs/>
                <w:sz w:val="20"/>
                <w:szCs w:val="20"/>
              </w:rPr>
              <w:t xml:space="preserve">-0,2 </w:t>
            </w:r>
          </w:p>
        </w:tc>
      </w:tr>
      <w:tr w:rsidR="00746396" w:rsidTr="009266D1">
        <w:trPr>
          <w:trHeight w:val="93"/>
        </w:trPr>
        <w:tc>
          <w:tcPr>
            <w:tcW w:w="468" w:type="pct"/>
          </w:tcPr>
          <w:p w:rsidR="00746396" w:rsidRPr="00DC1B60" w:rsidRDefault="00746396" w:rsidP="00AE7FDF">
            <w:pPr>
              <w:pStyle w:val="Default"/>
              <w:rPr>
                <w:b/>
                <w:sz w:val="20"/>
                <w:szCs w:val="20"/>
              </w:rPr>
            </w:pPr>
            <w:r w:rsidRPr="00DC1B60">
              <w:rPr>
                <w:b/>
                <w:bCs/>
                <w:sz w:val="20"/>
                <w:szCs w:val="20"/>
              </w:rPr>
              <w:t xml:space="preserve">72 </w:t>
            </w:r>
          </w:p>
        </w:tc>
        <w:tc>
          <w:tcPr>
            <w:tcW w:w="2422" w:type="pct"/>
          </w:tcPr>
          <w:p w:rsidR="00746396" w:rsidRPr="00D54E0D" w:rsidRDefault="00746396" w:rsidP="00AE7FDF">
            <w:pPr>
              <w:pStyle w:val="Default"/>
              <w:rPr>
                <w:b/>
                <w:sz w:val="20"/>
                <w:szCs w:val="20"/>
              </w:rPr>
            </w:pPr>
            <w:r w:rsidRPr="00D54E0D">
              <w:rPr>
                <w:b/>
                <w:bCs/>
                <w:sz w:val="20"/>
                <w:szCs w:val="20"/>
              </w:rPr>
              <w:t xml:space="preserve">Veselības aprūpe </w:t>
            </w:r>
          </w:p>
        </w:tc>
        <w:tc>
          <w:tcPr>
            <w:tcW w:w="938" w:type="pct"/>
          </w:tcPr>
          <w:p w:rsidR="00746396" w:rsidRPr="00EC28E7" w:rsidRDefault="00746396" w:rsidP="00AE7FDF">
            <w:pPr>
              <w:pStyle w:val="Default"/>
              <w:rPr>
                <w:b/>
                <w:sz w:val="20"/>
                <w:szCs w:val="20"/>
              </w:rPr>
            </w:pPr>
            <w:r w:rsidRPr="00EC28E7">
              <w:rPr>
                <w:b/>
                <w:bCs/>
                <w:sz w:val="20"/>
                <w:szCs w:val="20"/>
              </w:rPr>
              <w:t xml:space="preserve">-3,1 </w:t>
            </w:r>
          </w:p>
        </w:tc>
        <w:tc>
          <w:tcPr>
            <w:tcW w:w="1172" w:type="pct"/>
          </w:tcPr>
          <w:p w:rsidR="00746396" w:rsidRPr="00D54E0D" w:rsidRDefault="00746396" w:rsidP="00AE7FDF">
            <w:pPr>
              <w:pStyle w:val="Default"/>
              <w:rPr>
                <w:sz w:val="20"/>
                <w:szCs w:val="20"/>
              </w:rPr>
            </w:pPr>
            <w:r w:rsidRPr="00D54E0D">
              <w:rPr>
                <w:bCs/>
                <w:sz w:val="20"/>
                <w:szCs w:val="20"/>
              </w:rPr>
              <w:t xml:space="preserve">-0,5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76 </w:t>
            </w:r>
          </w:p>
        </w:tc>
        <w:tc>
          <w:tcPr>
            <w:tcW w:w="2422" w:type="pct"/>
          </w:tcPr>
          <w:p w:rsidR="00746396" w:rsidRPr="00D54E0D" w:rsidRDefault="00746396" w:rsidP="00AE7FDF">
            <w:pPr>
              <w:pStyle w:val="Default"/>
              <w:rPr>
                <w:sz w:val="20"/>
                <w:szCs w:val="20"/>
              </w:rPr>
            </w:pPr>
            <w:r w:rsidRPr="00D54E0D">
              <w:rPr>
                <w:bCs/>
                <w:sz w:val="20"/>
                <w:szCs w:val="20"/>
              </w:rPr>
              <w:t xml:space="preserve">Sociālā labklājība </w:t>
            </w:r>
          </w:p>
        </w:tc>
        <w:tc>
          <w:tcPr>
            <w:tcW w:w="938" w:type="pct"/>
          </w:tcPr>
          <w:p w:rsidR="00746396" w:rsidRPr="00D54E0D" w:rsidRDefault="00746396" w:rsidP="00AE7FDF">
            <w:pPr>
              <w:pStyle w:val="Default"/>
              <w:rPr>
                <w:sz w:val="20"/>
                <w:szCs w:val="20"/>
              </w:rPr>
            </w:pPr>
            <w:r w:rsidRPr="00D54E0D">
              <w:rPr>
                <w:bCs/>
                <w:sz w:val="20"/>
                <w:szCs w:val="20"/>
              </w:rPr>
              <w:t xml:space="preserve">1,3 </w:t>
            </w:r>
          </w:p>
        </w:tc>
        <w:tc>
          <w:tcPr>
            <w:tcW w:w="1172" w:type="pct"/>
          </w:tcPr>
          <w:p w:rsidR="00746396" w:rsidRPr="00D54E0D" w:rsidRDefault="00746396" w:rsidP="00AE7FDF">
            <w:pPr>
              <w:pStyle w:val="Default"/>
              <w:rPr>
                <w:sz w:val="20"/>
                <w:szCs w:val="20"/>
              </w:rPr>
            </w:pPr>
            <w:r w:rsidRPr="00D54E0D">
              <w:rPr>
                <w:bCs/>
                <w:sz w:val="20"/>
                <w:szCs w:val="20"/>
              </w:rPr>
              <w:t xml:space="preserve">0,1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81 </w:t>
            </w:r>
          </w:p>
        </w:tc>
        <w:tc>
          <w:tcPr>
            <w:tcW w:w="2422" w:type="pct"/>
          </w:tcPr>
          <w:p w:rsidR="00746396" w:rsidRPr="00D54E0D" w:rsidRDefault="00746396" w:rsidP="00AE7FDF">
            <w:pPr>
              <w:pStyle w:val="Default"/>
              <w:rPr>
                <w:sz w:val="20"/>
                <w:szCs w:val="20"/>
              </w:rPr>
            </w:pPr>
            <w:r w:rsidRPr="00D54E0D">
              <w:rPr>
                <w:bCs/>
                <w:sz w:val="20"/>
                <w:szCs w:val="20"/>
              </w:rPr>
              <w:t xml:space="preserve">Individuālie pakalpojumi </w:t>
            </w:r>
          </w:p>
        </w:tc>
        <w:tc>
          <w:tcPr>
            <w:tcW w:w="938" w:type="pct"/>
          </w:tcPr>
          <w:p w:rsidR="00746396" w:rsidRPr="00D54E0D" w:rsidRDefault="00746396" w:rsidP="00AE7FDF">
            <w:pPr>
              <w:pStyle w:val="Default"/>
              <w:rPr>
                <w:sz w:val="20"/>
                <w:szCs w:val="20"/>
              </w:rPr>
            </w:pPr>
            <w:r w:rsidRPr="00D54E0D">
              <w:rPr>
                <w:bCs/>
                <w:sz w:val="20"/>
                <w:szCs w:val="20"/>
              </w:rPr>
              <w:t xml:space="preserve">2,0 </w:t>
            </w:r>
          </w:p>
        </w:tc>
        <w:tc>
          <w:tcPr>
            <w:tcW w:w="1172" w:type="pct"/>
          </w:tcPr>
          <w:p w:rsidR="00746396" w:rsidRPr="00D54E0D" w:rsidRDefault="00746396" w:rsidP="00AE7FDF">
            <w:pPr>
              <w:pStyle w:val="Default"/>
              <w:rPr>
                <w:sz w:val="20"/>
                <w:szCs w:val="20"/>
              </w:rPr>
            </w:pPr>
            <w:r w:rsidRPr="00D54E0D">
              <w:rPr>
                <w:bCs/>
                <w:sz w:val="20"/>
                <w:szCs w:val="20"/>
              </w:rPr>
              <w:t xml:space="preserve">2,3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84 </w:t>
            </w:r>
          </w:p>
        </w:tc>
        <w:tc>
          <w:tcPr>
            <w:tcW w:w="2422" w:type="pct"/>
          </w:tcPr>
          <w:p w:rsidR="00746396" w:rsidRPr="00D54E0D" w:rsidRDefault="00746396" w:rsidP="00AE7FDF">
            <w:pPr>
              <w:pStyle w:val="Default"/>
              <w:rPr>
                <w:sz w:val="20"/>
                <w:szCs w:val="20"/>
              </w:rPr>
            </w:pPr>
            <w:r w:rsidRPr="00D54E0D">
              <w:rPr>
                <w:bCs/>
                <w:sz w:val="20"/>
                <w:szCs w:val="20"/>
              </w:rPr>
              <w:t xml:space="preserve">Transporta pakalpojumi </w:t>
            </w:r>
          </w:p>
        </w:tc>
        <w:tc>
          <w:tcPr>
            <w:tcW w:w="938" w:type="pct"/>
          </w:tcPr>
          <w:p w:rsidR="00746396" w:rsidRPr="00D54E0D" w:rsidRDefault="00746396" w:rsidP="00AE7FDF">
            <w:pPr>
              <w:pStyle w:val="Default"/>
              <w:rPr>
                <w:sz w:val="20"/>
                <w:szCs w:val="20"/>
              </w:rPr>
            </w:pPr>
            <w:r w:rsidRPr="00D54E0D">
              <w:rPr>
                <w:bCs/>
                <w:sz w:val="20"/>
                <w:szCs w:val="20"/>
              </w:rPr>
              <w:t xml:space="preserve">0,2 </w:t>
            </w:r>
          </w:p>
        </w:tc>
        <w:tc>
          <w:tcPr>
            <w:tcW w:w="1172" w:type="pct"/>
          </w:tcPr>
          <w:p w:rsidR="00746396" w:rsidRPr="00EC28E7" w:rsidRDefault="00746396" w:rsidP="00AE7FDF">
            <w:pPr>
              <w:pStyle w:val="Default"/>
              <w:rPr>
                <w:b/>
                <w:sz w:val="20"/>
                <w:szCs w:val="20"/>
              </w:rPr>
            </w:pPr>
            <w:r w:rsidRPr="00EC28E7">
              <w:rPr>
                <w:b/>
                <w:bCs/>
                <w:sz w:val="20"/>
                <w:szCs w:val="20"/>
              </w:rPr>
              <w:t xml:space="preserve">-3,9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85 </w:t>
            </w:r>
          </w:p>
        </w:tc>
        <w:tc>
          <w:tcPr>
            <w:tcW w:w="2422" w:type="pct"/>
          </w:tcPr>
          <w:p w:rsidR="00746396" w:rsidRPr="00D54E0D" w:rsidRDefault="00746396" w:rsidP="00AE7FDF">
            <w:pPr>
              <w:pStyle w:val="Default"/>
              <w:rPr>
                <w:sz w:val="20"/>
                <w:szCs w:val="20"/>
              </w:rPr>
            </w:pPr>
            <w:r w:rsidRPr="00D54E0D">
              <w:rPr>
                <w:bCs/>
                <w:sz w:val="20"/>
                <w:szCs w:val="20"/>
              </w:rPr>
              <w:t xml:space="preserve">Vides aizsardzība </w:t>
            </w:r>
          </w:p>
        </w:tc>
        <w:tc>
          <w:tcPr>
            <w:tcW w:w="938" w:type="pct"/>
          </w:tcPr>
          <w:p w:rsidR="00746396" w:rsidRPr="00D54E0D" w:rsidRDefault="00746396" w:rsidP="00AE7FDF">
            <w:pPr>
              <w:pStyle w:val="Default"/>
              <w:rPr>
                <w:sz w:val="20"/>
                <w:szCs w:val="20"/>
              </w:rPr>
            </w:pPr>
            <w:r w:rsidRPr="00D54E0D">
              <w:rPr>
                <w:bCs/>
                <w:sz w:val="20"/>
                <w:szCs w:val="20"/>
              </w:rPr>
              <w:t xml:space="preserve">0,6 </w:t>
            </w:r>
          </w:p>
        </w:tc>
        <w:tc>
          <w:tcPr>
            <w:tcW w:w="1172" w:type="pct"/>
          </w:tcPr>
          <w:p w:rsidR="00746396" w:rsidRPr="00D54E0D" w:rsidRDefault="00746396" w:rsidP="00AE7FDF">
            <w:pPr>
              <w:pStyle w:val="Default"/>
              <w:rPr>
                <w:sz w:val="20"/>
                <w:szCs w:val="20"/>
              </w:rPr>
            </w:pPr>
            <w:r w:rsidRPr="00D54E0D">
              <w:rPr>
                <w:bCs/>
                <w:sz w:val="20"/>
                <w:szCs w:val="20"/>
              </w:rPr>
              <w:t xml:space="preserve">0,1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86 </w:t>
            </w:r>
          </w:p>
        </w:tc>
        <w:tc>
          <w:tcPr>
            <w:tcW w:w="2422" w:type="pct"/>
          </w:tcPr>
          <w:p w:rsidR="00746396" w:rsidRPr="00D54E0D" w:rsidRDefault="00746396" w:rsidP="00AE7FDF">
            <w:pPr>
              <w:pStyle w:val="Default"/>
              <w:rPr>
                <w:sz w:val="20"/>
                <w:szCs w:val="20"/>
              </w:rPr>
            </w:pPr>
            <w:r w:rsidRPr="00D54E0D">
              <w:rPr>
                <w:bCs/>
                <w:sz w:val="20"/>
                <w:szCs w:val="20"/>
              </w:rPr>
              <w:t xml:space="preserve">Civilā un militārā aizsardzība </w:t>
            </w:r>
          </w:p>
        </w:tc>
        <w:tc>
          <w:tcPr>
            <w:tcW w:w="938" w:type="pct"/>
          </w:tcPr>
          <w:p w:rsidR="00746396" w:rsidRPr="00D54E0D" w:rsidRDefault="00746396" w:rsidP="00AE7FDF">
            <w:pPr>
              <w:pStyle w:val="Default"/>
              <w:rPr>
                <w:sz w:val="20"/>
                <w:szCs w:val="20"/>
              </w:rPr>
            </w:pPr>
            <w:r w:rsidRPr="00D54E0D">
              <w:rPr>
                <w:bCs/>
                <w:sz w:val="20"/>
                <w:szCs w:val="20"/>
              </w:rPr>
              <w:t xml:space="preserve">0,7 </w:t>
            </w:r>
          </w:p>
        </w:tc>
        <w:tc>
          <w:tcPr>
            <w:tcW w:w="1172" w:type="pct"/>
          </w:tcPr>
          <w:p w:rsidR="00746396" w:rsidRPr="00D54E0D" w:rsidRDefault="00746396" w:rsidP="00AE7FDF">
            <w:pPr>
              <w:pStyle w:val="Default"/>
              <w:rPr>
                <w:sz w:val="20"/>
                <w:szCs w:val="20"/>
              </w:rPr>
            </w:pPr>
            <w:r w:rsidRPr="00D54E0D">
              <w:rPr>
                <w:bCs/>
                <w:sz w:val="20"/>
                <w:szCs w:val="20"/>
              </w:rPr>
              <w:t xml:space="preserve">0,1 </w:t>
            </w:r>
          </w:p>
        </w:tc>
      </w:tr>
      <w:tr w:rsidR="00746396" w:rsidTr="009266D1">
        <w:trPr>
          <w:trHeight w:val="93"/>
        </w:trPr>
        <w:tc>
          <w:tcPr>
            <w:tcW w:w="468" w:type="pct"/>
          </w:tcPr>
          <w:p w:rsidR="00746396" w:rsidRPr="00D54E0D" w:rsidRDefault="00746396" w:rsidP="00AE7FDF">
            <w:pPr>
              <w:pStyle w:val="Default"/>
              <w:rPr>
                <w:sz w:val="20"/>
                <w:szCs w:val="20"/>
              </w:rPr>
            </w:pPr>
            <w:r w:rsidRPr="00D54E0D">
              <w:rPr>
                <w:bCs/>
                <w:sz w:val="20"/>
                <w:szCs w:val="20"/>
              </w:rPr>
              <w:t xml:space="preserve">X99 </w:t>
            </w:r>
          </w:p>
        </w:tc>
        <w:tc>
          <w:tcPr>
            <w:tcW w:w="2422" w:type="pct"/>
          </w:tcPr>
          <w:p w:rsidR="00746396" w:rsidRPr="00D54E0D" w:rsidRDefault="00746396" w:rsidP="00AE7FDF">
            <w:pPr>
              <w:pStyle w:val="Default"/>
              <w:rPr>
                <w:sz w:val="20"/>
                <w:szCs w:val="20"/>
              </w:rPr>
            </w:pPr>
            <w:r w:rsidRPr="00D54E0D">
              <w:rPr>
                <w:bCs/>
                <w:sz w:val="20"/>
                <w:szCs w:val="20"/>
              </w:rPr>
              <w:t xml:space="preserve">Vispārējās izglītības un citur neklasificētās tematiskās jomas </w:t>
            </w:r>
          </w:p>
        </w:tc>
        <w:tc>
          <w:tcPr>
            <w:tcW w:w="938" w:type="pct"/>
          </w:tcPr>
          <w:p w:rsidR="00746396" w:rsidRPr="00D54E0D" w:rsidRDefault="00746396" w:rsidP="00AE7FDF">
            <w:pPr>
              <w:pStyle w:val="Default"/>
              <w:rPr>
                <w:sz w:val="20"/>
                <w:szCs w:val="20"/>
              </w:rPr>
            </w:pPr>
            <w:r w:rsidRPr="00D54E0D">
              <w:rPr>
                <w:bCs/>
                <w:sz w:val="20"/>
                <w:szCs w:val="20"/>
              </w:rPr>
              <w:t xml:space="preserve">-0,1 </w:t>
            </w:r>
          </w:p>
        </w:tc>
        <w:tc>
          <w:tcPr>
            <w:tcW w:w="1172" w:type="pct"/>
          </w:tcPr>
          <w:p w:rsidR="00746396" w:rsidRPr="00D54E0D" w:rsidRDefault="00746396" w:rsidP="00AE7FDF">
            <w:pPr>
              <w:pStyle w:val="Default"/>
              <w:rPr>
                <w:sz w:val="20"/>
                <w:szCs w:val="20"/>
              </w:rPr>
            </w:pPr>
            <w:r w:rsidRPr="00D54E0D">
              <w:rPr>
                <w:bCs/>
                <w:sz w:val="20"/>
                <w:szCs w:val="20"/>
              </w:rPr>
              <w:t xml:space="preserve">22,2 </w:t>
            </w:r>
          </w:p>
        </w:tc>
      </w:tr>
    </w:tbl>
    <w:p w:rsidR="00D42476" w:rsidRPr="000C7B95" w:rsidRDefault="00D42476" w:rsidP="00D42476">
      <w:pPr>
        <w:spacing w:after="240"/>
        <w:rPr>
          <w:i/>
          <w:szCs w:val="24"/>
        </w:rPr>
      </w:pPr>
      <w:r w:rsidRPr="000C7B95">
        <w:rPr>
          <w:bCs/>
          <w:i/>
          <w:szCs w:val="24"/>
        </w:rPr>
        <w:t>Avots: EM informatīvais ziņojums, pielikums, 31. lpp.</w:t>
      </w:r>
    </w:p>
    <w:p w:rsidR="00D42476" w:rsidRPr="00D70E31" w:rsidRDefault="00D42476" w:rsidP="000C7B95">
      <w:pPr>
        <w:pStyle w:val="Default"/>
        <w:ind w:firstLine="567"/>
        <w:jc w:val="both"/>
        <w:rPr>
          <w:color w:val="auto"/>
        </w:rPr>
      </w:pPr>
      <w:r w:rsidRPr="00D70E31">
        <w:lastRenderedPageBreak/>
        <w:t xml:space="preserve">Prognozējot jaunas darba iespējas nākotnē, EM informatīvajā ziņojumā </w:t>
      </w:r>
      <w:r w:rsidRPr="00D70E31">
        <w:rPr>
          <w:iCs/>
        </w:rPr>
        <w:t xml:space="preserve">ir secināts, ka </w:t>
      </w:r>
      <w:r w:rsidRPr="00D70E31">
        <w:rPr>
          <w:bCs/>
        </w:rPr>
        <w:t>tās veidosies galvenokārt dažādu speciālistu profesiju grupās (inženierzinātņu, IT, veselības u.c. jomās)</w:t>
      </w:r>
      <w:r w:rsidRPr="00D70E31">
        <w:t xml:space="preserve">. </w:t>
      </w:r>
      <w:r w:rsidRPr="00D70E31">
        <w:rPr>
          <w:iCs/>
        </w:rPr>
        <w:t xml:space="preserve">Latvijā, līdzīgi kā ES, līdz </w:t>
      </w:r>
      <w:r w:rsidRPr="00D70E31">
        <w:t xml:space="preserve">2025.gadam vispieprasītākās profesiju grupas būs speciālisti un vecākie speciālisti. Lai gan turpināsies orientācija uz pakalpojumiem vērstu ekonomiku, tomēr pieprasījums pēc zinātnes, tehnoloģiju, inženierzinātņu un matemātikas prasmēm nemazināsies un tās būs </w:t>
      </w:r>
      <w:r w:rsidRPr="00D70E31">
        <w:rPr>
          <w:color w:val="auto"/>
        </w:rPr>
        <w:t>nepieciešamas arī pakalpojumu nozarēs, piemēram, liela daļa cilvēku ar IKT prasmēm ir nodarbināti finanšu sektorā.</w:t>
      </w:r>
    </w:p>
    <w:p w:rsidR="00D42476" w:rsidRPr="00D70E31" w:rsidRDefault="00D42476" w:rsidP="000C7B95">
      <w:pPr>
        <w:ind w:firstLine="567"/>
        <w:rPr>
          <w:szCs w:val="24"/>
        </w:rPr>
      </w:pPr>
      <w:r w:rsidRPr="00D70E31">
        <w:rPr>
          <w:szCs w:val="24"/>
        </w:rPr>
        <w:t xml:space="preserve">Vienlaikus EM atzīst, ka demogrāfijas faktoru izmaiņas ietekmēs prasmju piedāvājumu daudzās profesijās. Novecošanās ietekmēs daudzas STEM profesijas. Tas norāda uz iespējamo nākotnes darbaspēka iztrūkumu zinātnes un tehnoloģiju jomā. </w:t>
      </w:r>
    </w:p>
    <w:p w:rsidR="00D42476" w:rsidRPr="00D70E31" w:rsidRDefault="00D42476" w:rsidP="000C7B95">
      <w:pPr>
        <w:ind w:firstLine="567"/>
        <w:rPr>
          <w:szCs w:val="24"/>
        </w:rPr>
      </w:pPr>
      <w:r w:rsidRPr="00D70E31">
        <w:rPr>
          <w:szCs w:val="24"/>
        </w:rPr>
        <w:t>Ņemot vērā iepriekš minēto, šobrīd augstākās izglītības jomā akcents ir jāliek uz nozaru pārstrukturizācijas pasākumiem, lai palielinātu jauno speciālistu skaitu STEM profesijās un tādā veidā nodrošinātu nākotnes darbaspēka vajadzības.</w:t>
      </w:r>
    </w:p>
    <w:p w:rsidR="00D42476" w:rsidRPr="00D70E31" w:rsidRDefault="00D42476" w:rsidP="000C7B95">
      <w:pPr>
        <w:ind w:firstLine="567"/>
        <w:rPr>
          <w:szCs w:val="24"/>
        </w:rPr>
      </w:pPr>
      <w:r w:rsidRPr="00D70E31">
        <w:rPr>
          <w:szCs w:val="24"/>
        </w:rPr>
        <w:t>Izvērtējot potenciālo studentu izvēli par konkrēto izglītības tematisk</w:t>
      </w:r>
      <w:r w:rsidR="000423B7" w:rsidRPr="00D70E31">
        <w:rPr>
          <w:szCs w:val="24"/>
        </w:rPr>
        <w:t xml:space="preserve">o grupu, secināms, ka joprojām </w:t>
      </w:r>
      <w:r w:rsidRPr="00D70E31">
        <w:rPr>
          <w:szCs w:val="24"/>
        </w:rPr>
        <w:t xml:space="preserve">vislielākais uzņemto studentu skaits, kā arī augstākās izglītības iestāžu absolventu skaits un īpatsvars ir izglītības tematiskajā grupā </w:t>
      </w:r>
      <w:r w:rsidRPr="00D70E31">
        <w:rPr>
          <w:i/>
          <w:szCs w:val="24"/>
        </w:rPr>
        <w:t xml:space="preserve">Sociālās zinātnes, </w:t>
      </w:r>
      <w:proofErr w:type="spellStart"/>
      <w:r w:rsidRPr="00D70E31">
        <w:rPr>
          <w:i/>
          <w:szCs w:val="24"/>
        </w:rPr>
        <w:t>komerczinības</w:t>
      </w:r>
      <w:proofErr w:type="spellEnd"/>
      <w:r w:rsidRPr="00D70E31">
        <w:rPr>
          <w:i/>
          <w:szCs w:val="24"/>
        </w:rPr>
        <w:t xml:space="preserve"> un tiesības.</w:t>
      </w:r>
      <w:r w:rsidRPr="00D70E31">
        <w:rPr>
          <w:szCs w:val="24"/>
        </w:rPr>
        <w:t xml:space="preserve"> </w:t>
      </w:r>
    </w:p>
    <w:p w:rsidR="00D42476" w:rsidRPr="004C085F" w:rsidRDefault="00D42476" w:rsidP="00D42476">
      <w:pPr>
        <w:spacing w:after="240"/>
        <w:ind w:firstLine="567"/>
        <w:jc w:val="right"/>
        <w:rPr>
          <w:szCs w:val="26"/>
        </w:rPr>
      </w:pPr>
      <w:r w:rsidRPr="004C085F">
        <w:rPr>
          <w:szCs w:val="26"/>
        </w:rPr>
        <w:t>1.</w:t>
      </w:r>
      <w:r w:rsidR="000C7B95">
        <w:rPr>
          <w:szCs w:val="26"/>
        </w:rPr>
        <w:t>7</w:t>
      </w:r>
      <w:r w:rsidRPr="004C085F">
        <w:rPr>
          <w:szCs w:val="26"/>
        </w:rPr>
        <w:t>.attēls</w:t>
      </w:r>
    </w:p>
    <w:p w:rsidR="00D42476" w:rsidRDefault="00D42476" w:rsidP="00D42476">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 w:val="center" w:pos="2268"/>
          <w:tab w:val="center" w:pos="4536"/>
          <w:tab w:val="center" w:pos="6804"/>
        </w:tabs>
        <w:suppressAutoHyphens/>
        <w:spacing w:after="0"/>
        <w:rPr>
          <w:rFonts w:ascii="Segoe UI Semibold" w:hAnsi="Segoe UI Semibold"/>
          <w:b/>
          <w:bCs/>
          <w:spacing w:val="-2"/>
          <w:w w:val="80"/>
          <w:sz w:val="22"/>
          <w:szCs w:val="24"/>
        </w:rPr>
      </w:pPr>
      <w:r>
        <w:rPr>
          <w:rFonts w:ascii="Segoe UI Semibold" w:hAnsi="Segoe UI Semibold"/>
          <w:b/>
          <w:bCs/>
          <w:spacing w:val="-2"/>
          <w:w w:val="80"/>
          <w:sz w:val="22"/>
          <w:szCs w:val="24"/>
        </w:rPr>
        <w:t>S</w:t>
      </w:r>
      <w:r w:rsidRPr="0013604B">
        <w:rPr>
          <w:rFonts w:ascii="Segoe UI Semibold" w:hAnsi="Segoe UI Semibold"/>
          <w:b/>
          <w:bCs/>
          <w:spacing w:val="-2"/>
          <w:w w:val="80"/>
          <w:sz w:val="22"/>
          <w:szCs w:val="24"/>
        </w:rPr>
        <w:t>tudentu skaita sadalījums augstskolās un koledžās pa izglītības tematiskajām grupām akadēmiskajā gadā</w:t>
      </w:r>
    </w:p>
    <w:p w:rsidR="00D42476" w:rsidRPr="0013604B" w:rsidRDefault="00D42476" w:rsidP="00D42476">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 w:val="center" w:pos="2268"/>
          <w:tab w:val="center" w:pos="4536"/>
          <w:tab w:val="center" w:pos="6804"/>
        </w:tabs>
        <w:suppressAutoHyphens/>
        <w:spacing w:after="240"/>
        <w:jc w:val="left"/>
        <w:rPr>
          <w:rFonts w:ascii="Segoe UI Semibold" w:hAnsi="Segoe UI Semibold"/>
          <w:b/>
          <w:bCs/>
          <w:spacing w:val="-2"/>
          <w:w w:val="80"/>
          <w:sz w:val="20"/>
          <w:szCs w:val="22"/>
        </w:rPr>
      </w:pPr>
      <w:r w:rsidRPr="0013604B">
        <w:rPr>
          <w:rFonts w:ascii="Segoe UI Semibold" w:hAnsi="Segoe UI Semibold"/>
          <w:bCs/>
          <w:w w:val="80"/>
          <w:sz w:val="20"/>
          <w:szCs w:val="22"/>
        </w:rPr>
        <w:tab/>
        <w:t>uzņemto studentu skaits</w:t>
      </w:r>
      <w:r>
        <w:rPr>
          <w:rFonts w:ascii="Segoe UI Semibold" w:hAnsi="Segoe UI Semibold"/>
          <w:bCs/>
          <w:w w:val="80"/>
          <w:sz w:val="20"/>
          <w:szCs w:val="22"/>
        </w:rPr>
        <w:t>, procentos</w:t>
      </w:r>
      <w:r>
        <w:rPr>
          <w:rFonts w:ascii="Segoe UI Semibold" w:hAnsi="Segoe UI Semibold"/>
          <w:bCs/>
          <w:w w:val="80"/>
          <w:sz w:val="20"/>
          <w:szCs w:val="22"/>
        </w:rPr>
        <w:tab/>
      </w:r>
      <w:r w:rsidRPr="0013604B">
        <w:rPr>
          <w:rFonts w:ascii="Segoe UI Semibold" w:hAnsi="Segoe UI Semibold"/>
          <w:bCs/>
          <w:w w:val="80"/>
          <w:sz w:val="20"/>
          <w:szCs w:val="22"/>
        </w:rPr>
        <w:tab/>
        <w:t>grādu vai kvalifikāciju</w:t>
      </w:r>
      <w:r>
        <w:rPr>
          <w:rFonts w:ascii="Segoe UI Semibold" w:hAnsi="Segoe UI Semibold"/>
          <w:bCs/>
          <w:w w:val="80"/>
          <w:sz w:val="20"/>
          <w:szCs w:val="22"/>
        </w:rPr>
        <w:t xml:space="preserve"> ieguvušo skaits, procentos</w:t>
      </w:r>
    </w:p>
    <w:p w:rsidR="00D42476" w:rsidRDefault="00D42476" w:rsidP="00D42476">
      <w:pPr>
        <w:spacing w:after="240"/>
        <w:rPr>
          <w:szCs w:val="26"/>
        </w:rPr>
      </w:pPr>
      <w:r w:rsidRPr="00270AF1">
        <w:rPr>
          <w:rFonts w:ascii="Arial Narrow" w:hAnsi="Arial Narrow"/>
          <w:noProof/>
          <w:szCs w:val="28"/>
          <w:lang w:eastAsia="lv-LV"/>
        </w:rPr>
        <w:drawing>
          <wp:inline distT="0" distB="0" distL="0" distR="0">
            <wp:extent cx="2880000" cy="2160000"/>
            <wp:effectExtent l="0" t="0" r="0" b="0"/>
            <wp:docPr id="8"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270AF1">
        <w:rPr>
          <w:rFonts w:ascii="Arial Narrow" w:hAnsi="Arial Narrow"/>
          <w:noProof/>
          <w:szCs w:val="28"/>
          <w:lang w:eastAsia="lv-LV"/>
        </w:rPr>
        <w:drawing>
          <wp:inline distT="0" distB="0" distL="0" distR="0">
            <wp:extent cx="2880000" cy="2160000"/>
            <wp:effectExtent l="0" t="0" r="0" b="0"/>
            <wp:docPr id="9"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2476" w:rsidRDefault="00D42476" w:rsidP="00D42476">
      <w:pPr>
        <w:spacing w:after="240"/>
        <w:rPr>
          <w:szCs w:val="26"/>
        </w:rPr>
      </w:pPr>
      <w:r w:rsidRPr="00270AF1">
        <w:rPr>
          <w:rFonts w:ascii="Arial Narrow" w:hAnsi="Arial Narrow"/>
          <w:noProof/>
          <w:szCs w:val="28"/>
          <w:lang w:eastAsia="lv-LV"/>
        </w:rPr>
        <w:drawing>
          <wp:inline distT="0" distB="0" distL="0" distR="0">
            <wp:extent cx="6387406" cy="557530"/>
            <wp:effectExtent l="0" t="0" r="0" b="0"/>
            <wp:docPr id="10"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42476" w:rsidRPr="002057A7" w:rsidRDefault="00D42476" w:rsidP="00D42476">
      <w:pPr>
        <w:spacing w:after="240"/>
        <w:rPr>
          <w:i/>
          <w:szCs w:val="26"/>
        </w:rPr>
      </w:pPr>
      <w:r w:rsidRPr="002057A7">
        <w:rPr>
          <w:i/>
          <w:szCs w:val="26"/>
        </w:rPr>
        <w:t>Avots: EM informatīvais ziņojums, 38.lpp.</w:t>
      </w:r>
    </w:p>
    <w:p w:rsidR="00D42476" w:rsidRDefault="00D42476" w:rsidP="000C7B95">
      <w:pPr>
        <w:ind w:firstLine="567"/>
        <w:rPr>
          <w:szCs w:val="26"/>
        </w:rPr>
      </w:pPr>
      <w:r>
        <w:rPr>
          <w:szCs w:val="26"/>
        </w:rPr>
        <w:t>Lai gan u</w:t>
      </w:r>
      <w:r w:rsidRPr="00927536">
        <w:rPr>
          <w:szCs w:val="26"/>
        </w:rPr>
        <w:t xml:space="preserve">zņemto </w:t>
      </w:r>
      <w:r>
        <w:rPr>
          <w:szCs w:val="26"/>
        </w:rPr>
        <w:t xml:space="preserve">studentu </w:t>
      </w:r>
      <w:r w:rsidRPr="009522A4">
        <w:rPr>
          <w:szCs w:val="26"/>
        </w:rPr>
        <w:t xml:space="preserve">struktūra </w:t>
      </w:r>
      <w:r w:rsidR="001350B8" w:rsidRPr="009522A4">
        <w:rPr>
          <w:szCs w:val="26"/>
        </w:rPr>
        <w:t>2014.gadā</w:t>
      </w:r>
      <w:r w:rsidRPr="009522A4">
        <w:rPr>
          <w:szCs w:val="26"/>
        </w:rPr>
        <w:t xml:space="preserve"> būtiski</w:t>
      </w:r>
      <w:r w:rsidRPr="00927536">
        <w:rPr>
          <w:szCs w:val="26"/>
        </w:rPr>
        <w:t xml:space="preserve"> nav izmainījusies, </w:t>
      </w:r>
      <w:r>
        <w:rPr>
          <w:szCs w:val="26"/>
        </w:rPr>
        <w:t>tomēr</w:t>
      </w:r>
      <w:r w:rsidRPr="00927536">
        <w:rPr>
          <w:szCs w:val="26"/>
        </w:rPr>
        <w:t xml:space="preserve"> </w:t>
      </w:r>
      <w:r>
        <w:rPr>
          <w:szCs w:val="26"/>
        </w:rPr>
        <w:t>vērojama tendence samazināties</w:t>
      </w:r>
      <w:r w:rsidRPr="00927536">
        <w:rPr>
          <w:szCs w:val="26"/>
        </w:rPr>
        <w:t xml:space="preserve"> sociālo zinātņu tematisk</w:t>
      </w:r>
      <w:r>
        <w:rPr>
          <w:szCs w:val="26"/>
        </w:rPr>
        <w:t>ās</w:t>
      </w:r>
      <w:r w:rsidRPr="00927536">
        <w:rPr>
          <w:szCs w:val="26"/>
        </w:rPr>
        <w:t xml:space="preserve"> grupu studentu īpatsvaram. Pozitīvi vērtējams fakts, ka pakāpeniski turpināja palielināties inženierzinātņu, ražošanas un būvniecības tematiskā grupā, lauksaimniecības tematiskā grupā un veselības aprūpes un sociālās labklājības tematiskā grupā studijas uzsākušo īpatsvars.</w:t>
      </w:r>
      <w:r>
        <w:rPr>
          <w:szCs w:val="26"/>
        </w:rPr>
        <w:t xml:space="preserve"> Arī augstākās izglītības iestāžu absolvējušo struktūra uzrāda pozitīvas tendences – arvien palielinās </w:t>
      </w:r>
      <w:r w:rsidRPr="00927536">
        <w:rPr>
          <w:szCs w:val="26"/>
        </w:rPr>
        <w:t>absolvējušo skaita īpatsvara pieaugums inženierzinātņu, ražošanas un būvniecības tematiskā grupā</w:t>
      </w:r>
      <w:r>
        <w:rPr>
          <w:szCs w:val="26"/>
        </w:rPr>
        <w:t>, kā arī veselības aprūpes un sociālās labklājības tematiskajā grupā.</w:t>
      </w:r>
    </w:p>
    <w:p w:rsidR="00D42476" w:rsidRDefault="00D42476" w:rsidP="000C7B95">
      <w:pPr>
        <w:ind w:firstLine="567"/>
        <w:rPr>
          <w:szCs w:val="26"/>
        </w:rPr>
      </w:pPr>
      <w:r>
        <w:rPr>
          <w:szCs w:val="26"/>
        </w:rPr>
        <w:t xml:space="preserve">Atšķirīga ir </w:t>
      </w:r>
      <w:r w:rsidRPr="00927536">
        <w:rPr>
          <w:szCs w:val="26"/>
        </w:rPr>
        <w:t>profesionālās izglītības iestāžu uzņemto audzēkņu skaita struktūra sadalījumā pēc izglītības tematiskām grupām</w:t>
      </w:r>
      <w:r>
        <w:rPr>
          <w:szCs w:val="26"/>
        </w:rPr>
        <w:t>. Kā redzams 1.</w:t>
      </w:r>
      <w:r w:rsidR="000C7B95">
        <w:rPr>
          <w:szCs w:val="26"/>
        </w:rPr>
        <w:t>8</w:t>
      </w:r>
      <w:r>
        <w:rPr>
          <w:szCs w:val="26"/>
        </w:rPr>
        <w:t>.attēlā, j</w:t>
      </w:r>
      <w:r w:rsidRPr="00927536">
        <w:rPr>
          <w:szCs w:val="26"/>
        </w:rPr>
        <w:t xml:space="preserve">aunieši visvairāk izvēlas mācīties </w:t>
      </w:r>
      <w:r>
        <w:rPr>
          <w:szCs w:val="26"/>
        </w:rPr>
        <w:t xml:space="preserve">tieši </w:t>
      </w:r>
      <w:r w:rsidRPr="00927536">
        <w:rPr>
          <w:szCs w:val="26"/>
        </w:rPr>
        <w:t xml:space="preserve">inženierzinātņu, ražošanas un būvniecības tematiskajā grupā. Lai arī šī grupa </w:t>
      </w:r>
      <w:r w:rsidRPr="00927536">
        <w:rPr>
          <w:szCs w:val="26"/>
        </w:rPr>
        <w:lastRenderedPageBreak/>
        <w:t>skaitliski ir vislielākā, tomēr pēdējo gadu laikā tās īpatsvars ir samazinājies. Vienlaikus pieaudzis uzņemto audzēkņu skaits pakalpojumu tematiskajā grupā – galvenokārt viesnīcu un skaistumkopšanas pakalpojumu jomās</w:t>
      </w:r>
      <w:r>
        <w:rPr>
          <w:szCs w:val="26"/>
        </w:rPr>
        <w:t>.</w:t>
      </w:r>
    </w:p>
    <w:p w:rsidR="00D42476" w:rsidRPr="004C085F" w:rsidRDefault="00D42476" w:rsidP="000C7B95">
      <w:pPr>
        <w:ind w:firstLine="567"/>
        <w:jc w:val="right"/>
        <w:rPr>
          <w:szCs w:val="26"/>
        </w:rPr>
      </w:pPr>
      <w:r w:rsidRPr="004C085F">
        <w:rPr>
          <w:szCs w:val="26"/>
        </w:rPr>
        <w:t>1.</w:t>
      </w:r>
      <w:r w:rsidR="000C7B95">
        <w:rPr>
          <w:szCs w:val="26"/>
        </w:rPr>
        <w:t>8</w:t>
      </w:r>
      <w:r w:rsidRPr="004C085F">
        <w:rPr>
          <w:szCs w:val="26"/>
        </w:rPr>
        <w:t>.attēls</w:t>
      </w:r>
    </w:p>
    <w:p w:rsidR="00D42476" w:rsidRDefault="00D42476" w:rsidP="000C7B95">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s>
        <w:suppressAutoHyphens/>
        <w:spacing w:after="0"/>
        <w:rPr>
          <w:rFonts w:ascii="Segoe UI Semibold" w:hAnsi="Segoe UI Semibold"/>
          <w:b/>
          <w:bCs/>
          <w:spacing w:val="-2"/>
          <w:w w:val="80"/>
          <w:sz w:val="22"/>
          <w:szCs w:val="26"/>
        </w:rPr>
      </w:pPr>
      <w:r w:rsidRPr="00CF52A1">
        <w:rPr>
          <w:rFonts w:ascii="Segoe UI Semibold" w:hAnsi="Segoe UI Semibold"/>
          <w:b/>
          <w:bCs/>
          <w:spacing w:val="-2"/>
          <w:w w:val="80"/>
          <w:sz w:val="22"/>
          <w:szCs w:val="26"/>
        </w:rPr>
        <w:t xml:space="preserve">Audzēkņu skaita sadalījums profesionālās izglītības iestādēs pa izglītības tematiskām grupām </w:t>
      </w:r>
    </w:p>
    <w:p w:rsidR="00D42476" w:rsidRPr="00CF52A1" w:rsidRDefault="00D42476" w:rsidP="00D42476">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 w:val="center" w:pos="2268"/>
          <w:tab w:val="center" w:pos="6804"/>
        </w:tabs>
        <w:suppressAutoHyphens/>
        <w:spacing w:after="240"/>
        <w:jc w:val="left"/>
        <w:rPr>
          <w:rFonts w:ascii="Segoe UI Semibold" w:hAnsi="Segoe UI Semibold"/>
          <w:b/>
          <w:bCs/>
          <w:spacing w:val="-2"/>
          <w:w w:val="80"/>
          <w:sz w:val="20"/>
          <w:szCs w:val="22"/>
        </w:rPr>
      </w:pPr>
      <w:r w:rsidRPr="00CF52A1">
        <w:rPr>
          <w:rFonts w:ascii="Segoe UI Semibold" w:hAnsi="Segoe UI Semibold"/>
          <w:bCs/>
          <w:w w:val="80"/>
          <w:sz w:val="20"/>
          <w:szCs w:val="22"/>
        </w:rPr>
        <w:tab/>
        <w:t>uzņemto audzēkņu skaits</w:t>
      </w:r>
      <w:r>
        <w:rPr>
          <w:rFonts w:ascii="Segoe UI Semibold" w:hAnsi="Segoe UI Semibold"/>
          <w:bCs/>
          <w:w w:val="80"/>
          <w:sz w:val="20"/>
          <w:szCs w:val="22"/>
        </w:rPr>
        <w:t>, procentos</w:t>
      </w:r>
      <w:r w:rsidRPr="00CF52A1">
        <w:rPr>
          <w:rFonts w:ascii="Segoe UI Semibold" w:hAnsi="Segoe UI Semibold"/>
          <w:b/>
          <w:bCs/>
          <w:spacing w:val="-2"/>
          <w:w w:val="80"/>
          <w:sz w:val="20"/>
          <w:szCs w:val="22"/>
        </w:rPr>
        <w:tab/>
      </w:r>
      <w:r w:rsidRPr="00CF52A1">
        <w:rPr>
          <w:rFonts w:ascii="Segoe UI Semibold" w:hAnsi="Segoe UI Semibold"/>
          <w:bCs/>
          <w:w w:val="80"/>
          <w:sz w:val="20"/>
          <w:szCs w:val="22"/>
        </w:rPr>
        <w:t>kvalifikāciju ieguvušo skaits</w:t>
      </w:r>
      <w:r>
        <w:rPr>
          <w:rFonts w:ascii="Segoe UI Semibold" w:hAnsi="Segoe UI Semibold"/>
          <w:bCs/>
          <w:w w:val="80"/>
          <w:sz w:val="20"/>
          <w:szCs w:val="22"/>
        </w:rPr>
        <w:t>, procentos</w:t>
      </w:r>
    </w:p>
    <w:p w:rsidR="00D42476" w:rsidRPr="009E545C" w:rsidRDefault="00D42476" w:rsidP="00D42476">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 w:val="left" w:pos="3237"/>
        </w:tabs>
        <w:suppressAutoHyphens/>
        <w:spacing w:after="240"/>
        <w:jc w:val="left"/>
        <w:rPr>
          <w:rFonts w:ascii="Arial Narrow" w:hAnsi="Arial Narrow"/>
          <w:b/>
          <w:bCs/>
          <w:spacing w:val="-2"/>
          <w:sz w:val="26"/>
          <w:szCs w:val="26"/>
        </w:rPr>
      </w:pPr>
      <w:r w:rsidRPr="00270AF1">
        <w:rPr>
          <w:rFonts w:ascii="Arial Narrow" w:hAnsi="Arial Narrow"/>
          <w:noProof/>
          <w:sz w:val="24"/>
          <w:szCs w:val="28"/>
          <w:lang w:eastAsia="lv-LV"/>
        </w:rPr>
        <w:drawing>
          <wp:inline distT="0" distB="0" distL="0" distR="0">
            <wp:extent cx="2880000" cy="2160000"/>
            <wp:effectExtent l="0" t="0" r="0" b="0"/>
            <wp:docPr id="11"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270AF1">
        <w:rPr>
          <w:rFonts w:ascii="Arial Narrow" w:hAnsi="Arial Narrow"/>
          <w:noProof/>
          <w:sz w:val="24"/>
          <w:szCs w:val="28"/>
          <w:lang w:eastAsia="lv-LV"/>
        </w:rPr>
        <w:drawing>
          <wp:inline distT="0" distB="0" distL="0" distR="0">
            <wp:extent cx="2880000" cy="2160000"/>
            <wp:effectExtent l="0" t="0" r="0" b="0"/>
            <wp:docPr id="12"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42476" w:rsidRPr="009E545C" w:rsidRDefault="00D42476" w:rsidP="00D42476">
      <w:pPr>
        <w:pStyle w:val="9pirmstab3"/>
        <w:tabs>
          <w:tab w:val="clear" w:pos="3259"/>
          <w:tab w:val="clear" w:pos="4200"/>
          <w:tab w:val="clear" w:pos="5141"/>
          <w:tab w:val="clear" w:pos="6082"/>
          <w:tab w:val="clear" w:pos="7022"/>
          <w:tab w:val="clear" w:pos="7963"/>
          <w:tab w:val="clear" w:pos="8870"/>
          <w:tab w:val="clear" w:pos="9794"/>
          <w:tab w:val="clear" w:pos="10718"/>
          <w:tab w:val="clear" w:pos="11659"/>
          <w:tab w:val="clear" w:pos="13171"/>
          <w:tab w:val="left" w:pos="3237"/>
        </w:tabs>
        <w:suppressAutoHyphens/>
        <w:spacing w:after="240"/>
        <w:jc w:val="left"/>
        <w:rPr>
          <w:rFonts w:ascii="Arial Narrow" w:hAnsi="Arial Narrow"/>
          <w:b/>
          <w:bCs/>
          <w:spacing w:val="-2"/>
          <w:sz w:val="26"/>
          <w:szCs w:val="26"/>
        </w:rPr>
      </w:pPr>
      <w:r w:rsidRPr="00270AF1">
        <w:rPr>
          <w:rFonts w:ascii="Arial Narrow" w:hAnsi="Arial Narrow"/>
          <w:noProof/>
          <w:sz w:val="24"/>
          <w:szCs w:val="28"/>
          <w:lang w:eastAsia="lv-LV"/>
        </w:rPr>
        <w:drawing>
          <wp:inline distT="0" distB="0" distL="0" distR="0">
            <wp:extent cx="6106602" cy="938254"/>
            <wp:effectExtent l="0" t="0" r="0" b="0"/>
            <wp:docPr id="13"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42476" w:rsidRPr="002057A7" w:rsidRDefault="00D42476" w:rsidP="00D42476">
      <w:pPr>
        <w:spacing w:after="240"/>
        <w:rPr>
          <w:i/>
          <w:szCs w:val="26"/>
        </w:rPr>
      </w:pPr>
      <w:r w:rsidRPr="002057A7">
        <w:rPr>
          <w:i/>
          <w:szCs w:val="26"/>
        </w:rPr>
        <w:t>Avots: EM informatīvais ziņojums, 38.lpp.</w:t>
      </w:r>
    </w:p>
    <w:p w:rsidR="00D42476" w:rsidRDefault="00D42476" w:rsidP="000C7B95">
      <w:pPr>
        <w:ind w:firstLine="567"/>
        <w:rPr>
          <w:szCs w:val="26"/>
        </w:rPr>
      </w:pPr>
      <w:r>
        <w:rPr>
          <w:szCs w:val="26"/>
        </w:rPr>
        <w:t>Kaut arī pēdējos gados izglītības piedāvājumā vērojamas pozitīvas tendences, tomēr, saglabājoties esošai speciālistu sagatavošanas intensitātei, joprojām pastāv risks, ka arī turpmāk vidējā termiņā un ilgtermiņā saglabāsies neatbilstības darba tirgū.</w:t>
      </w:r>
    </w:p>
    <w:p w:rsidR="00D42476" w:rsidRPr="00A836BF" w:rsidRDefault="00D42476" w:rsidP="000C7B95">
      <w:pPr>
        <w:pStyle w:val="Default"/>
        <w:ind w:firstLine="720"/>
        <w:jc w:val="both"/>
        <w:rPr>
          <w:b/>
          <w:bCs/>
        </w:rPr>
      </w:pPr>
      <w:r w:rsidRPr="00A836BF">
        <w:rPr>
          <w:bCs/>
        </w:rPr>
        <w:t xml:space="preserve">EM </w:t>
      </w:r>
      <w:r>
        <w:rPr>
          <w:bCs/>
        </w:rPr>
        <w:t>informatīvajā</w:t>
      </w:r>
      <w:r w:rsidRPr="00A836BF">
        <w:rPr>
          <w:bCs/>
        </w:rPr>
        <w:t xml:space="preserve"> ziņojumā </w:t>
      </w:r>
      <w:r w:rsidRPr="00A836BF">
        <w:t>ir norādīts, lai efektīvāk novērstu nākotnē sagaidāmās neatbilstības darba tirgū, ir nepieciešams pievērst pastiprinātu uzmanību sekojošās jomās (</w:t>
      </w:r>
      <w:r w:rsidRPr="00A836BF">
        <w:rPr>
          <w:b/>
          <w:bCs/>
        </w:rPr>
        <w:t>pasākumi augstākajā izglītībā):</w:t>
      </w:r>
    </w:p>
    <w:p w:rsidR="00D42476" w:rsidRPr="00A836BF" w:rsidRDefault="00D42476" w:rsidP="000C7B95">
      <w:pPr>
        <w:pStyle w:val="Default"/>
        <w:numPr>
          <w:ilvl w:val="0"/>
          <w:numId w:val="33"/>
        </w:numPr>
        <w:jc w:val="both"/>
        <w:rPr>
          <w:color w:val="auto"/>
        </w:rPr>
      </w:pPr>
      <w:r w:rsidRPr="00A836BF">
        <w:t xml:space="preserve">jāmazina studentu atbirums inženierzinātņu un dabas zinātņu programmās, piemēram, </w:t>
      </w:r>
      <w:r w:rsidRPr="00A836BF">
        <w:rPr>
          <w:color w:val="auto"/>
        </w:rPr>
        <w:t xml:space="preserve">ieviešot valsts finansētu </w:t>
      </w:r>
      <w:proofErr w:type="spellStart"/>
      <w:r w:rsidRPr="00A836BF">
        <w:rPr>
          <w:color w:val="auto"/>
        </w:rPr>
        <w:t>pirmsstudiju</w:t>
      </w:r>
      <w:proofErr w:type="spellEnd"/>
      <w:r w:rsidRPr="00A836BF">
        <w:rPr>
          <w:color w:val="auto"/>
        </w:rPr>
        <w:t xml:space="preserve"> kursu; </w:t>
      </w:r>
    </w:p>
    <w:p w:rsidR="00D42476" w:rsidRPr="00A836BF" w:rsidRDefault="00D42476" w:rsidP="000C7B95">
      <w:pPr>
        <w:pStyle w:val="Default"/>
        <w:numPr>
          <w:ilvl w:val="0"/>
          <w:numId w:val="33"/>
        </w:numPr>
        <w:jc w:val="both"/>
        <w:rPr>
          <w:color w:val="auto"/>
        </w:rPr>
      </w:pPr>
      <w:r w:rsidRPr="00A836BF">
        <w:rPr>
          <w:color w:val="auto"/>
        </w:rPr>
        <w:t xml:space="preserve">jāturpina palielināt budžeta studiju vietu skaits inženierzinātnēs, informācijas un komunikācijas tehnoloģijās, farmācijā un lauksaimniecībā; </w:t>
      </w:r>
    </w:p>
    <w:p w:rsidR="00D42476" w:rsidRPr="00A836BF" w:rsidRDefault="00D42476" w:rsidP="00722156">
      <w:pPr>
        <w:pStyle w:val="Default"/>
        <w:numPr>
          <w:ilvl w:val="0"/>
          <w:numId w:val="33"/>
        </w:numPr>
        <w:jc w:val="both"/>
        <w:rPr>
          <w:color w:val="auto"/>
        </w:rPr>
      </w:pPr>
      <w:r w:rsidRPr="00A836BF">
        <w:rPr>
          <w:color w:val="auto"/>
        </w:rPr>
        <w:t xml:space="preserve">jāattīsta starpdisciplināras programmas; </w:t>
      </w:r>
    </w:p>
    <w:p w:rsidR="00D42476" w:rsidRPr="00A836BF" w:rsidRDefault="00D42476" w:rsidP="00722156">
      <w:pPr>
        <w:pStyle w:val="Default"/>
        <w:numPr>
          <w:ilvl w:val="0"/>
          <w:numId w:val="33"/>
        </w:numPr>
        <w:jc w:val="both"/>
        <w:rPr>
          <w:b/>
          <w:color w:val="auto"/>
        </w:rPr>
      </w:pPr>
      <w:r w:rsidRPr="00A836BF">
        <w:rPr>
          <w:b/>
          <w:color w:val="auto"/>
        </w:rPr>
        <w:t xml:space="preserve">jāpaplašina profesionālās augstākās izglītības 1.līmeņa (koledžu) piedāvājums – īpaši STEM virzienos; </w:t>
      </w:r>
    </w:p>
    <w:p w:rsidR="00D42476" w:rsidRPr="00A836BF" w:rsidRDefault="00D42476" w:rsidP="00722156">
      <w:pPr>
        <w:pStyle w:val="Default"/>
        <w:numPr>
          <w:ilvl w:val="0"/>
          <w:numId w:val="33"/>
        </w:numPr>
        <w:jc w:val="both"/>
        <w:rPr>
          <w:color w:val="auto"/>
        </w:rPr>
      </w:pPr>
      <w:r w:rsidRPr="00A836BF">
        <w:rPr>
          <w:b/>
          <w:color w:val="auto"/>
        </w:rPr>
        <w:t>jāuzlabo augstskolu nodrošinājums ar mūsdienīgām iekārtām, aprīkojumu un tehnoloģijām tādos prioritāros studiju virzienos kā dabas zinātnes, matemātika un informācijas tehnoloģijas, inženierzinātnes, ražošana un būvniecība</w:t>
      </w:r>
      <w:r w:rsidRPr="00A836BF">
        <w:rPr>
          <w:color w:val="auto"/>
        </w:rPr>
        <w:t xml:space="preserve">; </w:t>
      </w:r>
    </w:p>
    <w:p w:rsidR="00D42476" w:rsidRPr="00A836BF" w:rsidRDefault="00D42476" w:rsidP="00722156">
      <w:pPr>
        <w:pStyle w:val="Default"/>
        <w:numPr>
          <w:ilvl w:val="0"/>
          <w:numId w:val="33"/>
        </w:numPr>
        <w:jc w:val="both"/>
        <w:rPr>
          <w:color w:val="auto"/>
        </w:rPr>
      </w:pPr>
      <w:r w:rsidRPr="00A836BF">
        <w:rPr>
          <w:color w:val="auto"/>
        </w:rPr>
        <w:t>jāpaplašina pieaugušo izglītības piedāvājums augstākās izglītības iestādēs – zināšanu atjaunošana un padziļināšanā iegūtā specialitātē, pārkvalifikācijas iespējas cilvēkiem ar augstāko izglītību</w:t>
      </w:r>
      <w:r>
        <w:rPr>
          <w:color w:val="auto"/>
        </w:rPr>
        <w:t>.</w:t>
      </w:r>
    </w:p>
    <w:p w:rsidR="00D42476" w:rsidRDefault="00D42476" w:rsidP="00D42476">
      <w:pPr>
        <w:pStyle w:val="EnvelopeReturn"/>
        <w:spacing w:before="160" w:after="240"/>
        <w:ind w:left="360"/>
        <w:jc w:val="both"/>
        <w:rPr>
          <w:rFonts w:ascii="Times New Roman" w:eastAsia="Calibri" w:hAnsi="Times New Roman"/>
          <w:sz w:val="24"/>
          <w:szCs w:val="28"/>
          <w:lang w:eastAsia="en-US"/>
        </w:rPr>
      </w:pPr>
      <w:r w:rsidRPr="00933825">
        <w:rPr>
          <w:rFonts w:ascii="Times New Roman" w:eastAsia="Calibri" w:hAnsi="Times New Roman"/>
          <w:b/>
          <w:sz w:val="24"/>
          <w:szCs w:val="28"/>
          <w:lang w:eastAsia="en-US"/>
        </w:rPr>
        <w:t>Pasākumi profesionālajā izglītībā</w:t>
      </w:r>
      <w:r>
        <w:rPr>
          <w:rFonts w:ascii="Times New Roman" w:eastAsia="Calibri" w:hAnsi="Times New Roman"/>
          <w:sz w:val="24"/>
          <w:szCs w:val="28"/>
          <w:lang w:eastAsia="en-US"/>
        </w:rPr>
        <w:t>:</w:t>
      </w:r>
    </w:p>
    <w:p w:rsidR="00D42476" w:rsidRPr="006D591A" w:rsidRDefault="00D42476" w:rsidP="00722156">
      <w:pPr>
        <w:pStyle w:val="EnvelopeReturn"/>
        <w:numPr>
          <w:ilvl w:val="0"/>
          <w:numId w:val="34"/>
        </w:numPr>
        <w:jc w:val="both"/>
        <w:rPr>
          <w:rFonts w:ascii="Times New Roman" w:eastAsia="Calibri" w:hAnsi="Times New Roman"/>
          <w:sz w:val="24"/>
          <w:szCs w:val="28"/>
          <w:lang w:eastAsia="en-US"/>
        </w:rPr>
      </w:pPr>
      <w:r w:rsidRPr="006D591A">
        <w:rPr>
          <w:rFonts w:ascii="Times New Roman" w:eastAsia="Calibri" w:hAnsi="Times New Roman"/>
          <w:sz w:val="24"/>
          <w:szCs w:val="28"/>
          <w:lang w:eastAsia="en-US"/>
        </w:rPr>
        <w:t>jāturpina paaugstināt profesionālās izglītības pievilcību un kvalitāti, nodrošinot tās atbilstību darba tirgus prasībām;</w:t>
      </w:r>
    </w:p>
    <w:p w:rsidR="00D42476" w:rsidRPr="006D591A" w:rsidRDefault="00D42476" w:rsidP="00722156">
      <w:pPr>
        <w:pStyle w:val="EnvelopeReturn"/>
        <w:numPr>
          <w:ilvl w:val="0"/>
          <w:numId w:val="34"/>
        </w:numPr>
        <w:jc w:val="both"/>
        <w:rPr>
          <w:rFonts w:ascii="Times New Roman" w:eastAsia="Calibri" w:hAnsi="Times New Roman"/>
          <w:sz w:val="24"/>
          <w:szCs w:val="28"/>
          <w:lang w:eastAsia="en-US"/>
        </w:rPr>
      </w:pPr>
      <w:r w:rsidRPr="006D591A">
        <w:rPr>
          <w:rFonts w:ascii="Times New Roman" w:eastAsia="Calibri" w:hAnsi="Times New Roman"/>
          <w:sz w:val="24"/>
          <w:szCs w:val="28"/>
          <w:lang w:eastAsia="en-US"/>
        </w:rPr>
        <w:lastRenderedPageBreak/>
        <w:t>pakāpeniski jāievieš darba vidē balstītas mācības kā profesionālās izglītības programmas īstenošanas veids, vienlaikus pilnveidojot arī prakšu vadītāju izglītības iestādē un uzņēmumā profesionālo kompetenci;</w:t>
      </w:r>
    </w:p>
    <w:p w:rsidR="00D42476" w:rsidRPr="006D591A" w:rsidRDefault="00D42476" w:rsidP="00722156">
      <w:pPr>
        <w:pStyle w:val="EnvelopeReturn"/>
        <w:numPr>
          <w:ilvl w:val="0"/>
          <w:numId w:val="34"/>
        </w:numPr>
        <w:jc w:val="both"/>
        <w:rPr>
          <w:rFonts w:ascii="Times New Roman" w:eastAsia="Calibri" w:hAnsi="Times New Roman"/>
          <w:sz w:val="24"/>
          <w:szCs w:val="28"/>
          <w:lang w:eastAsia="en-US"/>
        </w:rPr>
      </w:pPr>
      <w:r w:rsidRPr="006D591A">
        <w:rPr>
          <w:rFonts w:ascii="Times New Roman" w:eastAsia="Calibri" w:hAnsi="Times New Roman"/>
          <w:sz w:val="24"/>
          <w:szCs w:val="28"/>
          <w:lang w:eastAsia="en-US"/>
        </w:rPr>
        <w:t>stiprināt eksakto un dabaszinātņu apguvi profesionālajā izglītībā, t.sk. palielināt eksakto un dabas zinību priekšmetu īpatsvaru tehnisko virzienu profesionālās vidējās izglītības programmu vispārizglītojošajā saturā;</w:t>
      </w:r>
    </w:p>
    <w:p w:rsidR="00D42476" w:rsidRPr="006D591A" w:rsidRDefault="00D42476" w:rsidP="00722156">
      <w:pPr>
        <w:pStyle w:val="EnvelopeReturn"/>
        <w:numPr>
          <w:ilvl w:val="0"/>
          <w:numId w:val="34"/>
        </w:numPr>
        <w:jc w:val="both"/>
        <w:rPr>
          <w:rFonts w:ascii="Times New Roman" w:eastAsia="Calibri" w:hAnsi="Times New Roman"/>
          <w:sz w:val="24"/>
          <w:szCs w:val="28"/>
          <w:lang w:eastAsia="en-US"/>
        </w:rPr>
      </w:pPr>
      <w:r w:rsidRPr="006D591A">
        <w:rPr>
          <w:rFonts w:ascii="Times New Roman" w:eastAsia="Calibri" w:hAnsi="Times New Roman"/>
          <w:sz w:val="24"/>
          <w:szCs w:val="28"/>
          <w:lang w:eastAsia="en-US"/>
        </w:rPr>
        <w:t xml:space="preserve">jāpaaugstina profesionālās vidējās izglītības programmu absolventu sociālā, komunikācijas un uzņēmējdarbības kompetence; </w:t>
      </w:r>
    </w:p>
    <w:p w:rsidR="00D42476" w:rsidRPr="006D591A" w:rsidRDefault="00D42476" w:rsidP="00722156">
      <w:pPr>
        <w:pStyle w:val="EnvelopeReturn"/>
        <w:numPr>
          <w:ilvl w:val="0"/>
          <w:numId w:val="34"/>
        </w:numPr>
        <w:jc w:val="both"/>
        <w:rPr>
          <w:rFonts w:ascii="Times New Roman" w:eastAsia="Calibri" w:hAnsi="Times New Roman"/>
          <w:sz w:val="24"/>
          <w:szCs w:val="28"/>
          <w:lang w:eastAsia="en-US"/>
        </w:rPr>
      </w:pPr>
      <w:r w:rsidRPr="006D591A">
        <w:rPr>
          <w:rFonts w:ascii="Times New Roman" w:eastAsia="Calibri" w:hAnsi="Times New Roman"/>
          <w:sz w:val="24"/>
          <w:szCs w:val="28"/>
          <w:lang w:eastAsia="en-US"/>
        </w:rPr>
        <w:t>jāievieš profesionālajā izglītībā modulārā pieeja, nodrošinot dažādu profesionālo kvalifikāciju ieguves iespējas mūžizglītības  kontekstā;</w:t>
      </w:r>
    </w:p>
    <w:p w:rsidR="00D42476" w:rsidRPr="006D591A" w:rsidRDefault="00D42476" w:rsidP="00722156">
      <w:pPr>
        <w:pStyle w:val="EnvelopeReturn"/>
        <w:numPr>
          <w:ilvl w:val="0"/>
          <w:numId w:val="34"/>
        </w:numPr>
        <w:jc w:val="both"/>
        <w:rPr>
          <w:rFonts w:ascii="Times New Roman" w:eastAsia="Calibri" w:hAnsi="Times New Roman"/>
          <w:sz w:val="24"/>
          <w:szCs w:val="28"/>
          <w:lang w:eastAsia="en-US"/>
        </w:rPr>
      </w:pPr>
      <w:r w:rsidRPr="006D591A">
        <w:rPr>
          <w:rFonts w:ascii="Times New Roman" w:eastAsia="Calibri" w:hAnsi="Times New Roman"/>
          <w:sz w:val="24"/>
          <w:szCs w:val="28"/>
          <w:lang w:eastAsia="en-US"/>
        </w:rPr>
        <w:t>jāpilnveido profesionālo izglītības iestāžu tīklu un jāpalielina kapacitāti;</w:t>
      </w:r>
    </w:p>
    <w:p w:rsidR="00D42476" w:rsidRPr="006D591A" w:rsidRDefault="00D42476" w:rsidP="00722156">
      <w:pPr>
        <w:pStyle w:val="EnvelopeReturn"/>
        <w:numPr>
          <w:ilvl w:val="0"/>
          <w:numId w:val="34"/>
        </w:numPr>
        <w:jc w:val="both"/>
        <w:rPr>
          <w:rFonts w:ascii="Times New Roman" w:eastAsia="Calibri" w:hAnsi="Times New Roman"/>
          <w:sz w:val="24"/>
          <w:szCs w:val="28"/>
          <w:lang w:eastAsia="en-US"/>
        </w:rPr>
      </w:pPr>
      <w:r w:rsidRPr="006D591A">
        <w:rPr>
          <w:rFonts w:ascii="Times New Roman" w:eastAsia="Calibri" w:hAnsi="Times New Roman"/>
          <w:sz w:val="24"/>
          <w:szCs w:val="28"/>
          <w:lang w:eastAsia="en-US"/>
        </w:rPr>
        <w:t>jāveicina darba devēju aktīvāku iesaisti izglītības piedāvājuma veidošanā (prakses vietas, līdzdalība izglītības programmu izstrādē, iesaistīšanās tālākizglītībā, aktīvie darba tirgus politikas pasākumi);</w:t>
      </w:r>
    </w:p>
    <w:p w:rsidR="00D42476" w:rsidRDefault="00D42476" w:rsidP="00722156">
      <w:pPr>
        <w:pStyle w:val="EnvelopeReturn"/>
        <w:numPr>
          <w:ilvl w:val="0"/>
          <w:numId w:val="34"/>
        </w:numPr>
        <w:jc w:val="both"/>
        <w:rPr>
          <w:rFonts w:ascii="Times New Roman" w:eastAsia="Calibri" w:hAnsi="Times New Roman"/>
          <w:sz w:val="24"/>
          <w:szCs w:val="28"/>
          <w:lang w:eastAsia="en-US"/>
        </w:rPr>
      </w:pPr>
      <w:r w:rsidRPr="006D591A">
        <w:rPr>
          <w:rFonts w:ascii="Times New Roman" w:eastAsia="Calibri" w:hAnsi="Times New Roman"/>
          <w:sz w:val="24"/>
          <w:szCs w:val="28"/>
          <w:lang w:eastAsia="en-US"/>
        </w:rPr>
        <w:t>jānovērš šķēršļus, kas kavē profesionālo izglītības iestāžu absolventu tālākās studijas augstākajā izglītībā</w:t>
      </w:r>
      <w:r>
        <w:rPr>
          <w:rFonts w:ascii="Times New Roman" w:eastAsia="Calibri" w:hAnsi="Times New Roman"/>
          <w:sz w:val="24"/>
          <w:szCs w:val="28"/>
          <w:lang w:eastAsia="en-US"/>
        </w:rPr>
        <w:t>.</w:t>
      </w:r>
      <w:r w:rsidRPr="00975805">
        <w:rPr>
          <w:rStyle w:val="FootnoteReference"/>
        </w:rPr>
        <w:t xml:space="preserve"> </w:t>
      </w:r>
      <w:r>
        <w:rPr>
          <w:rStyle w:val="FootnoteReference"/>
        </w:rPr>
        <w:footnoteReference w:id="18"/>
      </w:r>
    </w:p>
    <w:p w:rsidR="00D42476" w:rsidRDefault="00D42476" w:rsidP="00D42476">
      <w:pPr>
        <w:spacing w:after="120"/>
        <w:ind w:firstLine="567"/>
        <w:rPr>
          <w:szCs w:val="26"/>
        </w:rPr>
      </w:pPr>
    </w:p>
    <w:p w:rsidR="00343DEE" w:rsidRDefault="00343DEE" w:rsidP="00D42476">
      <w:pPr>
        <w:spacing w:after="120"/>
        <w:ind w:firstLine="567"/>
        <w:rPr>
          <w:szCs w:val="26"/>
        </w:rPr>
      </w:pPr>
    </w:p>
    <w:p w:rsidR="00D42476" w:rsidRPr="00D42476" w:rsidRDefault="00D42476" w:rsidP="003F34D8">
      <w:pPr>
        <w:pStyle w:val="Heading2"/>
        <w:rPr>
          <w:noProof/>
          <w:lang w:eastAsia="lv-LV"/>
        </w:rPr>
      </w:pPr>
      <w:bookmarkStart w:id="11" w:name="_Toc445290190"/>
      <w:r w:rsidRPr="00D42476">
        <w:rPr>
          <w:noProof/>
          <w:color w:val="365F91" w:themeColor="accent1" w:themeShade="BF"/>
          <w:lang w:eastAsia="lv-LV"/>
        </w:rPr>
        <w:t>1.4.</w:t>
      </w:r>
      <w:r w:rsidRPr="00D42476">
        <w:rPr>
          <w:noProof/>
          <w:lang w:eastAsia="lv-LV"/>
        </w:rPr>
        <w:t xml:space="preserve"> Koledžās studējošo skaits STEM jomā</w:t>
      </w:r>
      <w:bookmarkEnd w:id="11"/>
      <w:r w:rsidRPr="00D42476">
        <w:rPr>
          <w:noProof/>
          <w:lang w:eastAsia="lv-LV"/>
        </w:rPr>
        <w:t xml:space="preserve"> </w:t>
      </w:r>
    </w:p>
    <w:p w:rsidR="00D42476" w:rsidRPr="00D42476" w:rsidRDefault="00D42476" w:rsidP="00722156">
      <w:pPr>
        <w:pStyle w:val="ListParagraph"/>
        <w:numPr>
          <w:ilvl w:val="1"/>
          <w:numId w:val="1"/>
        </w:numPr>
        <w:contextualSpacing/>
        <w:rPr>
          <w:b/>
          <w:noProof/>
          <w:color w:val="548DD4" w:themeColor="text2" w:themeTint="99"/>
          <w:szCs w:val="24"/>
          <w:lang w:eastAsia="lv-LV"/>
        </w:rPr>
      </w:pPr>
    </w:p>
    <w:p w:rsidR="00AE7FDF" w:rsidRPr="00AE7FDF" w:rsidRDefault="00AE7FDF" w:rsidP="00AE7FDF">
      <w:pPr>
        <w:autoSpaceDE w:val="0"/>
        <w:autoSpaceDN w:val="0"/>
        <w:adjustRightInd w:val="0"/>
        <w:ind w:left="714"/>
        <w:rPr>
          <w:rFonts w:eastAsia="Calibri"/>
          <w:b/>
          <w:i/>
          <w:sz w:val="22"/>
          <w:szCs w:val="22"/>
          <w:lang w:eastAsia="lv-LV"/>
        </w:rPr>
      </w:pPr>
      <w:r w:rsidRPr="00AE7FDF">
        <w:rPr>
          <w:rFonts w:eastAsia="Calibri"/>
          <w:b/>
          <w:szCs w:val="28"/>
        </w:rPr>
        <w:t>STEM studiju programmu skaidrojums</w:t>
      </w:r>
    </w:p>
    <w:p w:rsidR="00D42476" w:rsidRPr="00343DEE" w:rsidRDefault="00E16EAD" w:rsidP="00AE7FDF">
      <w:pPr>
        <w:autoSpaceDE w:val="0"/>
        <w:autoSpaceDN w:val="0"/>
        <w:adjustRightInd w:val="0"/>
        <w:ind w:firstLine="720"/>
        <w:rPr>
          <w:szCs w:val="24"/>
        </w:rPr>
      </w:pPr>
      <w:r w:rsidRPr="00343DEE">
        <w:rPr>
          <w:szCs w:val="24"/>
        </w:rPr>
        <w:t xml:space="preserve">8.1.4. SAM ietvaros, </w:t>
      </w:r>
      <w:r w:rsidR="00461564" w:rsidRPr="00343DEE">
        <w:rPr>
          <w:szCs w:val="24"/>
        </w:rPr>
        <w:t xml:space="preserve">analizējot </w:t>
      </w:r>
      <w:r w:rsidRPr="00343DEE">
        <w:rPr>
          <w:szCs w:val="24"/>
        </w:rPr>
        <w:t>STEM</w:t>
      </w:r>
      <w:r w:rsidRPr="00343DEE">
        <w:rPr>
          <w:rStyle w:val="FootnoteReference"/>
          <w:rFonts w:eastAsia="Calibri"/>
          <w:szCs w:val="24"/>
          <w:lang w:eastAsia="lv-LV"/>
        </w:rPr>
        <w:footnoteReference w:id="19"/>
      </w:r>
      <w:r w:rsidRPr="00343DEE">
        <w:rPr>
          <w:rFonts w:eastAsia="Calibri"/>
          <w:szCs w:val="24"/>
          <w:lang w:eastAsia="lv-LV"/>
        </w:rPr>
        <w:t xml:space="preserve"> </w:t>
      </w:r>
      <w:r w:rsidR="00461564" w:rsidRPr="00343DEE">
        <w:rPr>
          <w:rFonts w:eastAsia="Calibri"/>
          <w:szCs w:val="24"/>
          <w:lang w:eastAsia="lv-LV"/>
        </w:rPr>
        <w:t xml:space="preserve">jomas statistiku, par STEM </w:t>
      </w:r>
      <w:r w:rsidRPr="00343DEE">
        <w:rPr>
          <w:rFonts w:eastAsia="Calibri"/>
          <w:szCs w:val="24"/>
          <w:lang w:eastAsia="lv-LV"/>
        </w:rPr>
        <w:t>studiju programm</w:t>
      </w:r>
      <w:r w:rsidR="00461564" w:rsidRPr="00343DEE">
        <w:rPr>
          <w:rFonts w:eastAsia="Calibri"/>
          <w:szCs w:val="24"/>
          <w:lang w:eastAsia="lv-LV"/>
        </w:rPr>
        <w:t>ām tiek uzskatītas</w:t>
      </w:r>
      <w:r w:rsidRPr="00343DEE">
        <w:rPr>
          <w:rFonts w:eastAsia="Calibri"/>
          <w:szCs w:val="24"/>
          <w:lang w:eastAsia="lv-LV"/>
        </w:rPr>
        <w:t xml:space="preserve"> tās</w:t>
      </w:r>
      <w:r w:rsidR="00461564" w:rsidRPr="00343DEE">
        <w:rPr>
          <w:rFonts w:eastAsia="Calibri"/>
          <w:szCs w:val="24"/>
          <w:lang w:eastAsia="lv-LV"/>
        </w:rPr>
        <w:t xml:space="preserve"> studiju programmas</w:t>
      </w:r>
      <w:r w:rsidRPr="00343DEE">
        <w:rPr>
          <w:rFonts w:eastAsia="Calibri"/>
          <w:szCs w:val="24"/>
          <w:lang w:eastAsia="lv-LV"/>
        </w:rPr>
        <w:t>, kuras saskaņā ar Ministru kabineta 02.12.2008. noteikumiem Nr.990 „Noteikumi par Latvijas izglītības klasifikāciju” ietilpst:</w:t>
      </w:r>
    </w:p>
    <w:p w:rsidR="00343DEE" w:rsidRDefault="001350B8">
      <w:pPr>
        <w:pStyle w:val="ListParagraph"/>
        <w:numPr>
          <w:ilvl w:val="0"/>
          <w:numId w:val="47"/>
        </w:numPr>
        <w:autoSpaceDE w:val="0"/>
        <w:autoSpaceDN w:val="0"/>
        <w:adjustRightInd w:val="0"/>
        <w:rPr>
          <w:szCs w:val="24"/>
          <w:lang w:eastAsia="lv-LV"/>
        </w:rPr>
      </w:pPr>
      <w:r w:rsidRPr="00343DEE">
        <w:rPr>
          <w:szCs w:val="24"/>
          <w:lang w:eastAsia="lv-LV"/>
        </w:rPr>
        <w:t xml:space="preserve">izglītības tematiskajā grupā </w:t>
      </w:r>
      <w:r w:rsidR="00E16EAD" w:rsidRPr="00343DEE">
        <w:rPr>
          <w:i/>
          <w:szCs w:val="24"/>
          <w:lang w:eastAsia="lv-LV"/>
        </w:rPr>
        <w:t>Dabaszinātnes, matemātika un informācijas tehnoloģijas</w:t>
      </w:r>
      <w:r w:rsidR="00CD1CA7">
        <w:rPr>
          <w:szCs w:val="24"/>
          <w:lang w:eastAsia="lv-LV"/>
        </w:rPr>
        <w:t xml:space="preserve"> (koda 3.cipars „4”)</w:t>
      </w:r>
      <w:r w:rsidRPr="00CD1CA7">
        <w:rPr>
          <w:szCs w:val="24"/>
          <w:lang w:eastAsia="lv-LV"/>
        </w:rPr>
        <w:t>;</w:t>
      </w:r>
    </w:p>
    <w:p w:rsidR="00343DEE" w:rsidRDefault="00BE0A88">
      <w:pPr>
        <w:pStyle w:val="ListParagraph"/>
        <w:numPr>
          <w:ilvl w:val="0"/>
          <w:numId w:val="47"/>
        </w:numPr>
        <w:autoSpaceDE w:val="0"/>
        <w:autoSpaceDN w:val="0"/>
        <w:adjustRightInd w:val="0"/>
        <w:rPr>
          <w:szCs w:val="24"/>
          <w:lang w:eastAsia="lv-LV"/>
        </w:rPr>
      </w:pPr>
      <w:r w:rsidRPr="00CD1CA7">
        <w:rPr>
          <w:szCs w:val="24"/>
          <w:lang w:eastAsia="lv-LV"/>
        </w:rPr>
        <w:t xml:space="preserve">izglītības tematiskajā grupā </w:t>
      </w:r>
      <w:r w:rsidR="00E16EAD" w:rsidRPr="00E16EAD">
        <w:rPr>
          <w:i/>
          <w:szCs w:val="24"/>
          <w:lang w:eastAsia="lv-LV"/>
        </w:rPr>
        <w:t>Inženierzinātnes, ražošana un būvniecība</w:t>
      </w:r>
      <w:r w:rsidR="00CD1CA7">
        <w:rPr>
          <w:szCs w:val="24"/>
          <w:lang w:eastAsia="lv-LV"/>
        </w:rPr>
        <w:t xml:space="preserve"> (koda 3.cipars „5”)</w:t>
      </w:r>
      <w:r w:rsidR="001350B8" w:rsidRPr="00CD1CA7">
        <w:rPr>
          <w:szCs w:val="24"/>
          <w:lang w:eastAsia="lv-LV"/>
        </w:rPr>
        <w:t>;</w:t>
      </w:r>
    </w:p>
    <w:p w:rsidR="00E329EC" w:rsidRDefault="00E329EC">
      <w:pPr>
        <w:pStyle w:val="ListParagraph"/>
        <w:numPr>
          <w:ilvl w:val="0"/>
          <w:numId w:val="47"/>
        </w:numPr>
        <w:autoSpaceDE w:val="0"/>
        <w:autoSpaceDN w:val="0"/>
        <w:adjustRightInd w:val="0"/>
        <w:rPr>
          <w:szCs w:val="24"/>
          <w:lang w:eastAsia="lv-LV"/>
        </w:rPr>
      </w:pPr>
      <w:r w:rsidRPr="00CD1CA7">
        <w:rPr>
          <w:szCs w:val="24"/>
          <w:lang w:eastAsia="lv-LV"/>
        </w:rPr>
        <w:t>izglītības tematiskajā grupā</w:t>
      </w:r>
      <w:r>
        <w:rPr>
          <w:szCs w:val="24"/>
          <w:lang w:eastAsia="lv-LV"/>
        </w:rPr>
        <w:t xml:space="preserve"> </w:t>
      </w:r>
      <w:r w:rsidR="008F32F4" w:rsidRPr="008F32F4">
        <w:rPr>
          <w:i/>
          <w:szCs w:val="24"/>
          <w:lang w:eastAsia="lv-LV"/>
        </w:rPr>
        <w:t>Lauksaimniecība</w:t>
      </w:r>
      <w:r>
        <w:rPr>
          <w:szCs w:val="24"/>
          <w:lang w:eastAsia="lv-LV"/>
        </w:rPr>
        <w:t xml:space="preserve"> (koda 3.cipars </w:t>
      </w:r>
      <w:r w:rsidR="008404B0">
        <w:rPr>
          <w:szCs w:val="24"/>
          <w:lang w:eastAsia="lv-LV"/>
        </w:rPr>
        <w:t>„</w:t>
      </w:r>
      <w:r>
        <w:rPr>
          <w:szCs w:val="24"/>
          <w:lang w:eastAsia="lv-LV"/>
        </w:rPr>
        <w:t>6)</w:t>
      </w:r>
      <w:r w:rsidR="008404B0">
        <w:rPr>
          <w:szCs w:val="24"/>
          <w:lang w:eastAsia="lv-LV"/>
        </w:rPr>
        <w:t>”</w:t>
      </w:r>
      <w:r>
        <w:rPr>
          <w:szCs w:val="24"/>
          <w:lang w:eastAsia="lv-LV"/>
        </w:rPr>
        <w:t>;</w:t>
      </w:r>
    </w:p>
    <w:p w:rsidR="00343DEE" w:rsidRDefault="00BE0A88">
      <w:pPr>
        <w:pStyle w:val="ListParagraph"/>
        <w:numPr>
          <w:ilvl w:val="0"/>
          <w:numId w:val="47"/>
        </w:numPr>
        <w:autoSpaceDE w:val="0"/>
        <w:autoSpaceDN w:val="0"/>
        <w:adjustRightInd w:val="0"/>
        <w:rPr>
          <w:szCs w:val="24"/>
          <w:lang w:eastAsia="lv-LV"/>
        </w:rPr>
      </w:pPr>
      <w:r w:rsidRPr="00CD1CA7">
        <w:rPr>
          <w:szCs w:val="24"/>
          <w:lang w:eastAsia="lv-LV"/>
        </w:rPr>
        <w:t xml:space="preserve">izglītības tematiskajā jomā </w:t>
      </w:r>
      <w:r w:rsidR="001350B8" w:rsidRPr="00CD1CA7">
        <w:rPr>
          <w:i/>
          <w:szCs w:val="24"/>
          <w:lang w:eastAsia="lv-LV"/>
        </w:rPr>
        <w:t>Veselības aprūpe</w:t>
      </w:r>
      <w:r w:rsidR="00CD1CA7">
        <w:rPr>
          <w:szCs w:val="24"/>
          <w:lang w:eastAsia="lv-LV"/>
        </w:rPr>
        <w:t xml:space="preserve"> (koda 3. un 4.cipars „72”)</w:t>
      </w:r>
      <w:r w:rsidR="001350B8" w:rsidRPr="00CD1CA7">
        <w:rPr>
          <w:szCs w:val="24"/>
          <w:lang w:eastAsia="lv-LV"/>
        </w:rPr>
        <w:t>, izņemot kosmetoloģiju;</w:t>
      </w:r>
    </w:p>
    <w:p w:rsidR="00343DEE" w:rsidRDefault="001350B8">
      <w:pPr>
        <w:pStyle w:val="ListParagraph"/>
        <w:numPr>
          <w:ilvl w:val="0"/>
          <w:numId w:val="47"/>
        </w:numPr>
        <w:autoSpaceDE w:val="0"/>
        <w:autoSpaceDN w:val="0"/>
        <w:adjustRightInd w:val="0"/>
        <w:rPr>
          <w:szCs w:val="24"/>
          <w:lang w:eastAsia="lv-LV"/>
        </w:rPr>
      </w:pPr>
      <w:r w:rsidRPr="00CD1CA7">
        <w:rPr>
          <w:szCs w:val="24"/>
          <w:lang w:eastAsia="lv-LV"/>
        </w:rPr>
        <w:t xml:space="preserve">izglītības tematiskajā jomā </w:t>
      </w:r>
      <w:r w:rsidRPr="00CD1CA7">
        <w:rPr>
          <w:i/>
          <w:szCs w:val="24"/>
          <w:lang w:eastAsia="lv-LV"/>
        </w:rPr>
        <w:t>Mākslas</w:t>
      </w:r>
      <w:r w:rsidR="00BB4197" w:rsidRPr="00CD1CA7">
        <w:rPr>
          <w:rStyle w:val="FootnoteReference"/>
          <w:szCs w:val="24"/>
          <w:lang w:eastAsia="lv-LV"/>
        </w:rPr>
        <w:footnoteReference w:id="20"/>
      </w:r>
      <w:r w:rsidR="00CD1CA7">
        <w:rPr>
          <w:i/>
          <w:szCs w:val="24"/>
          <w:lang w:eastAsia="lv-LV"/>
        </w:rPr>
        <w:t xml:space="preserve"> </w:t>
      </w:r>
      <w:r w:rsidR="00CD1CA7">
        <w:rPr>
          <w:szCs w:val="24"/>
          <w:lang w:eastAsia="lv-LV"/>
        </w:rPr>
        <w:t>(koda 3. un 4.cipars „21”)</w:t>
      </w:r>
      <w:r w:rsidRPr="00CD1CA7">
        <w:rPr>
          <w:szCs w:val="24"/>
          <w:lang w:eastAsia="lv-LV"/>
        </w:rPr>
        <w:t>;</w:t>
      </w:r>
    </w:p>
    <w:p w:rsidR="00E329EC" w:rsidRDefault="001350B8">
      <w:pPr>
        <w:pStyle w:val="ListParagraph"/>
        <w:numPr>
          <w:ilvl w:val="0"/>
          <w:numId w:val="47"/>
        </w:numPr>
        <w:autoSpaceDE w:val="0"/>
        <w:autoSpaceDN w:val="0"/>
        <w:adjustRightInd w:val="0"/>
        <w:rPr>
          <w:szCs w:val="24"/>
          <w:lang w:eastAsia="lv-LV"/>
        </w:rPr>
      </w:pPr>
      <w:r w:rsidRPr="00CD1CA7">
        <w:rPr>
          <w:szCs w:val="24"/>
        </w:rPr>
        <w:t xml:space="preserve">izglītības tematiskajā jomā </w:t>
      </w:r>
      <w:r w:rsidRPr="00CD1CA7">
        <w:rPr>
          <w:i/>
          <w:szCs w:val="24"/>
        </w:rPr>
        <w:t>Vides aizsardzība</w:t>
      </w:r>
      <w:r w:rsidR="00CD1CA7">
        <w:rPr>
          <w:i/>
          <w:szCs w:val="24"/>
        </w:rPr>
        <w:t xml:space="preserve"> </w:t>
      </w:r>
      <w:r w:rsidR="00CD1CA7">
        <w:rPr>
          <w:szCs w:val="24"/>
          <w:lang w:eastAsia="lv-LV"/>
        </w:rPr>
        <w:t>(koda 3. un 4.cipars „85”)</w:t>
      </w:r>
      <w:r w:rsidR="00E329EC">
        <w:rPr>
          <w:szCs w:val="24"/>
        </w:rPr>
        <w:t>;</w:t>
      </w:r>
    </w:p>
    <w:p w:rsidR="008F32F4" w:rsidRDefault="008F32F4" w:rsidP="008F32F4">
      <w:pPr>
        <w:pStyle w:val="ListParagraph"/>
        <w:autoSpaceDE w:val="0"/>
        <w:autoSpaceDN w:val="0"/>
        <w:adjustRightInd w:val="0"/>
        <w:rPr>
          <w:szCs w:val="24"/>
          <w:lang w:eastAsia="lv-LV"/>
        </w:rPr>
      </w:pPr>
    </w:p>
    <w:p w:rsidR="00E85785" w:rsidRDefault="00D42476" w:rsidP="00722156">
      <w:pPr>
        <w:pStyle w:val="NormalWeb"/>
        <w:numPr>
          <w:ilvl w:val="3"/>
          <w:numId w:val="1"/>
        </w:numPr>
        <w:tabs>
          <w:tab w:val="clear" w:pos="0"/>
          <w:tab w:val="num" w:pos="709"/>
        </w:tabs>
        <w:spacing w:after="0" w:afterAutospacing="0"/>
        <w:jc w:val="both"/>
      </w:pPr>
      <w:r>
        <w:t xml:space="preserve">Kopumā koledžās </w:t>
      </w:r>
      <w:r w:rsidR="00DF2785">
        <w:t>2015</w:t>
      </w:r>
      <w:r>
        <w:t>./</w:t>
      </w:r>
      <w:r w:rsidR="00DF2785">
        <w:t>2016</w:t>
      </w:r>
      <w:r>
        <w:t>.ak.gad</w:t>
      </w:r>
      <w:r w:rsidR="007735E6">
        <w:t>a sākumā</w:t>
      </w:r>
      <w:r>
        <w:t xml:space="preserve"> STEM studiju programmas apguva </w:t>
      </w:r>
      <w:r w:rsidR="0069351A">
        <w:t>4716</w:t>
      </w:r>
      <w:r w:rsidR="0069351A" w:rsidRPr="000D49C2">
        <w:t xml:space="preserve"> </w:t>
      </w:r>
      <w:r w:rsidRPr="002C2068">
        <w:t>studenti, kas veidoja</w:t>
      </w:r>
      <w:r>
        <w:t xml:space="preserve"> </w:t>
      </w:r>
      <w:r w:rsidR="0069351A" w:rsidRPr="00A86486">
        <w:t>4</w:t>
      </w:r>
      <w:r w:rsidR="008F32F4" w:rsidRPr="008F32F4">
        <w:t>4</w:t>
      </w:r>
      <w:r w:rsidR="0069351A" w:rsidRPr="00A51EBC">
        <w:t xml:space="preserve"> </w:t>
      </w:r>
      <w:r w:rsidRPr="00A51EBC">
        <w:t>%</w:t>
      </w:r>
      <w:r>
        <w:t xml:space="preserve"> no kopējā koledžās studējošo skaita. </w:t>
      </w:r>
      <w:r w:rsidR="00DF2785">
        <w:t xml:space="preserve">Lielākais minētās grupas studējošo skaits ir izglītības tematiskajā jomā </w:t>
      </w:r>
      <w:r w:rsidR="00BE0A88" w:rsidRPr="00BE0A88">
        <w:rPr>
          <w:i/>
        </w:rPr>
        <w:t>Veselības aprūpe</w:t>
      </w:r>
      <w:r w:rsidR="00DF2785" w:rsidRPr="00BE0A88">
        <w:rPr>
          <w:i/>
        </w:rPr>
        <w:t xml:space="preserve"> </w:t>
      </w:r>
      <w:r w:rsidR="00DF2785">
        <w:t>(2380 studenti)</w:t>
      </w:r>
      <w:r w:rsidR="00E25E62">
        <w:t>.</w:t>
      </w:r>
      <w:r w:rsidR="00E85785">
        <w:br w:type="page"/>
      </w:r>
    </w:p>
    <w:p w:rsidR="000C7B95" w:rsidRDefault="00E25E62" w:rsidP="000C7B95">
      <w:pPr>
        <w:pStyle w:val="NormalWeb"/>
        <w:spacing w:before="0" w:beforeAutospacing="0" w:after="0" w:afterAutospacing="0"/>
        <w:jc w:val="right"/>
      </w:pPr>
      <w:r w:rsidRPr="004C085F">
        <w:rPr>
          <w:szCs w:val="26"/>
        </w:rPr>
        <w:lastRenderedPageBreak/>
        <w:t>1.</w:t>
      </w:r>
      <w:r w:rsidR="000C7B95">
        <w:rPr>
          <w:szCs w:val="26"/>
        </w:rPr>
        <w:t>9</w:t>
      </w:r>
      <w:r w:rsidRPr="004C085F">
        <w:rPr>
          <w:szCs w:val="26"/>
        </w:rPr>
        <w:t>.</w:t>
      </w:r>
      <w:r w:rsidR="004A0582">
        <w:t>attēls</w:t>
      </w:r>
    </w:p>
    <w:p w:rsidR="00DE066B" w:rsidRDefault="00DF2785" w:rsidP="00DE066B">
      <w:pPr>
        <w:pStyle w:val="NormalWeb"/>
        <w:spacing w:before="0" w:beforeAutospacing="0" w:after="0" w:afterAutospacing="0"/>
        <w:jc w:val="center"/>
        <w:rPr>
          <w:b/>
        </w:rPr>
      </w:pPr>
      <w:r w:rsidRPr="00513772">
        <w:rPr>
          <w:b/>
        </w:rPr>
        <w:t>Koledžās studējošo skaits STEM</w:t>
      </w:r>
      <w:r w:rsidR="00995E5A">
        <w:rPr>
          <w:b/>
        </w:rPr>
        <w:t xml:space="preserve"> </w:t>
      </w:r>
      <w:r w:rsidRPr="00513772">
        <w:rPr>
          <w:b/>
        </w:rPr>
        <w:t>jomā</w:t>
      </w:r>
    </w:p>
    <w:p w:rsidR="00820F72" w:rsidRPr="00513772" w:rsidRDefault="00513772" w:rsidP="00DE066B">
      <w:pPr>
        <w:pStyle w:val="NormalWeb"/>
        <w:spacing w:before="0" w:beforeAutospacing="0" w:after="0" w:afterAutospacing="0"/>
        <w:jc w:val="center"/>
        <w:rPr>
          <w:b/>
        </w:rPr>
      </w:pPr>
      <w:r w:rsidRPr="00513772">
        <w:rPr>
          <w:b/>
        </w:rPr>
        <w:t xml:space="preserve">sadalījumā pa izglītības tematiskajām grupām un jomām </w:t>
      </w:r>
      <w:r w:rsidR="00DF2785" w:rsidRPr="00513772">
        <w:rPr>
          <w:b/>
        </w:rPr>
        <w:t>2015./2016.ak.gadā</w:t>
      </w:r>
    </w:p>
    <w:p w:rsidR="00DF2785" w:rsidRDefault="00DF2785" w:rsidP="00722156">
      <w:pPr>
        <w:pStyle w:val="NormalWeb"/>
        <w:numPr>
          <w:ilvl w:val="2"/>
          <w:numId w:val="1"/>
        </w:numPr>
        <w:spacing w:after="0" w:afterAutospacing="0"/>
        <w:jc w:val="both"/>
      </w:pPr>
    </w:p>
    <w:p w:rsidR="00000000" w:rsidRDefault="006917B8">
      <w:pPr>
        <w:pStyle w:val="NormalWeb"/>
        <w:spacing w:before="0" w:beforeAutospacing="0" w:after="0" w:afterAutospacing="0"/>
        <w:jc w:val="right"/>
        <w:rPr>
          <w:i/>
        </w:rPr>
      </w:pPr>
      <w:r>
        <w:rPr>
          <w:noProof/>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00000" w:rsidRDefault="006917B8">
      <w:pPr>
        <w:pStyle w:val="NormalWeb"/>
        <w:spacing w:before="0" w:beforeAutospacing="0" w:after="0" w:afterAutospacing="0"/>
        <w:jc w:val="right"/>
        <w:rPr>
          <w:i/>
        </w:rPr>
      </w:pPr>
    </w:p>
    <w:p w:rsidR="00000000" w:rsidRDefault="006917B8">
      <w:pPr>
        <w:pStyle w:val="NormalWeb"/>
        <w:spacing w:before="0" w:beforeAutospacing="0" w:after="0" w:afterAutospacing="0"/>
        <w:jc w:val="right"/>
        <w:rPr>
          <w:i/>
        </w:rPr>
      </w:pPr>
    </w:p>
    <w:p w:rsidR="009522A4" w:rsidRPr="008807FF" w:rsidRDefault="009522A4" w:rsidP="00722156">
      <w:pPr>
        <w:pStyle w:val="ListParagraph"/>
        <w:numPr>
          <w:ilvl w:val="0"/>
          <w:numId w:val="1"/>
        </w:numPr>
        <w:contextualSpacing/>
        <w:rPr>
          <w:i/>
          <w:sz w:val="22"/>
          <w:szCs w:val="22"/>
        </w:rPr>
      </w:pPr>
      <w:r w:rsidRPr="008807FF">
        <w:rPr>
          <w:i/>
          <w:sz w:val="22"/>
          <w:szCs w:val="22"/>
        </w:rPr>
        <w:t xml:space="preserve">Avots: IZM dati, Pārskats par </w:t>
      </w:r>
      <w:r w:rsidRPr="008807FF">
        <w:rPr>
          <w:rFonts w:eastAsia="Calibri"/>
          <w:bCs/>
          <w:i/>
          <w:color w:val="000000"/>
          <w:sz w:val="22"/>
          <w:szCs w:val="22"/>
          <w:lang w:eastAsia="lv-LV"/>
        </w:rPr>
        <w:t>Latvijas augstāko izglītību 201</w:t>
      </w:r>
      <w:r>
        <w:rPr>
          <w:rFonts w:eastAsia="Calibri"/>
          <w:bCs/>
          <w:i/>
          <w:color w:val="000000"/>
          <w:sz w:val="22"/>
          <w:szCs w:val="22"/>
          <w:lang w:eastAsia="lv-LV"/>
        </w:rPr>
        <w:t>5</w:t>
      </w:r>
      <w:r w:rsidRPr="008807FF">
        <w:rPr>
          <w:rFonts w:eastAsia="Calibri"/>
          <w:bCs/>
          <w:i/>
          <w:color w:val="000000"/>
          <w:sz w:val="22"/>
          <w:szCs w:val="22"/>
          <w:lang w:eastAsia="lv-LV"/>
        </w:rPr>
        <w:t>.gads</w:t>
      </w:r>
    </w:p>
    <w:p w:rsidR="004A0582" w:rsidRDefault="004A0582" w:rsidP="00722156">
      <w:pPr>
        <w:pStyle w:val="NormalWeb"/>
        <w:numPr>
          <w:ilvl w:val="0"/>
          <w:numId w:val="1"/>
        </w:numPr>
        <w:spacing w:before="0" w:beforeAutospacing="0" w:after="0" w:afterAutospacing="0"/>
        <w:jc w:val="right"/>
      </w:pPr>
    </w:p>
    <w:p w:rsidR="00343DEE" w:rsidRDefault="00343DEE" w:rsidP="00381D21">
      <w:pPr>
        <w:pStyle w:val="NormalWeb"/>
        <w:spacing w:before="0" w:beforeAutospacing="0" w:after="0" w:afterAutospacing="0"/>
        <w:ind w:firstLine="720"/>
        <w:jc w:val="both"/>
      </w:pPr>
    </w:p>
    <w:p w:rsidR="00E177B1" w:rsidRDefault="004A0582" w:rsidP="00381D21">
      <w:pPr>
        <w:pStyle w:val="NormalWeb"/>
        <w:spacing w:before="0" w:beforeAutospacing="0" w:after="0" w:afterAutospacing="0"/>
        <w:ind w:firstLine="720"/>
        <w:jc w:val="both"/>
      </w:pPr>
      <w:r>
        <w:t>Izvērtējot datus sadalījumā pa koledžām</w:t>
      </w:r>
      <w:r w:rsidR="00164887">
        <w:t xml:space="preserve"> (</w:t>
      </w:r>
      <w:r w:rsidR="00381D21">
        <w:t xml:space="preserve">detalizētāku informāciju </w:t>
      </w:r>
      <w:r w:rsidR="00164887">
        <w:t>skat. novērtējuma 1.pielikum</w:t>
      </w:r>
      <w:r w:rsidR="00381D21">
        <w:t>ā</w:t>
      </w:r>
      <w:r w:rsidR="00164887">
        <w:t>)</w:t>
      </w:r>
      <w:r>
        <w:t xml:space="preserve">, redzams, ka </w:t>
      </w:r>
      <w:r w:rsidR="0076462A" w:rsidRPr="00381D21">
        <w:t>STEM</w:t>
      </w:r>
      <w:r w:rsidR="00381D21">
        <w:t xml:space="preserve"> studiju programmās lielākais studējošo skaits ir medicīnas koledžās, kas atrodas Rīgā </w:t>
      </w:r>
      <w:r w:rsidR="00DE066B">
        <w:t>–</w:t>
      </w:r>
      <w:r w:rsidR="00381D21">
        <w:t xml:space="preserve"> Latvijas Universitātes P.Stradiņa medicīnas koledžā, Latvijas Universitātes Rīgas medicīnas koledžā, Rīgas Stradiņa Universitātes Sarkanā krusta medicīnas koledžā, kā arī Rīgas 1.medicīnas koledžā</w:t>
      </w:r>
      <w:r w:rsidR="001046E9">
        <w:t xml:space="preserve">. No tām koledžām, kas īsteno programmas izglītības tematiskajās grupās </w:t>
      </w:r>
      <w:r w:rsidR="001046E9" w:rsidRPr="001046E9">
        <w:rPr>
          <w:i/>
        </w:rPr>
        <w:t>Inženierzinātnes, ražošana un būvniecība</w:t>
      </w:r>
      <w:r w:rsidR="001046E9">
        <w:t xml:space="preserve">, kā arī </w:t>
      </w:r>
      <w:r w:rsidR="001046E9" w:rsidRPr="001046E9">
        <w:rPr>
          <w:i/>
        </w:rPr>
        <w:t>Dabas zinātnes, matemātika un informācijas tehnoloģijas</w:t>
      </w:r>
      <w:r w:rsidR="001046E9">
        <w:t xml:space="preserve">, lielākais studējošo skaits (vairāk </w:t>
      </w:r>
      <w:r w:rsidR="00C6522D">
        <w:t>ne</w:t>
      </w:r>
      <w:r w:rsidR="001046E9">
        <w:t xml:space="preserve">kā 400 studējošie) ir PIKC </w:t>
      </w:r>
      <w:r w:rsidR="00513772" w:rsidRPr="00164887">
        <w:rPr>
          <w:rFonts w:eastAsia="Calibri"/>
        </w:rPr>
        <w:t>„</w:t>
      </w:r>
      <w:r w:rsidR="001046E9">
        <w:t xml:space="preserve">Rīgas Tehniskā koledža” un Rīgas Celtniecības koledža. Savukārt STEM jomas profesionālās vidējās izglītības programmās lielākais audzēkņu skaits ir PIKC </w:t>
      </w:r>
      <w:r w:rsidR="00513772" w:rsidRPr="00164887">
        <w:rPr>
          <w:rFonts w:eastAsia="Calibri"/>
        </w:rPr>
        <w:t>„</w:t>
      </w:r>
      <w:r w:rsidR="001046E9">
        <w:t>Rīgas Tehniskā koledža” (skat. 1.</w:t>
      </w:r>
      <w:r w:rsidR="000C7B95">
        <w:t>10</w:t>
      </w:r>
      <w:r w:rsidR="001046E9">
        <w:t>.attēlu).</w:t>
      </w:r>
      <w:r w:rsidR="00E177B1">
        <w:br w:type="page"/>
      </w:r>
    </w:p>
    <w:p w:rsidR="00164887" w:rsidRDefault="00164887" w:rsidP="00722156">
      <w:pPr>
        <w:pStyle w:val="NormalWeb"/>
        <w:numPr>
          <w:ilvl w:val="0"/>
          <w:numId w:val="1"/>
        </w:numPr>
        <w:spacing w:after="0" w:afterAutospacing="0"/>
        <w:jc w:val="right"/>
      </w:pPr>
      <w:r w:rsidRPr="004C085F">
        <w:rPr>
          <w:szCs w:val="26"/>
        </w:rPr>
        <w:lastRenderedPageBreak/>
        <w:t>1.</w:t>
      </w:r>
      <w:r w:rsidR="000C7B95">
        <w:rPr>
          <w:szCs w:val="26"/>
        </w:rPr>
        <w:t>10</w:t>
      </w:r>
      <w:r w:rsidRPr="004C085F">
        <w:rPr>
          <w:szCs w:val="26"/>
        </w:rPr>
        <w:t>.</w:t>
      </w:r>
      <w:r>
        <w:t>attēls</w:t>
      </w:r>
    </w:p>
    <w:p w:rsidR="00820F72" w:rsidRDefault="0076462A">
      <w:pPr>
        <w:autoSpaceDE w:val="0"/>
        <w:autoSpaceDN w:val="0"/>
        <w:adjustRightInd w:val="0"/>
        <w:ind w:firstLine="720"/>
        <w:jc w:val="center"/>
        <w:rPr>
          <w:rFonts w:eastAsia="Calibri"/>
          <w:szCs w:val="24"/>
          <w:lang w:eastAsia="lv-LV"/>
        </w:rPr>
      </w:pPr>
      <w:r w:rsidRPr="008C1691">
        <w:rPr>
          <w:rFonts w:eastAsia="Calibri"/>
          <w:b/>
          <w:szCs w:val="24"/>
          <w:lang w:eastAsia="lv-LV"/>
        </w:rPr>
        <w:t xml:space="preserve">STEM </w:t>
      </w:r>
      <w:r w:rsidR="006116FF" w:rsidRPr="008C1691">
        <w:rPr>
          <w:rFonts w:eastAsia="Calibri"/>
          <w:b/>
          <w:szCs w:val="24"/>
          <w:lang w:eastAsia="lv-LV"/>
        </w:rPr>
        <w:t>jomā</w:t>
      </w:r>
      <w:r w:rsidRPr="008C1691">
        <w:rPr>
          <w:rFonts w:eastAsia="Calibri"/>
          <w:b/>
          <w:szCs w:val="24"/>
          <w:lang w:eastAsia="lv-LV"/>
        </w:rPr>
        <w:t xml:space="preserve"> studējošo </w:t>
      </w:r>
      <w:r w:rsidR="00D83638" w:rsidRPr="008C1691">
        <w:rPr>
          <w:rFonts w:eastAsia="Calibri"/>
          <w:b/>
          <w:szCs w:val="24"/>
          <w:lang w:eastAsia="lv-LV"/>
        </w:rPr>
        <w:t xml:space="preserve">un audzēkņu </w:t>
      </w:r>
      <w:r w:rsidRPr="008C1691">
        <w:rPr>
          <w:rFonts w:eastAsia="Calibri"/>
          <w:b/>
          <w:szCs w:val="24"/>
          <w:lang w:eastAsia="lv-LV"/>
        </w:rPr>
        <w:t xml:space="preserve">skaits </w:t>
      </w:r>
      <w:r w:rsidR="006116FF" w:rsidRPr="008C1691">
        <w:rPr>
          <w:rFonts w:eastAsia="Calibri"/>
          <w:b/>
          <w:szCs w:val="24"/>
          <w:lang w:eastAsia="lv-LV"/>
        </w:rPr>
        <w:t xml:space="preserve">koledžās </w:t>
      </w:r>
      <w:r w:rsidRPr="008C1691">
        <w:rPr>
          <w:rFonts w:eastAsia="Calibri"/>
          <w:b/>
          <w:szCs w:val="24"/>
          <w:lang w:eastAsia="lv-LV"/>
        </w:rPr>
        <w:t>2015./2016.ak.gadā</w:t>
      </w:r>
      <w:r w:rsidR="006116FF" w:rsidRPr="008C1691">
        <w:rPr>
          <w:rFonts w:eastAsia="Calibri"/>
          <w:b/>
          <w:szCs w:val="24"/>
          <w:lang w:eastAsia="lv-LV"/>
        </w:rPr>
        <w:t xml:space="preserve"> </w:t>
      </w:r>
    </w:p>
    <w:p w:rsidR="006116FF" w:rsidRDefault="006116FF" w:rsidP="00E30AA3">
      <w:pPr>
        <w:autoSpaceDE w:val="0"/>
        <w:autoSpaceDN w:val="0"/>
        <w:adjustRightInd w:val="0"/>
        <w:rPr>
          <w:rFonts w:eastAsia="Calibri"/>
          <w:szCs w:val="24"/>
          <w:lang w:eastAsia="lv-LV"/>
        </w:rPr>
      </w:pPr>
    </w:p>
    <w:p w:rsidR="00993618" w:rsidRDefault="00993618" w:rsidP="00E071BB">
      <w:pPr>
        <w:autoSpaceDE w:val="0"/>
        <w:autoSpaceDN w:val="0"/>
        <w:adjustRightInd w:val="0"/>
        <w:rPr>
          <w:rFonts w:eastAsia="Calibri"/>
          <w:i/>
          <w:szCs w:val="24"/>
          <w:lang w:eastAsia="lv-LV"/>
        </w:rPr>
      </w:pPr>
    </w:p>
    <w:p w:rsidR="00993618" w:rsidRDefault="006917B8" w:rsidP="00E071BB">
      <w:pPr>
        <w:autoSpaceDE w:val="0"/>
        <w:autoSpaceDN w:val="0"/>
        <w:adjustRightInd w:val="0"/>
        <w:rPr>
          <w:rFonts w:eastAsia="Calibri"/>
          <w:i/>
          <w:szCs w:val="24"/>
          <w:lang w:eastAsia="lv-LV"/>
        </w:rPr>
      </w:pPr>
      <w:r>
        <w:rPr>
          <w:noProof/>
          <w:lang w:eastAsia="lv-LV"/>
        </w:rPr>
        <w:drawing>
          <wp:inline distT="0" distB="0" distL="0" distR="0">
            <wp:extent cx="5724525" cy="465772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93618" w:rsidRDefault="00993618" w:rsidP="00E071BB">
      <w:pPr>
        <w:autoSpaceDE w:val="0"/>
        <w:autoSpaceDN w:val="0"/>
        <w:adjustRightInd w:val="0"/>
        <w:rPr>
          <w:rFonts w:eastAsia="Calibri"/>
          <w:i/>
          <w:szCs w:val="24"/>
          <w:lang w:eastAsia="lv-LV"/>
        </w:rPr>
      </w:pPr>
    </w:p>
    <w:p w:rsidR="00E30AA3" w:rsidRDefault="00E30AA3" w:rsidP="00E071BB">
      <w:pPr>
        <w:autoSpaceDE w:val="0"/>
        <w:autoSpaceDN w:val="0"/>
        <w:adjustRightInd w:val="0"/>
        <w:rPr>
          <w:rFonts w:eastAsia="Calibri"/>
          <w:i/>
          <w:szCs w:val="24"/>
          <w:lang w:eastAsia="lv-LV"/>
        </w:rPr>
      </w:pPr>
      <w:r w:rsidRPr="001350B8">
        <w:rPr>
          <w:rFonts w:eastAsia="Calibri"/>
          <w:i/>
          <w:szCs w:val="24"/>
          <w:lang w:eastAsia="lv-LV"/>
        </w:rPr>
        <w:t>Avots: IZM dati</w:t>
      </w:r>
    </w:p>
    <w:p w:rsidR="008231A8" w:rsidRDefault="008231A8" w:rsidP="00E071BB">
      <w:pPr>
        <w:spacing w:after="120"/>
        <w:ind w:firstLine="720"/>
        <w:rPr>
          <w:rFonts w:eastAsia="Calibri"/>
          <w:bCs/>
          <w:color w:val="000000"/>
          <w:szCs w:val="24"/>
          <w:lang w:eastAsia="lv-LV"/>
        </w:rPr>
      </w:pPr>
    </w:p>
    <w:p w:rsidR="00E177B1" w:rsidRDefault="00D42476" w:rsidP="00E071BB">
      <w:pPr>
        <w:spacing w:after="120"/>
        <w:ind w:firstLine="720"/>
        <w:rPr>
          <w:rFonts w:eastAsia="Calibri"/>
          <w:bCs/>
          <w:color w:val="000000"/>
          <w:szCs w:val="24"/>
          <w:lang w:eastAsia="lv-LV"/>
        </w:rPr>
      </w:pPr>
      <w:r>
        <w:rPr>
          <w:rFonts w:eastAsia="Calibri"/>
          <w:bCs/>
          <w:color w:val="000000"/>
          <w:szCs w:val="24"/>
          <w:lang w:eastAsia="lv-LV"/>
        </w:rPr>
        <w:t>Viens no rādītājiem, kas dod iespēju izvērtēt STEM jomas</w:t>
      </w:r>
      <w:r w:rsidRPr="00ED06CA">
        <w:rPr>
          <w:rFonts w:eastAsia="Calibri"/>
          <w:bCs/>
          <w:color w:val="000000"/>
          <w:szCs w:val="24"/>
          <w:lang w:eastAsia="lv-LV"/>
        </w:rPr>
        <w:t xml:space="preserve"> </w:t>
      </w:r>
      <w:r w:rsidRPr="004E57D5">
        <w:rPr>
          <w:rFonts w:eastAsia="Calibri"/>
          <w:bCs/>
          <w:color w:val="000000"/>
          <w:szCs w:val="24"/>
          <w:lang w:eastAsia="lv-LV"/>
        </w:rPr>
        <w:t xml:space="preserve">attīstības iespējas koledžās, ir šajās jomās </w:t>
      </w:r>
      <w:r w:rsidRPr="000C4653">
        <w:rPr>
          <w:rFonts w:eastAsia="Calibri"/>
          <w:bCs/>
          <w:color w:val="000000"/>
          <w:szCs w:val="24"/>
          <w:lang w:eastAsia="lv-LV"/>
        </w:rPr>
        <w:t>studējošo skaita izmaiņas pēdējo gadu laikā. Kā rāda IZM apkopotie dati</w:t>
      </w:r>
      <w:r w:rsidR="00922312" w:rsidRPr="000C4653">
        <w:rPr>
          <w:rFonts w:eastAsia="Calibri"/>
          <w:bCs/>
          <w:color w:val="000000"/>
          <w:szCs w:val="24"/>
          <w:lang w:eastAsia="lv-LV"/>
        </w:rPr>
        <w:t xml:space="preserve"> </w:t>
      </w:r>
      <w:r w:rsidR="00030D6D" w:rsidRPr="000C4653">
        <w:rPr>
          <w:rFonts w:eastAsia="Calibri"/>
          <w:bCs/>
          <w:color w:val="000000"/>
          <w:szCs w:val="24"/>
          <w:lang w:eastAsia="lv-LV"/>
        </w:rPr>
        <w:t>pēdējo 5 gadu laikā</w:t>
      </w:r>
      <w:r w:rsidRPr="000C4653">
        <w:rPr>
          <w:rFonts w:eastAsia="Calibri"/>
          <w:bCs/>
          <w:color w:val="000000"/>
          <w:szCs w:val="24"/>
          <w:lang w:eastAsia="lv-LV"/>
        </w:rPr>
        <w:t xml:space="preserve"> </w:t>
      </w:r>
      <w:r w:rsidR="001350B8" w:rsidRPr="000C4653">
        <w:rPr>
          <w:rFonts w:eastAsia="Calibri"/>
          <w:bCs/>
          <w:color w:val="000000"/>
          <w:szCs w:val="24"/>
          <w:lang w:eastAsia="lv-LV"/>
        </w:rPr>
        <w:t>kopējais studējošo skaits šajās jomās būtiski nav mainījies (skat. 1.</w:t>
      </w:r>
      <w:r w:rsidR="000C7B95">
        <w:rPr>
          <w:rFonts w:eastAsia="Calibri"/>
          <w:bCs/>
          <w:color w:val="000000"/>
          <w:szCs w:val="24"/>
          <w:lang w:eastAsia="lv-LV"/>
        </w:rPr>
        <w:t>5</w:t>
      </w:r>
      <w:r w:rsidR="001350B8" w:rsidRPr="000C4653">
        <w:rPr>
          <w:rFonts w:eastAsia="Calibri"/>
          <w:bCs/>
          <w:color w:val="000000"/>
          <w:szCs w:val="24"/>
          <w:lang w:eastAsia="lv-LV"/>
        </w:rPr>
        <w:t>.tabulu)</w:t>
      </w:r>
      <w:r w:rsidR="00030D6D" w:rsidRPr="000C4653">
        <w:rPr>
          <w:rFonts w:eastAsia="Calibri"/>
          <w:bCs/>
          <w:color w:val="000000"/>
          <w:szCs w:val="24"/>
          <w:lang w:eastAsia="lv-LV"/>
        </w:rPr>
        <w:t xml:space="preserve">. Pozitīvi vērtējams fakts, ka 2015./2016.ak.gadā būtiski palielinājies STEM jomā studējošo īpatsvars pret kopējo koledžās studējošo skaitu – </w:t>
      </w:r>
      <w:r w:rsidR="00CF2614" w:rsidRPr="000C4653">
        <w:rPr>
          <w:rFonts w:eastAsia="Calibri"/>
          <w:bCs/>
          <w:color w:val="000000"/>
          <w:szCs w:val="24"/>
          <w:lang w:eastAsia="lv-LV"/>
        </w:rPr>
        <w:t>4</w:t>
      </w:r>
      <w:r w:rsidR="00CF2614">
        <w:rPr>
          <w:rFonts w:eastAsia="Calibri"/>
          <w:bCs/>
          <w:color w:val="000000"/>
          <w:szCs w:val="24"/>
          <w:lang w:eastAsia="lv-LV"/>
        </w:rPr>
        <w:t xml:space="preserve">4 </w:t>
      </w:r>
      <w:r w:rsidR="00030D6D" w:rsidRPr="000C4653">
        <w:rPr>
          <w:rFonts w:eastAsia="Calibri"/>
          <w:bCs/>
          <w:color w:val="000000"/>
          <w:szCs w:val="24"/>
          <w:lang w:eastAsia="lv-LV"/>
        </w:rPr>
        <w:t xml:space="preserve">%, kas liecina par to, ka šīs jomas studijas kļūst arvien populārākas. </w:t>
      </w:r>
      <w:r w:rsidR="00ED65D0">
        <w:rPr>
          <w:rFonts w:eastAsia="Calibri"/>
          <w:bCs/>
          <w:color w:val="000000"/>
          <w:szCs w:val="24"/>
          <w:lang w:eastAsia="lv-LV"/>
        </w:rPr>
        <w:t xml:space="preserve">Arī STEM programmās imatrikulēto skaits 2015./2016.ak. gadā </w:t>
      </w:r>
      <w:r w:rsidR="0029544A">
        <w:rPr>
          <w:rFonts w:eastAsia="Calibri"/>
          <w:bCs/>
          <w:color w:val="000000"/>
          <w:szCs w:val="24"/>
          <w:lang w:eastAsia="lv-LV"/>
        </w:rPr>
        <w:t xml:space="preserve">salīdzinājumā ar 2011./2012.ak gadu ir pieaudzis par </w:t>
      </w:r>
      <w:r w:rsidR="005504D3">
        <w:rPr>
          <w:rFonts w:eastAsia="Calibri"/>
          <w:bCs/>
          <w:color w:val="000000"/>
          <w:szCs w:val="24"/>
          <w:lang w:eastAsia="lv-LV"/>
        </w:rPr>
        <w:t xml:space="preserve">211 </w:t>
      </w:r>
      <w:r w:rsidR="0029544A">
        <w:rPr>
          <w:rFonts w:eastAsia="Calibri"/>
          <w:bCs/>
          <w:color w:val="000000"/>
          <w:szCs w:val="24"/>
          <w:lang w:eastAsia="lv-LV"/>
        </w:rPr>
        <w:t xml:space="preserve">studentiem jeb </w:t>
      </w:r>
      <w:r w:rsidR="005504D3">
        <w:rPr>
          <w:rFonts w:eastAsia="Calibri"/>
          <w:bCs/>
          <w:color w:val="000000"/>
          <w:szCs w:val="24"/>
          <w:lang w:eastAsia="lv-LV"/>
        </w:rPr>
        <w:t>12</w:t>
      </w:r>
      <w:r w:rsidR="0029544A">
        <w:rPr>
          <w:rFonts w:eastAsia="Calibri"/>
          <w:bCs/>
          <w:color w:val="000000"/>
          <w:szCs w:val="24"/>
          <w:lang w:eastAsia="lv-LV"/>
        </w:rPr>
        <w:t xml:space="preserve"> %. Vienlaikus jāatzīmē, ka imatrikulēto skait</w:t>
      </w:r>
      <w:r w:rsidR="000E5E06">
        <w:rPr>
          <w:rFonts w:eastAsia="Calibri"/>
          <w:bCs/>
          <w:color w:val="000000"/>
          <w:szCs w:val="24"/>
          <w:lang w:eastAsia="lv-LV"/>
        </w:rPr>
        <w:t>s</w:t>
      </w:r>
      <w:r w:rsidR="0029544A">
        <w:rPr>
          <w:rFonts w:eastAsia="Calibri"/>
          <w:bCs/>
          <w:color w:val="000000"/>
          <w:szCs w:val="24"/>
          <w:lang w:eastAsia="lv-LV"/>
        </w:rPr>
        <w:t xml:space="preserve"> pēdējo 5 gadu laikā ir uzrādīj</w:t>
      </w:r>
      <w:r w:rsidR="000E5E06">
        <w:rPr>
          <w:rFonts w:eastAsia="Calibri"/>
          <w:bCs/>
          <w:color w:val="000000"/>
          <w:szCs w:val="24"/>
          <w:lang w:eastAsia="lv-LV"/>
        </w:rPr>
        <w:t>is</w:t>
      </w:r>
      <w:r w:rsidR="0029544A">
        <w:rPr>
          <w:rFonts w:eastAsia="Calibri"/>
          <w:bCs/>
          <w:color w:val="000000"/>
          <w:szCs w:val="24"/>
          <w:lang w:eastAsia="lv-LV"/>
        </w:rPr>
        <w:t xml:space="preserve"> atšķirīgas tendences – līdz 2013./2014.ak. gadam tas ir strauji pieaudzis, bet </w:t>
      </w:r>
      <w:r w:rsidR="001350B8" w:rsidRPr="000C4653">
        <w:rPr>
          <w:rFonts w:eastAsia="Calibri"/>
          <w:bCs/>
          <w:color w:val="000000"/>
          <w:szCs w:val="24"/>
          <w:lang w:eastAsia="lv-LV"/>
        </w:rPr>
        <w:t>2014./2015.ak.</w:t>
      </w:r>
      <w:r w:rsidR="0029544A">
        <w:rPr>
          <w:rFonts w:eastAsia="Calibri"/>
          <w:bCs/>
          <w:color w:val="000000"/>
          <w:szCs w:val="24"/>
          <w:lang w:eastAsia="lv-LV"/>
        </w:rPr>
        <w:t xml:space="preserve"> </w:t>
      </w:r>
      <w:r w:rsidR="0029544A" w:rsidRPr="000C4653">
        <w:rPr>
          <w:rFonts w:eastAsia="Calibri"/>
          <w:bCs/>
          <w:color w:val="000000"/>
          <w:szCs w:val="24"/>
          <w:lang w:eastAsia="lv-LV"/>
        </w:rPr>
        <w:t>gad</w:t>
      </w:r>
      <w:r w:rsidR="0029544A">
        <w:rPr>
          <w:rFonts w:eastAsia="Calibri"/>
          <w:bCs/>
          <w:color w:val="000000"/>
          <w:szCs w:val="24"/>
          <w:lang w:eastAsia="lv-LV"/>
        </w:rPr>
        <w:t>ā</w:t>
      </w:r>
      <w:r w:rsidR="0029544A" w:rsidRPr="000C4653">
        <w:rPr>
          <w:rFonts w:eastAsia="Calibri"/>
          <w:bCs/>
          <w:color w:val="000000"/>
          <w:szCs w:val="24"/>
          <w:lang w:eastAsia="lv-LV"/>
        </w:rPr>
        <w:t xml:space="preserve"> </w:t>
      </w:r>
      <w:r w:rsidR="0029544A">
        <w:rPr>
          <w:rFonts w:eastAsia="Calibri"/>
          <w:bCs/>
          <w:color w:val="000000"/>
          <w:szCs w:val="24"/>
          <w:lang w:eastAsia="lv-LV"/>
        </w:rPr>
        <w:t xml:space="preserve">būtiski samazinājies </w:t>
      </w:r>
      <w:r w:rsidR="001350B8" w:rsidRPr="000C4653">
        <w:rPr>
          <w:rFonts w:eastAsia="Calibri"/>
          <w:bCs/>
          <w:color w:val="000000"/>
          <w:szCs w:val="24"/>
          <w:lang w:eastAsia="lv-LV"/>
        </w:rPr>
        <w:t>(</w:t>
      </w:r>
      <w:r w:rsidR="0029544A">
        <w:rPr>
          <w:rFonts w:eastAsia="Calibri"/>
          <w:bCs/>
          <w:color w:val="000000"/>
          <w:szCs w:val="24"/>
          <w:lang w:eastAsia="lv-LV"/>
        </w:rPr>
        <w:t>STEM programmās</w:t>
      </w:r>
      <w:r w:rsidR="001350B8" w:rsidRPr="000C4653">
        <w:rPr>
          <w:rFonts w:eastAsia="Calibri"/>
          <w:bCs/>
          <w:color w:val="000000"/>
          <w:szCs w:val="24"/>
          <w:lang w:eastAsia="lv-LV"/>
        </w:rPr>
        <w:t xml:space="preserve"> uzņemto studentu skaits 2014./2015.ak.gadā salīdzinājumā ar iepriekšējo gadu ir samazinājies par </w:t>
      </w:r>
      <w:r w:rsidR="005504D3" w:rsidRPr="000C4653">
        <w:rPr>
          <w:rFonts w:eastAsia="Calibri"/>
          <w:bCs/>
          <w:color w:val="000000"/>
          <w:szCs w:val="24"/>
          <w:lang w:eastAsia="lv-LV"/>
        </w:rPr>
        <w:t>6</w:t>
      </w:r>
      <w:r w:rsidR="005504D3">
        <w:rPr>
          <w:rFonts w:eastAsia="Calibri"/>
          <w:bCs/>
          <w:color w:val="000000"/>
          <w:szCs w:val="24"/>
          <w:lang w:eastAsia="lv-LV"/>
        </w:rPr>
        <w:t>18</w:t>
      </w:r>
      <w:r w:rsidR="005504D3" w:rsidRPr="000C4653">
        <w:rPr>
          <w:rFonts w:eastAsia="Calibri"/>
          <w:bCs/>
          <w:color w:val="000000"/>
          <w:szCs w:val="24"/>
          <w:lang w:eastAsia="lv-LV"/>
        </w:rPr>
        <w:t xml:space="preserve"> </w:t>
      </w:r>
      <w:r w:rsidR="001350B8" w:rsidRPr="000C4653">
        <w:rPr>
          <w:rFonts w:eastAsia="Calibri"/>
          <w:bCs/>
          <w:color w:val="000000"/>
          <w:szCs w:val="24"/>
          <w:lang w:eastAsia="lv-LV"/>
        </w:rPr>
        <w:t>studentiem jeb par 24</w:t>
      </w:r>
      <w:r w:rsidR="000003FD">
        <w:rPr>
          <w:rFonts w:eastAsia="Calibri"/>
          <w:bCs/>
          <w:color w:val="000000"/>
          <w:szCs w:val="24"/>
          <w:lang w:eastAsia="lv-LV"/>
        </w:rPr>
        <w:t xml:space="preserve"> </w:t>
      </w:r>
      <w:r w:rsidR="001350B8" w:rsidRPr="000C4653">
        <w:rPr>
          <w:rFonts w:eastAsia="Calibri"/>
          <w:bCs/>
          <w:color w:val="000000"/>
          <w:szCs w:val="24"/>
          <w:lang w:eastAsia="lv-LV"/>
        </w:rPr>
        <w:t xml:space="preserve">%). </w:t>
      </w:r>
      <w:r w:rsidR="0029544A">
        <w:rPr>
          <w:rFonts w:eastAsia="Calibri"/>
          <w:bCs/>
          <w:color w:val="000000"/>
          <w:szCs w:val="24"/>
          <w:lang w:eastAsia="lv-LV"/>
        </w:rPr>
        <w:t xml:space="preserve">Savukārt 2015./2016.ak. gadā </w:t>
      </w:r>
      <w:r w:rsidR="00797F6F">
        <w:rPr>
          <w:rFonts w:eastAsia="Calibri"/>
          <w:bCs/>
          <w:color w:val="000000"/>
          <w:szCs w:val="24"/>
          <w:lang w:eastAsia="lv-LV"/>
        </w:rPr>
        <w:t xml:space="preserve">salīdzinājumā ar iepriekšējo gadu </w:t>
      </w:r>
      <w:r w:rsidR="00542525">
        <w:rPr>
          <w:rFonts w:eastAsia="Calibri"/>
          <w:bCs/>
          <w:color w:val="000000"/>
          <w:szCs w:val="24"/>
          <w:lang w:eastAsia="lv-LV"/>
        </w:rPr>
        <w:t xml:space="preserve">STEM </w:t>
      </w:r>
      <w:r w:rsidR="00613344">
        <w:rPr>
          <w:rFonts w:eastAsia="Calibri"/>
          <w:bCs/>
          <w:color w:val="000000"/>
          <w:szCs w:val="24"/>
          <w:lang w:eastAsia="lv-LV"/>
        </w:rPr>
        <w:t xml:space="preserve">studiju </w:t>
      </w:r>
      <w:r w:rsidR="00542525">
        <w:rPr>
          <w:rFonts w:eastAsia="Calibri"/>
          <w:bCs/>
          <w:color w:val="000000"/>
          <w:szCs w:val="24"/>
          <w:lang w:eastAsia="lv-LV"/>
        </w:rPr>
        <w:t>programmās imatrikul</w:t>
      </w:r>
      <w:r w:rsidR="00CA1C08">
        <w:rPr>
          <w:rFonts w:eastAsia="Calibri"/>
          <w:bCs/>
          <w:color w:val="000000"/>
          <w:szCs w:val="24"/>
          <w:lang w:eastAsia="lv-LV"/>
        </w:rPr>
        <w:t>ēto skaits atkal ir pieaudzis (skat. 1.11.attēlu).</w:t>
      </w:r>
      <w:r w:rsidR="00E177B1">
        <w:rPr>
          <w:rFonts w:eastAsia="Calibri"/>
          <w:bCs/>
          <w:color w:val="000000"/>
          <w:szCs w:val="24"/>
          <w:lang w:eastAsia="lv-LV"/>
        </w:rPr>
        <w:br w:type="page"/>
      </w:r>
    </w:p>
    <w:p w:rsidR="00D42476" w:rsidRDefault="00D42476" w:rsidP="00976030">
      <w:pPr>
        <w:jc w:val="right"/>
        <w:rPr>
          <w:rFonts w:eastAsia="Calibri"/>
          <w:bCs/>
          <w:color w:val="000000"/>
          <w:szCs w:val="24"/>
          <w:lang w:eastAsia="lv-LV"/>
        </w:rPr>
      </w:pPr>
      <w:r>
        <w:rPr>
          <w:rFonts w:eastAsia="Calibri"/>
          <w:bCs/>
          <w:color w:val="000000"/>
          <w:szCs w:val="24"/>
          <w:lang w:eastAsia="lv-LV"/>
        </w:rPr>
        <w:lastRenderedPageBreak/>
        <w:t>1.</w:t>
      </w:r>
      <w:r w:rsidR="000C7B95">
        <w:rPr>
          <w:rFonts w:eastAsia="Calibri"/>
          <w:bCs/>
          <w:color w:val="000000"/>
          <w:szCs w:val="24"/>
          <w:lang w:eastAsia="lv-LV"/>
        </w:rPr>
        <w:t>5</w:t>
      </w:r>
      <w:r>
        <w:rPr>
          <w:rFonts w:eastAsia="Calibri"/>
          <w:bCs/>
          <w:color w:val="000000"/>
          <w:szCs w:val="24"/>
          <w:lang w:eastAsia="lv-LV"/>
        </w:rPr>
        <w:t>. tabula</w:t>
      </w:r>
    </w:p>
    <w:p w:rsidR="00D42476" w:rsidRDefault="00D42476" w:rsidP="00976030">
      <w:pPr>
        <w:jc w:val="center"/>
        <w:rPr>
          <w:rFonts w:eastAsia="Calibri"/>
          <w:b/>
          <w:bCs/>
          <w:color w:val="000000"/>
          <w:szCs w:val="24"/>
          <w:lang w:eastAsia="lv-LV"/>
        </w:rPr>
      </w:pPr>
      <w:r w:rsidRPr="00567312">
        <w:rPr>
          <w:rFonts w:eastAsia="Calibri"/>
          <w:b/>
          <w:bCs/>
          <w:color w:val="000000"/>
          <w:szCs w:val="24"/>
          <w:lang w:eastAsia="lv-LV"/>
        </w:rPr>
        <w:t xml:space="preserve">Koledžās imatrikulēto, studējošo un kvalifikāciju ieguvušo skaita izmaiņas STEM jomā laika posmā no 2011./2012. – </w:t>
      </w:r>
      <w:r w:rsidR="00166F51" w:rsidRPr="00567312">
        <w:rPr>
          <w:rFonts w:eastAsia="Calibri"/>
          <w:b/>
          <w:bCs/>
          <w:color w:val="000000"/>
          <w:szCs w:val="24"/>
          <w:lang w:eastAsia="lv-LV"/>
        </w:rPr>
        <w:t>201</w:t>
      </w:r>
      <w:r w:rsidR="00166F51">
        <w:rPr>
          <w:rFonts w:eastAsia="Calibri"/>
          <w:b/>
          <w:bCs/>
          <w:color w:val="000000"/>
          <w:szCs w:val="24"/>
          <w:lang w:eastAsia="lv-LV"/>
        </w:rPr>
        <w:t>5</w:t>
      </w:r>
      <w:r w:rsidRPr="00567312">
        <w:rPr>
          <w:rFonts w:eastAsia="Calibri"/>
          <w:b/>
          <w:bCs/>
          <w:color w:val="000000"/>
          <w:szCs w:val="24"/>
          <w:lang w:eastAsia="lv-LV"/>
        </w:rPr>
        <w:t>./</w:t>
      </w:r>
      <w:r w:rsidR="00166F51" w:rsidRPr="00567312">
        <w:rPr>
          <w:rFonts w:eastAsia="Calibri"/>
          <w:b/>
          <w:bCs/>
          <w:color w:val="000000"/>
          <w:szCs w:val="24"/>
          <w:lang w:eastAsia="lv-LV"/>
        </w:rPr>
        <w:t>201</w:t>
      </w:r>
      <w:r w:rsidR="00166F51">
        <w:rPr>
          <w:rFonts w:eastAsia="Calibri"/>
          <w:b/>
          <w:bCs/>
          <w:color w:val="000000"/>
          <w:szCs w:val="24"/>
          <w:lang w:eastAsia="lv-LV"/>
        </w:rPr>
        <w:t>6</w:t>
      </w:r>
      <w:r w:rsidRPr="00567312">
        <w:rPr>
          <w:rFonts w:eastAsia="Calibri"/>
          <w:b/>
          <w:bCs/>
          <w:color w:val="000000"/>
          <w:szCs w:val="24"/>
          <w:lang w:eastAsia="lv-LV"/>
        </w:rPr>
        <w:t>.ak.gadam</w:t>
      </w:r>
    </w:p>
    <w:p w:rsidR="0093640B" w:rsidRPr="00567312" w:rsidRDefault="0093640B" w:rsidP="00D42476">
      <w:pPr>
        <w:spacing w:after="120"/>
        <w:jc w:val="center"/>
        <w:rPr>
          <w:rFonts w:eastAsia="Calibri"/>
          <w:b/>
          <w:bCs/>
          <w:color w:val="000000"/>
          <w:szCs w:val="24"/>
          <w:lang w:eastAsia="lv-LV"/>
        </w:rPr>
      </w:pPr>
    </w:p>
    <w:tbl>
      <w:tblPr>
        <w:tblStyle w:val="TableGrid"/>
        <w:tblW w:w="5000" w:type="pct"/>
        <w:tblLook w:val="04A0"/>
      </w:tblPr>
      <w:tblGrid>
        <w:gridCol w:w="1363"/>
        <w:gridCol w:w="1428"/>
        <w:gridCol w:w="1300"/>
        <w:gridCol w:w="1300"/>
        <w:gridCol w:w="1300"/>
        <w:gridCol w:w="1300"/>
        <w:gridCol w:w="1297"/>
      </w:tblGrid>
      <w:tr w:rsidR="00D40179" w:rsidRPr="00ED44B5" w:rsidTr="00E177B1">
        <w:tc>
          <w:tcPr>
            <w:tcW w:w="1502" w:type="pct"/>
            <w:gridSpan w:val="2"/>
          </w:tcPr>
          <w:p w:rsidR="00D40179" w:rsidRPr="00E5619C" w:rsidRDefault="00D40179" w:rsidP="0098650E">
            <w:pPr>
              <w:jc w:val="center"/>
              <w:rPr>
                <w:rFonts w:eastAsia="Calibri"/>
                <w:bCs/>
                <w:color w:val="000000"/>
                <w:sz w:val="22"/>
                <w:szCs w:val="22"/>
              </w:rPr>
            </w:pPr>
            <w:r w:rsidRPr="00E5619C">
              <w:rPr>
                <w:rFonts w:eastAsia="Calibri"/>
                <w:bCs/>
                <w:color w:val="000000"/>
                <w:sz w:val="22"/>
                <w:szCs w:val="22"/>
              </w:rPr>
              <w:t>Rādītājs</w:t>
            </w:r>
          </w:p>
          <w:p w:rsidR="00D40179" w:rsidRPr="00E5619C" w:rsidRDefault="00D40179" w:rsidP="00D42476">
            <w:pPr>
              <w:rPr>
                <w:rFonts w:eastAsia="Calibri"/>
                <w:bCs/>
                <w:color w:val="000000"/>
                <w:sz w:val="22"/>
                <w:szCs w:val="22"/>
              </w:rPr>
            </w:pPr>
          </w:p>
        </w:tc>
        <w:tc>
          <w:tcPr>
            <w:tcW w:w="700" w:type="pct"/>
          </w:tcPr>
          <w:p w:rsidR="00D40179" w:rsidRPr="00E5619C" w:rsidRDefault="00D40179" w:rsidP="00D42476">
            <w:pPr>
              <w:rPr>
                <w:rFonts w:eastAsia="Calibri"/>
                <w:bCs/>
                <w:color w:val="000000"/>
                <w:sz w:val="22"/>
                <w:szCs w:val="22"/>
              </w:rPr>
            </w:pPr>
            <w:r w:rsidRPr="00E5619C">
              <w:rPr>
                <w:rFonts w:eastAsia="Calibri"/>
                <w:bCs/>
                <w:color w:val="000000"/>
                <w:sz w:val="22"/>
                <w:szCs w:val="22"/>
              </w:rPr>
              <w:t>2011./2012.</w:t>
            </w:r>
          </w:p>
        </w:tc>
        <w:tc>
          <w:tcPr>
            <w:tcW w:w="700" w:type="pct"/>
          </w:tcPr>
          <w:p w:rsidR="00D40179" w:rsidRPr="00E5619C" w:rsidRDefault="00D40179" w:rsidP="00D42476">
            <w:pPr>
              <w:rPr>
                <w:rFonts w:eastAsia="Calibri"/>
                <w:bCs/>
                <w:color w:val="000000"/>
                <w:sz w:val="22"/>
                <w:szCs w:val="22"/>
              </w:rPr>
            </w:pPr>
            <w:r w:rsidRPr="00E5619C">
              <w:rPr>
                <w:rFonts w:eastAsia="Calibri"/>
                <w:bCs/>
                <w:color w:val="000000"/>
                <w:sz w:val="22"/>
                <w:szCs w:val="22"/>
              </w:rPr>
              <w:t>2012./2013.</w:t>
            </w:r>
          </w:p>
        </w:tc>
        <w:tc>
          <w:tcPr>
            <w:tcW w:w="700" w:type="pct"/>
          </w:tcPr>
          <w:p w:rsidR="00D40179" w:rsidRPr="00F46A90" w:rsidRDefault="00D40179" w:rsidP="00D42476">
            <w:pPr>
              <w:rPr>
                <w:rFonts w:eastAsia="Calibri"/>
                <w:bCs/>
                <w:color w:val="000000"/>
                <w:sz w:val="22"/>
                <w:szCs w:val="22"/>
              </w:rPr>
            </w:pPr>
            <w:r w:rsidRPr="00F46A90">
              <w:rPr>
                <w:rFonts w:eastAsia="Calibri"/>
                <w:bCs/>
                <w:color w:val="000000"/>
                <w:sz w:val="22"/>
                <w:szCs w:val="22"/>
              </w:rPr>
              <w:t>2013./2014.</w:t>
            </w:r>
          </w:p>
        </w:tc>
        <w:tc>
          <w:tcPr>
            <w:tcW w:w="700" w:type="pct"/>
          </w:tcPr>
          <w:p w:rsidR="00D40179" w:rsidRPr="00E5619C" w:rsidRDefault="00D40179" w:rsidP="00D42476">
            <w:pPr>
              <w:rPr>
                <w:rFonts w:eastAsia="Calibri"/>
                <w:bCs/>
                <w:color w:val="000000"/>
                <w:sz w:val="22"/>
                <w:szCs w:val="22"/>
              </w:rPr>
            </w:pPr>
            <w:r w:rsidRPr="00E5619C">
              <w:rPr>
                <w:rFonts w:eastAsia="Calibri"/>
                <w:bCs/>
                <w:color w:val="000000"/>
                <w:sz w:val="22"/>
                <w:szCs w:val="22"/>
              </w:rPr>
              <w:t>2014./2015.</w:t>
            </w:r>
          </w:p>
        </w:tc>
        <w:tc>
          <w:tcPr>
            <w:tcW w:w="700" w:type="pct"/>
          </w:tcPr>
          <w:p w:rsidR="00D40179" w:rsidRPr="00E5619C" w:rsidRDefault="00D40179" w:rsidP="00D42476">
            <w:pPr>
              <w:rPr>
                <w:rFonts w:eastAsia="Calibri"/>
                <w:bCs/>
                <w:color w:val="000000"/>
                <w:sz w:val="22"/>
                <w:szCs w:val="22"/>
              </w:rPr>
            </w:pPr>
            <w:r>
              <w:rPr>
                <w:rFonts w:eastAsia="Calibri"/>
                <w:bCs/>
                <w:color w:val="000000"/>
                <w:sz w:val="22"/>
                <w:szCs w:val="22"/>
              </w:rPr>
              <w:t>2015./2016.</w:t>
            </w:r>
          </w:p>
        </w:tc>
      </w:tr>
      <w:tr w:rsidR="00D40179" w:rsidRPr="00E362AB" w:rsidTr="00E177B1">
        <w:tc>
          <w:tcPr>
            <w:tcW w:w="733" w:type="pct"/>
            <w:vMerge w:val="restart"/>
          </w:tcPr>
          <w:p w:rsidR="00D40179" w:rsidRPr="00E5619C" w:rsidRDefault="00D40179" w:rsidP="00D42476">
            <w:pPr>
              <w:rPr>
                <w:rFonts w:eastAsia="Calibri"/>
                <w:bCs/>
                <w:color w:val="000000"/>
                <w:sz w:val="22"/>
                <w:szCs w:val="22"/>
              </w:rPr>
            </w:pPr>
            <w:r w:rsidRPr="00E5619C">
              <w:rPr>
                <w:rFonts w:eastAsia="Calibri"/>
                <w:bCs/>
                <w:color w:val="000000"/>
                <w:sz w:val="22"/>
                <w:szCs w:val="22"/>
              </w:rPr>
              <w:t>Imatrikulēti</w:t>
            </w:r>
          </w:p>
        </w:tc>
        <w:tc>
          <w:tcPr>
            <w:tcW w:w="769" w:type="pct"/>
          </w:tcPr>
          <w:p w:rsidR="00D40179" w:rsidRPr="00E5619C" w:rsidRDefault="00D40179" w:rsidP="00D42476">
            <w:pPr>
              <w:rPr>
                <w:rFonts w:eastAsia="Calibri"/>
                <w:bCs/>
                <w:color w:val="000000"/>
                <w:sz w:val="22"/>
                <w:szCs w:val="22"/>
              </w:rPr>
            </w:pPr>
            <w:r w:rsidRPr="00E5619C">
              <w:rPr>
                <w:rFonts w:eastAsia="Calibri"/>
                <w:bCs/>
                <w:color w:val="000000"/>
                <w:sz w:val="22"/>
                <w:szCs w:val="22"/>
              </w:rPr>
              <w:t>skaits</w:t>
            </w:r>
          </w:p>
          <w:p w:rsidR="00D40179" w:rsidRPr="00E5619C" w:rsidRDefault="00D40179" w:rsidP="00D42476">
            <w:pPr>
              <w:rPr>
                <w:rFonts w:eastAsia="Calibri"/>
                <w:bCs/>
                <w:color w:val="000000"/>
                <w:sz w:val="22"/>
                <w:szCs w:val="22"/>
              </w:rPr>
            </w:pPr>
          </w:p>
        </w:tc>
        <w:tc>
          <w:tcPr>
            <w:tcW w:w="700" w:type="pct"/>
          </w:tcPr>
          <w:p w:rsidR="00D40179" w:rsidRPr="00E5619C" w:rsidRDefault="00D40179" w:rsidP="00E97B40">
            <w:pPr>
              <w:jc w:val="center"/>
              <w:rPr>
                <w:rFonts w:eastAsia="Calibri"/>
                <w:bCs/>
                <w:color w:val="000000"/>
                <w:sz w:val="22"/>
                <w:szCs w:val="22"/>
              </w:rPr>
            </w:pPr>
            <w:r>
              <w:rPr>
                <w:rFonts w:eastAsia="Calibri"/>
                <w:bCs/>
                <w:color w:val="000000"/>
                <w:sz w:val="22"/>
                <w:szCs w:val="22"/>
              </w:rPr>
              <w:t>1771</w:t>
            </w:r>
          </w:p>
        </w:tc>
        <w:tc>
          <w:tcPr>
            <w:tcW w:w="700" w:type="pct"/>
          </w:tcPr>
          <w:p w:rsidR="00D40179" w:rsidRPr="00E5619C" w:rsidRDefault="00F46A90" w:rsidP="00D42476">
            <w:pPr>
              <w:jc w:val="center"/>
              <w:rPr>
                <w:rFonts w:eastAsia="Calibri"/>
                <w:bCs/>
                <w:color w:val="000000"/>
                <w:sz w:val="22"/>
                <w:szCs w:val="22"/>
              </w:rPr>
            </w:pPr>
            <w:r>
              <w:rPr>
                <w:rFonts w:eastAsia="Calibri"/>
                <w:bCs/>
                <w:color w:val="000000"/>
                <w:sz w:val="22"/>
                <w:szCs w:val="22"/>
              </w:rPr>
              <w:t>2101</w:t>
            </w:r>
          </w:p>
        </w:tc>
        <w:tc>
          <w:tcPr>
            <w:tcW w:w="700" w:type="pct"/>
          </w:tcPr>
          <w:p w:rsidR="00D40179" w:rsidRPr="00F46A90" w:rsidRDefault="00F46A90" w:rsidP="00D42476">
            <w:pPr>
              <w:jc w:val="center"/>
              <w:rPr>
                <w:rFonts w:eastAsia="Calibri"/>
                <w:bCs/>
                <w:color w:val="000000"/>
                <w:sz w:val="22"/>
                <w:szCs w:val="22"/>
              </w:rPr>
            </w:pPr>
            <w:r w:rsidRPr="00F46A90">
              <w:rPr>
                <w:rFonts w:eastAsia="Calibri"/>
                <w:bCs/>
                <w:color w:val="000000"/>
                <w:sz w:val="22"/>
                <w:szCs w:val="22"/>
              </w:rPr>
              <w:t>2576</w:t>
            </w:r>
          </w:p>
        </w:tc>
        <w:tc>
          <w:tcPr>
            <w:tcW w:w="700" w:type="pct"/>
          </w:tcPr>
          <w:p w:rsidR="00D40179" w:rsidRPr="00E5619C" w:rsidRDefault="00F46A90" w:rsidP="00D42476">
            <w:pPr>
              <w:jc w:val="center"/>
              <w:rPr>
                <w:rFonts w:eastAsia="Calibri"/>
                <w:bCs/>
                <w:color w:val="000000"/>
                <w:sz w:val="22"/>
                <w:szCs w:val="22"/>
              </w:rPr>
            </w:pPr>
            <w:r>
              <w:rPr>
                <w:rFonts w:eastAsia="Calibri"/>
                <w:bCs/>
                <w:color w:val="000000"/>
                <w:sz w:val="22"/>
                <w:szCs w:val="22"/>
              </w:rPr>
              <w:t>1958</w:t>
            </w:r>
          </w:p>
        </w:tc>
        <w:tc>
          <w:tcPr>
            <w:tcW w:w="700" w:type="pct"/>
          </w:tcPr>
          <w:p w:rsidR="00D40179" w:rsidRPr="00E5619C" w:rsidRDefault="00F46A90" w:rsidP="00D42476">
            <w:pPr>
              <w:jc w:val="center"/>
              <w:rPr>
                <w:rFonts w:eastAsia="Calibri"/>
                <w:bCs/>
                <w:color w:val="000000"/>
                <w:sz w:val="22"/>
                <w:szCs w:val="22"/>
              </w:rPr>
            </w:pPr>
            <w:r>
              <w:rPr>
                <w:rFonts w:eastAsia="Calibri"/>
                <w:bCs/>
                <w:color w:val="000000"/>
                <w:sz w:val="22"/>
                <w:szCs w:val="22"/>
              </w:rPr>
              <w:t>1982</w:t>
            </w:r>
          </w:p>
        </w:tc>
      </w:tr>
      <w:tr w:rsidR="00D40179" w:rsidRPr="00E362AB" w:rsidTr="00E177B1">
        <w:tc>
          <w:tcPr>
            <w:tcW w:w="733" w:type="pct"/>
            <w:vMerge/>
          </w:tcPr>
          <w:p w:rsidR="00D40179" w:rsidRPr="00E5619C" w:rsidRDefault="00D40179" w:rsidP="00D42476">
            <w:pPr>
              <w:rPr>
                <w:rFonts w:eastAsia="Calibri"/>
                <w:bCs/>
                <w:color w:val="000000"/>
                <w:sz w:val="22"/>
                <w:szCs w:val="22"/>
              </w:rPr>
            </w:pPr>
          </w:p>
        </w:tc>
        <w:tc>
          <w:tcPr>
            <w:tcW w:w="769" w:type="pct"/>
          </w:tcPr>
          <w:p w:rsidR="00D40179" w:rsidRPr="00E5619C" w:rsidRDefault="00D40179" w:rsidP="00D42476">
            <w:pPr>
              <w:rPr>
                <w:rFonts w:eastAsia="Calibri"/>
                <w:bCs/>
                <w:color w:val="000000"/>
                <w:sz w:val="22"/>
                <w:szCs w:val="22"/>
              </w:rPr>
            </w:pPr>
            <w:r w:rsidRPr="00E5619C">
              <w:rPr>
                <w:rFonts w:eastAsia="Calibri"/>
                <w:bCs/>
                <w:color w:val="000000"/>
                <w:sz w:val="22"/>
                <w:szCs w:val="22"/>
              </w:rPr>
              <w:t xml:space="preserve">īpatsvars, % pret kopējo </w:t>
            </w:r>
            <w:r>
              <w:rPr>
                <w:rFonts w:eastAsia="Calibri"/>
                <w:bCs/>
                <w:color w:val="000000"/>
                <w:sz w:val="22"/>
                <w:szCs w:val="22"/>
              </w:rPr>
              <w:t xml:space="preserve">koledžās </w:t>
            </w:r>
            <w:r w:rsidRPr="00E5619C">
              <w:rPr>
                <w:rFonts w:eastAsia="Calibri"/>
                <w:bCs/>
                <w:color w:val="000000"/>
                <w:sz w:val="22"/>
                <w:szCs w:val="22"/>
              </w:rPr>
              <w:t>imatrikulēto skaitu</w:t>
            </w:r>
          </w:p>
        </w:tc>
        <w:tc>
          <w:tcPr>
            <w:tcW w:w="700" w:type="pct"/>
          </w:tcPr>
          <w:p w:rsidR="00D40179" w:rsidRPr="00E5619C" w:rsidRDefault="00F46A90" w:rsidP="00F46A90">
            <w:pPr>
              <w:jc w:val="center"/>
              <w:rPr>
                <w:rFonts w:eastAsia="Calibri"/>
                <w:bCs/>
                <w:color w:val="000000"/>
                <w:sz w:val="22"/>
                <w:szCs w:val="22"/>
              </w:rPr>
            </w:pPr>
            <w:r w:rsidRPr="00F46A90">
              <w:rPr>
                <w:rFonts w:eastAsia="Calibri"/>
                <w:bCs/>
                <w:color w:val="000000"/>
                <w:sz w:val="22"/>
                <w:szCs w:val="22"/>
              </w:rPr>
              <w:t>33</w:t>
            </w:r>
          </w:p>
        </w:tc>
        <w:tc>
          <w:tcPr>
            <w:tcW w:w="700" w:type="pct"/>
          </w:tcPr>
          <w:p w:rsidR="00D40179" w:rsidRPr="00E5619C" w:rsidRDefault="00F46A90" w:rsidP="00F46A90">
            <w:pPr>
              <w:jc w:val="center"/>
              <w:rPr>
                <w:rFonts w:eastAsia="Calibri"/>
                <w:bCs/>
                <w:color w:val="000000"/>
                <w:sz w:val="22"/>
                <w:szCs w:val="22"/>
              </w:rPr>
            </w:pPr>
            <w:r>
              <w:rPr>
                <w:rFonts w:eastAsia="Calibri"/>
                <w:bCs/>
                <w:color w:val="000000"/>
                <w:sz w:val="22"/>
                <w:szCs w:val="22"/>
              </w:rPr>
              <w:t>41</w:t>
            </w:r>
          </w:p>
        </w:tc>
        <w:tc>
          <w:tcPr>
            <w:tcW w:w="700" w:type="pct"/>
          </w:tcPr>
          <w:p w:rsidR="00D40179" w:rsidRPr="00F46A90" w:rsidRDefault="00F46A90" w:rsidP="00F46A90">
            <w:pPr>
              <w:jc w:val="center"/>
              <w:rPr>
                <w:rFonts w:eastAsia="Calibri"/>
                <w:bCs/>
                <w:color w:val="000000"/>
                <w:sz w:val="22"/>
                <w:szCs w:val="22"/>
              </w:rPr>
            </w:pPr>
            <w:r w:rsidRPr="00F46A90">
              <w:rPr>
                <w:rFonts w:eastAsia="Calibri"/>
                <w:bCs/>
                <w:color w:val="000000"/>
                <w:sz w:val="22"/>
                <w:szCs w:val="22"/>
              </w:rPr>
              <w:t>4</w:t>
            </w:r>
            <w:r w:rsidR="008F32F4" w:rsidRPr="008F32F4">
              <w:rPr>
                <w:rFonts w:eastAsia="Calibri"/>
                <w:bCs/>
                <w:color w:val="000000"/>
                <w:sz w:val="22"/>
                <w:szCs w:val="22"/>
              </w:rPr>
              <w:t>6</w:t>
            </w:r>
          </w:p>
        </w:tc>
        <w:tc>
          <w:tcPr>
            <w:tcW w:w="700" w:type="pct"/>
          </w:tcPr>
          <w:p w:rsidR="00D40179" w:rsidRPr="00E5619C" w:rsidRDefault="00F46A90" w:rsidP="00D42476">
            <w:pPr>
              <w:jc w:val="center"/>
              <w:rPr>
                <w:rFonts w:eastAsia="Calibri"/>
                <w:bCs/>
                <w:color w:val="000000"/>
                <w:sz w:val="22"/>
                <w:szCs w:val="22"/>
              </w:rPr>
            </w:pPr>
            <w:r>
              <w:rPr>
                <w:rFonts w:eastAsia="Calibri"/>
                <w:bCs/>
                <w:color w:val="000000"/>
                <w:sz w:val="22"/>
                <w:szCs w:val="22"/>
              </w:rPr>
              <w:t>44</w:t>
            </w:r>
          </w:p>
        </w:tc>
        <w:tc>
          <w:tcPr>
            <w:tcW w:w="700" w:type="pct"/>
          </w:tcPr>
          <w:p w:rsidR="00D40179" w:rsidRPr="00E5619C" w:rsidDel="000870F1" w:rsidRDefault="00F46A90" w:rsidP="00F46A90">
            <w:pPr>
              <w:jc w:val="center"/>
              <w:rPr>
                <w:rFonts w:eastAsia="Calibri"/>
                <w:bCs/>
                <w:color w:val="000000"/>
                <w:sz w:val="22"/>
                <w:szCs w:val="22"/>
              </w:rPr>
            </w:pPr>
            <w:r>
              <w:rPr>
                <w:rFonts w:eastAsia="Calibri"/>
                <w:bCs/>
                <w:color w:val="000000"/>
                <w:sz w:val="22"/>
                <w:szCs w:val="22"/>
              </w:rPr>
              <w:t>47</w:t>
            </w:r>
          </w:p>
        </w:tc>
      </w:tr>
      <w:tr w:rsidR="00D40179" w:rsidRPr="00E362AB" w:rsidTr="00E177B1">
        <w:tc>
          <w:tcPr>
            <w:tcW w:w="733" w:type="pct"/>
            <w:vMerge w:val="restart"/>
          </w:tcPr>
          <w:p w:rsidR="00D40179" w:rsidRPr="00E5619C" w:rsidRDefault="00D40179" w:rsidP="00D42476">
            <w:pPr>
              <w:rPr>
                <w:rFonts w:eastAsia="Calibri"/>
                <w:bCs/>
                <w:color w:val="000000"/>
                <w:sz w:val="22"/>
                <w:szCs w:val="22"/>
              </w:rPr>
            </w:pPr>
            <w:r w:rsidRPr="00E5619C">
              <w:rPr>
                <w:rFonts w:eastAsia="Calibri"/>
                <w:bCs/>
                <w:color w:val="000000"/>
                <w:sz w:val="22"/>
                <w:szCs w:val="22"/>
              </w:rPr>
              <w:t>Studē</w:t>
            </w:r>
          </w:p>
        </w:tc>
        <w:tc>
          <w:tcPr>
            <w:tcW w:w="769" w:type="pct"/>
          </w:tcPr>
          <w:p w:rsidR="00D40179" w:rsidRPr="00E5619C" w:rsidRDefault="00D40179" w:rsidP="00D42476">
            <w:pPr>
              <w:rPr>
                <w:rFonts w:eastAsia="Calibri"/>
                <w:bCs/>
                <w:color w:val="000000"/>
                <w:sz w:val="22"/>
                <w:szCs w:val="22"/>
              </w:rPr>
            </w:pPr>
            <w:r w:rsidRPr="00E5619C">
              <w:rPr>
                <w:rFonts w:eastAsia="Calibri"/>
                <w:bCs/>
                <w:color w:val="000000"/>
                <w:sz w:val="22"/>
                <w:szCs w:val="22"/>
              </w:rPr>
              <w:t>skaits</w:t>
            </w:r>
          </w:p>
          <w:p w:rsidR="00D40179" w:rsidRPr="00E5619C" w:rsidRDefault="00D40179" w:rsidP="00D42476">
            <w:pPr>
              <w:rPr>
                <w:rFonts w:eastAsia="Calibri"/>
                <w:bCs/>
                <w:color w:val="000000"/>
                <w:sz w:val="22"/>
                <w:szCs w:val="22"/>
              </w:rPr>
            </w:pPr>
          </w:p>
        </w:tc>
        <w:tc>
          <w:tcPr>
            <w:tcW w:w="700" w:type="pct"/>
          </w:tcPr>
          <w:p w:rsidR="00D40179" w:rsidRPr="00CF2614" w:rsidRDefault="00D40179" w:rsidP="00D42476">
            <w:pPr>
              <w:jc w:val="center"/>
              <w:rPr>
                <w:rFonts w:eastAsia="Calibri"/>
                <w:bCs/>
                <w:color w:val="FF0000"/>
                <w:sz w:val="22"/>
                <w:szCs w:val="22"/>
              </w:rPr>
            </w:pPr>
            <w:r w:rsidRPr="00CF2614">
              <w:rPr>
                <w:rFonts w:eastAsia="Calibri"/>
                <w:bCs/>
                <w:sz w:val="22"/>
                <w:szCs w:val="22"/>
              </w:rPr>
              <w:t>4438</w:t>
            </w:r>
          </w:p>
        </w:tc>
        <w:tc>
          <w:tcPr>
            <w:tcW w:w="700" w:type="pct"/>
          </w:tcPr>
          <w:p w:rsidR="00D40179" w:rsidRPr="00E5619C" w:rsidRDefault="00F46A90" w:rsidP="00D42476">
            <w:pPr>
              <w:jc w:val="center"/>
              <w:rPr>
                <w:rFonts w:eastAsia="Calibri"/>
                <w:bCs/>
                <w:sz w:val="22"/>
                <w:szCs w:val="22"/>
              </w:rPr>
            </w:pPr>
            <w:r>
              <w:rPr>
                <w:rFonts w:eastAsia="Calibri"/>
                <w:bCs/>
                <w:sz w:val="22"/>
                <w:szCs w:val="22"/>
              </w:rPr>
              <w:t>4659</w:t>
            </w:r>
          </w:p>
        </w:tc>
        <w:tc>
          <w:tcPr>
            <w:tcW w:w="700" w:type="pct"/>
          </w:tcPr>
          <w:p w:rsidR="00D40179" w:rsidRPr="00E5619C" w:rsidRDefault="00F46A90" w:rsidP="00D42476">
            <w:pPr>
              <w:jc w:val="center"/>
              <w:rPr>
                <w:rFonts w:eastAsia="Calibri"/>
                <w:bCs/>
                <w:sz w:val="22"/>
                <w:szCs w:val="22"/>
              </w:rPr>
            </w:pPr>
            <w:r>
              <w:rPr>
                <w:rFonts w:eastAsia="Calibri"/>
                <w:bCs/>
                <w:sz w:val="22"/>
                <w:szCs w:val="22"/>
              </w:rPr>
              <w:t>4870</w:t>
            </w:r>
          </w:p>
        </w:tc>
        <w:tc>
          <w:tcPr>
            <w:tcW w:w="700" w:type="pct"/>
          </w:tcPr>
          <w:p w:rsidR="00D40179" w:rsidRPr="00E5619C" w:rsidRDefault="00F46A90" w:rsidP="00D42476">
            <w:pPr>
              <w:jc w:val="center"/>
              <w:rPr>
                <w:rFonts w:eastAsia="Calibri"/>
                <w:bCs/>
                <w:color w:val="000000"/>
                <w:sz w:val="22"/>
                <w:szCs w:val="22"/>
              </w:rPr>
            </w:pPr>
            <w:r>
              <w:rPr>
                <w:rFonts w:eastAsia="Calibri"/>
                <w:bCs/>
                <w:color w:val="000000"/>
                <w:sz w:val="22"/>
                <w:szCs w:val="22"/>
              </w:rPr>
              <w:t>4688</w:t>
            </w:r>
          </w:p>
        </w:tc>
        <w:tc>
          <w:tcPr>
            <w:tcW w:w="700" w:type="pct"/>
          </w:tcPr>
          <w:p w:rsidR="00D40179" w:rsidRPr="00E5619C" w:rsidRDefault="00F46A90" w:rsidP="00030D6D">
            <w:pPr>
              <w:jc w:val="center"/>
              <w:rPr>
                <w:rFonts w:eastAsia="Calibri"/>
                <w:bCs/>
                <w:color w:val="000000"/>
                <w:sz w:val="22"/>
                <w:szCs w:val="22"/>
              </w:rPr>
            </w:pPr>
            <w:r>
              <w:rPr>
                <w:rFonts w:eastAsia="Calibri"/>
                <w:bCs/>
                <w:color w:val="000000"/>
                <w:sz w:val="22"/>
                <w:szCs w:val="22"/>
              </w:rPr>
              <w:t>4716</w:t>
            </w:r>
          </w:p>
        </w:tc>
      </w:tr>
      <w:tr w:rsidR="00D40179" w:rsidRPr="00E362AB" w:rsidTr="00E177B1">
        <w:tc>
          <w:tcPr>
            <w:tcW w:w="733" w:type="pct"/>
            <w:vMerge/>
          </w:tcPr>
          <w:p w:rsidR="00D40179" w:rsidRPr="00E5619C" w:rsidRDefault="00D40179" w:rsidP="00D42476">
            <w:pPr>
              <w:rPr>
                <w:rFonts w:eastAsia="Calibri"/>
                <w:bCs/>
                <w:color w:val="000000"/>
                <w:sz w:val="22"/>
                <w:szCs w:val="22"/>
              </w:rPr>
            </w:pPr>
          </w:p>
        </w:tc>
        <w:tc>
          <w:tcPr>
            <w:tcW w:w="769" w:type="pct"/>
          </w:tcPr>
          <w:p w:rsidR="00D40179" w:rsidRPr="00E5619C" w:rsidRDefault="00D40179" w:rsidP="00D42476">
            <w:pPr>
              <w:rPr>
                <w:rFonts w:eastAsia="Calibri"/>
                <w:bCs/>
                <w:color w:val="000000"/>
                <w:sz w:val="22"/>
                <w:szCs w:val="22"/>
              </w:rPr>
            </w:pPr>
            <w:r w:rsidRPr="00E5619C">
              <w:rPr>
                <w:rFonts w:eastAsia="Calibri"/>
                <w:bCs/>
                <w:color w:val="000000"/>
                <w:sz w:val="22"/>
                <w:szCs w:val="22"/>
              </w:rPr>
              <w:t xml:space="preserve">īpatsvars, % pret kopējo </w:t>
            </w:r>
            <w:r>
              <w:rPr>
                <w:rFonts w:eastAsia="Calibri"/>
                <w:bCs/>
                <w:color w:val="000000"/>
                <w:sz w:val="22"/>
                <w:szCs w:val="22"/>
              </w:rPr>
              <w:t xml:space="preserve">koledžās </w:t>
            </w:r>
            <w:r w:rsidRPr="00E5619C">
              <w:rPr>
                <w:rFonts w:eastAsia="Calibri"/>
                <w:bCs/>
                <w:color w:val="000000"/>
                <w:sz w:val="22"/>
                <w:szCs w:val="22"/>
              </w:rPr>
              <w:t>studējošo skaitu</w:t>
            </w:r>
          </w:p>
        </w:tc>
        <w:tc>
          <w:tcPr>
            <w:tcW w:w="700" w:type="pct"/>
          </w:tcPr>
          <w:p w:rsidR="00D40179" w:rsidRPr="00CF2614" w:rsidRDefault="008F32F4" w:rsidP="00D42476">
            <w:pPr>
              <w:jc w:val="center"/>
              <w:rPr>
                <w:rFonts w:eastAsia="Calibri"/>
                <w:bCs/>
                <w:color w:val="000000"/>
                <w:sz w:val="22"/>
                <w:szCs w:val="22"/>
              </w:rPr>
            </w:pPr>
            <w:r w:rsidRPr="008F32F4">
              <w:rPr>
                <w:rFonts w:eastAsia="Calibri"/>
                <w:bCs/>
                <w:color w:val="000000"/>
                <w:sz w:val="22"/>
                <w:szCs w:val="22"/>
              </w:rPr>
              <w:t>36</w:t>
            </w:r>
          </w:p>
        </w:tc>
        <w:tc>
          <w:tcPr>
            <w:tcW w:w="700" w:type="pct"/>
          </w:tcPr>
          <w:p w:rsidR="00D40179" w:rsidRPr="00E5619C" w:rsidRDefault="00F46A90" w:rsidP="00D42476">
            <w:pPr>
              <w:jc w:val="center"/>
              <w:rPr>
                <w:rFonts w:eastAsia="Calibri"/>
                <w:bCs/>
                <w:color w:val="000000"/>
                <w:sz w:val="22"/>
                <w:szCs w:val="22"/>
              </w:rPr>
            </w:pPr>
            <w:r>
              <w:rPr>
                <w:rFonts w:eastAsia="Calibri"/>
                <w:bCs/>
                <w:color w:val="000000"/>
                <w:sz w:val="22"/>
                <w:szCs w:val="22"/>
              </w:rPr>
              <w:t>37</w:t>
            </w:r>
          </w:p>
        </w:tc>
        <w:tc>
          <w:tcPr>
            <w:tcW w:w="700" w:type="pct"/>
          </w:tcPr>
          <w:p w:rsidR="00D40179" w:rsidRPr="00E5619C" w:rsidRDefault="00F46A90" w:rsidP="00F46A90">
            <w:pPr>
              <w:jc w:val="center"/>
              <w:rPr>
                <w:rFonts w:eastAsia="Calibri"/>
                <w:bCs/>
                <w:color w:val="000000"/>
                <w:sz w:val="22"/>
                <w:szCs w:val="22"/>
              </w:rPr>
            </w:pPr>
            <w:r w:rsidRPr="00E5619C">
              <w:rPr>
                <w:rFonts w:eastAsia="Calibri"/>
                <w:bCs/>
                <w:color w:val="000000"/>
                <w:sz w:val="22"/>
                <w:szCs w:val="22"/>
              </w:rPr>
              <w:t>3</w:t>
            </w:r>
            <w:r>
              <w:rPr>
                <w:rFonts w:eastAsia="Calibri"/>
                <w:bCs/>
                <w:color w:val="000000"/>
                <w:sz w:val="22"/>
                <w:szCs w:val="22"/>
              </w:rPr>
              <w:t>8</w:t>
            </w:r>
          </w:p>
        </w:tc>
        <w:tc>
          <w:tcPr>
            <w:tcW w:w="700" w:type="pct"/>
          </w:tcPr>
          <w:p w:rsidR="00D40179" w:rsidRPr="00E5619C" w:rsidRDefault="00A82636" w:rsidP="00D42476">
            <w:pPr>
              <w:jc w:val="center"/>
              <w:rPr>
                <w:rFonts w:eastAsia="Calibri"/>
                <w:bCs/>
                <w:color w:val="000000"/>
                <w:sz w:val="22"/>
                <w:szCs w:val="22"/>
              </w:rPr>
            </w:pPr>
            <w:r>
              <w:rPr>
                <w:rFonts w:eastAsia="Calibri"/>
                <w:bCs/>
                <w:color w:val="000000"/>
                <w:sz w:val="22"/>
                <w:szCs w:val="22"/>
              </w:rPr>
              <w:t>39</w:t>
            </w:r>
          </w:p>
        </w:tc>
        <w:tc>
          <w:tcPr>
            <w:tcW w:w="700" w:type="pct"/>
          </w:tcPr>
          <w:p w:rsidR="00D40179" w:rsidRPr="00E5619C" w:rsidRDefault="00A82636" w:rsidP="00CF2614">
            <w:pPr>
              <w:jc w:val="center"/>
              <w:rPr>
                <w:rFonts w:eastAsia="Calibri"/>
                <w:bCs/>
                <w:color w:val="000000"/>
                <w:sz w:val="22"/>
                <w:szCs w:val="22"/>
              </w:rPr>
            </w:pPr>
            <w:r>
              <w:rPr>
                <w:rFonts w:eastAsia="Calibri"/>
                <w:bCs/>
                <w:color w:val="000000"/>
                <w:sz w:val="22"/>
                <w:szCs w:val="22"/>
              </w:rPr>
              <w:t>4</w:t>
            </w:r>
            <w:r w:rsidR="00CF2614">
              <w:rPr>
                <w:rFonts w:eastAsia="Calibri"/>
                <w:bCs/>
                <w:color w:val="000000"/>
                <w:sz w:val="22"/>
                <w:szCs w:val="22"/>
              </w:rPr>
              <w:t>4</w:t>
            </w:r>
          </w:p>
        </w:tc>
      </w:tr>
      <w:tr w:rsidR="00D40179" w:rsidRPr="00E362AB" w:rsidTr="00E177B1">
        <w:tc>
          <w:tcPr>
            <w:tcW w:w="733" w:type="pct"/>
            <w:vMerge w:val="restart"/>
          </w:tcPr>
          <w:p w:rsidR="00D40179" w:rsidRPr="00E5619C" w:rsidRDefault="00D40179" w:rsidP="00D42476">
            <w:pPr>
              <w:rPr>
                <w:rFonts w:eastAsia="Calibri"/>
                <w:bCs/>
                <w:color w:val="000000"/>
                <w:sz w:val="22"/>
                <w:szCs w:val="22"/>
              </w:rPr>
            </w:pPr>
            <w:r w:rsidRPr="00E5619C">
              <w:rPr>
                <w:rFonts w:eastAsia="Calibri"/>
                <w:bCs/>
                <w:color w:val="000000"/>
                <w:sz w:val="22"/>
                <w:szCs w:val="22"/>
              </w:rPr>
              <w:t>Ieguvuši kvalifikāciju</w:t>
            </w:r>
          </w:p>
        </w:tc>
        <w:tc>
          <w:tcPr>
            <w:tcW w:w="769" w:type="pct"/>
          </w:tcPr>
          <w:p w:rsidR="00D40179" w:rsidRPr="00E5619C" w:rsidRDefault="00D40179" w:rsidP="00D42476">
            <w:pPr>
              <w:rPr>
                <w:rFonts w:eastAsia="Calibri"/>
                <w:bCs/>
                <w:color w:val="000000"/>
                <w:sz w:val="22"/>
                <w:szCs w:val="22"/>
              </w:rPr>
            </w:pPr>
            <w:r w:rsidRPr="00E5619C">
              <w:rPr>
                <w:rFonts w:eastAsia="Calibri"/>
                <w:bCs/>
                <w:color w:val="000000"/>
                <w:sz w:val="22"/>
                <w:szCs w:val="22"/>
              </w:rPr>
              <w:t>skaits</w:t>
            </w:r>
          </w:p>
          <w:p w:rsidR="00D40179" w:rsidRPr="00E5619C" w:rsidRDefault="00D40179" w:rsidP="00D42476">
            <w:pPr>
              <w:rPr>
                <w:rFonts w:eastAsia="Calibri"/>
                <w:bCs/>
                <w:color w:val="000000"/>
                <w:sz w:val="22"/>
                <w:szCs w:val="22"/>
              </w:rPr>
            </w:pPr>
          </w:p>
        </w:tc>
        <w:tc>
          <w:tcPr>
            <w:tcW w:w="700" w:type="pct"/>
          </w:tcPr>
          <w:p w:rsidR="00D40179" w:rsidRPr="00E5619C" w:rsidRDefault="00F46A90" w:rsidP="00D42476">
            <w:pPr>
              <w:jc w:val="center"/>
              <w:rPr>
                <w:rFonts w:eastAsia="Calibri"/>
                <w:bCs/>
                <w:color w:val="000000"/>
                <w:sz w:val="22"/>
                <w:szCs w:val="22"/>
              </w:rPr>
            </w:pPr>
            <w:r>
              <w:rPr>
                <w:rFonts w:eastAsia="Calibri"/>
                <w:bCs/>
                <w:color w:val="000000"/>
                <w:sz w:val="22"/>
                <w:szCs w:val="22"/>
              </w:rPr>
              <w:t>1105</w:t>
            </w:r>
          </w:p>
        </w:tc>
        <w:tc>
          <w:tcPr>
            <w:tcW w:w="700" w:type="pct"/>
          </w:tcPr>
          <w:p w:rsidR="00D40179" w:rsidRPr="00E5619C" w:rsidRDefault="00F46A90" w:rsidP="00D42476">
            <w:pPr>
              <w:jc w:val="center"/>
              <w:rPr>
                <w:rFonts w:eastAsia="Calibri"/>
                <w:bCs/>
                <w:color w:val="000000"/>
                <w:sz w:val="22"/>
                <w:szCs w:val="22"/>
              </w:rPr>
            </w:pPr>
            <w:r>
              <w:rPr>
                <w:rFonts w:eastAsia="Calibri"/>
                <w:bCs/>
                <w:color w:val="000000"/>
                <w:sz w:val="22"/>
                <w:szCs w:val="22"/>
              </w:rPr>
              <w:t>1407</w:t>
            </w:r>
          </w:p>
        </w:tc>
        <w:tc>
          <w:tcPr>
            <w:tcW w:w="700" w:type="pct"/>
          </w:tcPr>
          <w:p w:rsidR="00D40179" w:rsidRPr="00E5619C" w:rsidRDefault="00F46A90" w:rsidP="00941261">
            <w:pPr>
              <w:jc w:val="center"/>
              <w:rPr>
                <w:rFonts w:eastAsia="Calibri"/>
                <w:bCs/>
                <w:color w:val="000000"/>
                <w:sz w:val="22"/>
                <w:szCs w:val="22"/>
              </w:rPr>
            </w:pPr>
            <w:r>
              <w:rPr>
                <w:rFonts w:eastAsia="Calibri"/>
                <w:bCs/>
                <w:color w:val="000000"/>
                <w:sz w:val="22"/>
                <w:szCs w:val="22"/>
              </w:rPr>
              <w:t>1102</w:t>
            </w:r>
          </w:p>
        </w:tc>
        <w:tc>
          <w:tcPr>
            <w:tcW w:w="700" w:type="pct"/>
          </w:tcPr>
          <w:p w:rsidR="00D40179" w:rsidRPr="00E5619C" w:rsidRDefault="00F46A90" w:rsidP="00D42476">
            <w:pPr>
              <w:jc w:val="center"/>
              <w:rPr>
                <w:rFonts w:eastAsia="Calibri"/>
                <w:bCs/>
                <w:color w:val="000000"/>
                <w:sz w:val="22"/>
                <w:szCs w:val="22"/>
              </w:rPr>
            </w:pPr>
            <w:r>
              <w:rPr>
                <w:rFonts w:eastAsia="Calibri"/>
                <w:bCs/>
                <w:color w:val="000000"/>
                <w:sz w:val="22"/>
                <w:szCs w:val="22"/>
              </w:rPr>
              <w:t>1256</w:t>
            </w:r>
          </w:p>
        </w:tc>
        <w:tc>
          <w:tcPr>
            <w:tcW w:w="700" w:type="pct"/>
          </w:tcPr>
          <w:p w:rsidR="00D40179" w:rsidRPr="00E5619C" w:rsidDel="006851AF" w:rsidRDefault="00D40179" w:rsidP="00D42476">
            <w:pPr>
              <w:jc w:val="center"/>
              <w:rPr>
                <w:rFonts w:eastAsia="Calibri"/>
                <w:bCs/>
                <w:color w:val="000000"/>
                <w:sz w:val="22"/>
                <w:szCs w:val="22"/>
              </w:rPr>
            </w:pPr>
          </w:p>
        </w:tc>
      </w:tr>
      <w:tr w:rsidR="00D40179" w:rsidRPr="00E362AB" w:rsidTr="00E177B1">
        <w:tc>
          <w:tcPr>
            <w:tcW w:w="733" w:type="pct"/>
            <w:vMerge/>
          </w:tcPr>
          <w:p w:rsidR="00D40179" w:rsidRPr="00E5619C" w:rsidRDefault="00D40179" w:rsidP="00D42476">
            <w:pPr>
              <w:rPr>
                <w:rFonts w:eastAsia="Calibri"/>
                <w:bCs/>
                <w:color w:val="000000"/>
                <w:sz w:val="22"/>
                <w:szCs w:val="22"/>
              </w:rPr>
            </w:pPr>
          </w:p>
        </w:tc>
        <w:tc>
          <w:tcPr>
            <w:tcW w:w="769" w:type="pct"/>
          </w:tcPr>
          <w:p w:rsidR="00D40179" w:rsidRPr="00E5619C" w:rsidRDefault="00D40179" w:rsidP="00D42476">
            <w:pPr>
              <w:rPr>
                <w:rFonts w:eastAsia="Calibri"/>
                <w:bCs/>
                <w:color w:val="000000"/>
                <w:sz w:val="22"/>
                <w:szCs w:val="22"/>
              </w:rPr>
            </w:pPr>
            <w:r w:rsidRPr="00E5619C">
              <w:rPr>
                <w:rFonts w:eastAsia="Calibri"/>
                <w:bCs/>
                <w:color w:val="000000"/>
                <w:sz w:val="22"/>
                <w:szCs w:val="22"/>
              </w:rPr>
              <w:t xml:space="preserve">īpatsvars, % pret kopējo </w:t>
            </w:r>
            <w:r>
              <w:rPr>
                <w:rFonts w:eastAsia="Calibri"/>
                <w:bCs/>
                <w:color w:val="000000"/>
                <w:sz w:val="22"/>
                <w:szCs w:val="22"/>
              </w:rPr>
              <w:t xml:space="preserve">koledžu </w:t>
            </w:r>
            <w:r w:rsidRPr="00E5619C">
              <w:rPr>
                <w:rFonts w:eastAsia="Calibri"/>
                <w:bCs/>
                <w:color w:val="000000"/>
                <w:sz w:val="22"/>
                <w:szCs w:val="22"/>
              </w:rPr>
              <w:t>absolventu skaitu</w:t>
            </w:r>
          </w:p>
        </w:tc>
        <w:tc>
          <w:tcPr>
            <w:tcW w:w="700" w:type="pct"/>
          </w:tcPr>
          <w:p w:rsidR="00D40179" w:rsidRPr="00E5619C" w:rsidRDefault="00A82636" w:rsidP="00A82636">
            <w:pPr>
              <w:jc w:val="center"/>
              <w:rPr>
                <w:rFonts w:eastAsia="Calibri"/>
                <w:bCs/>
                <w:color w:val="000000"/>
                <w:sz w:val="22"/>
                <w:szCs w:val="22"/>
              </w:rPr>
            </w:pPr>
            <w:r>
              <w:rPr>
                <w:rFonts w:eastAsia="Calibri"/>
                <w:bCs/>
                <w:color w:val="000000"/>
                <w:sz w:val="22"/>
                <w:szCs w:val="22"/>
              </w:rPr>
              <w:t>46</w:t>
            </w:r>
          </w:p>
        </w:tc>
        <w:tc>
          <w:tcPr>
            <w:tcW w:w="700" w:type="pct"/>
          </w:tcPr>
          <w:p w:rsidR="00D40179" w:rsidRPr="00E5619C" w:rsidRDefault="00A82636" w:rsidP="00A82636">
            <w:pPr>
              <w:jc w:val="center"/>
              <w:rPr>
                <w:rFonts w:eastAsia="Calibri"/>
                <w:bCs/>
                <w:color w:val="000000"/>
                <w:sz w:val="22"/>
                <w:szCs w:val="22"/>
              </w:rPr>
            </w:pPr>
            <w:r>
              <w:rPr>
                <w:rFonts w:eastAsia="Calibri"/>
                <w:bCs/>
                <w:color w:val="000000"/>
                <w:sz w:val="22"/>
                <w:szCs w:val="22"/>
              </w:rPr>
              <w:t>47</w:t>
            </w:r>
          </w:p>
        </w:tc>
        <w:tc>
          <w:tcPr>
            <w:tcW w:w="700" w:type="pct"/>
          </w:tcPr>
          <w:p w:rsidR="00D40179" w:rsidRPr="00E5619C" w:rsidRDefault="00A82636" w:rsidP="00A82636">
            <w:pPr>
              <w:jc w:val="center"/>
              <w:rPr>
                <w:rFonts w:eastAsia="Calibri"/>
                <w:bCs/>
                <w:color w:val="000000"/>
                <w:sz w:val="22"/>
                <w:szCs w:val="22"/>
              </w:rPr>
            </w:pPr>
            <w:r>
              <w:rPr>
                <w:rFonts w:eastAsia="Calibri"/>
                <w:bCs/>
                <w:color w:val="000000"/>
                <w:sz w:val="22"/>
                <w:szCs w:val="22"/>
              </w:rPr>
              <w:t>43</w:t>
            </w:r>
          </w:p>
        </w:tc>
        <w:tc>
          <w:tcPr>
            <w:tcW w:w="700" w:type="pct"/>
          </w:tcPr>
          <w:p w:rsidR="00D40179" w:rsidRPr="00E5619C" w:rsidRDefault="000C4653" w:rsidP="00D42476">
            <w:pPr>
              <w:jc w:val="center"/>
              <w:rPr>
                <w:rFonts w:eastAsia="Calibri"/>
                <w:bCs/>
                <w:color w:val="000000"/>
                <w:sz w:val="22"/>
                <w:szCs w:val="22"/>
              </w:rPr>
            </w:pPr>
            <w:r>
              <w:rPr>
                <w:rFonts w:eastAsia="Calibri"/>
                <w:bCs/>
                <w:color w:val="000000"/>
                <w:sz w:val="22"/>
                <w:szCs w:val="22"/>
              </w:rPr>
              <w:t>45</w:t>
            </w:r>
          </w:p>
        </w:tc>
        <w:tc>
          <w:tcPr>
            <w:tcW w:w="700" w:type="pct"/>
          </w:tcPr>
          <w:p w:rsidR="00D40179" w:rsidRPr="00E5619C" w:rsidDel="006851AF" w:rsidRDefault="00D40179" w:rsidP="00D42476">
            <w:pPr>
              <w:jc w:val="center"/>
              <w:rPr>
                <w:rFonts w:eastAsia="Calibri"/>
                <w:bCs/>
                <w:color w:val="000000"/>
                <w:sz w:val="22"/>
                <w:szCs w:val="22"/>
              </w:rPr>
            </w:pPr>
          </w:p>
        </w:tc>
      </w:tr>
    </w:tbl>
    <w:p w:rsidR="00D42476" w:rsidRPr="00976030" w:rsidRDefault="00976030" w:rsidP="00D42476">
      <w:pPr>
        <w:spacing w:after="120"/>
        <w:rPr>
          <w:i/>
        </w:rPr>
      </w:pPr>
      <w:r w:rsidRPr="00976030">
        <w:rPr>
          <w:i/>
        </w:rPr>
        <w:t>Avots: IZM dati</w:t>
      </w:r>
    </w:p>
    <w:p w:rsidR="00D40179" w:rsidRDefault="00513772" w:rsidP="00513772">
      <w:pPr>
        <w:spacing w:after="120"/>
        <w:ind w:firstLine="720"/>
        <w:jc w:val="right"/>
      </w:pPr>
      <w:r>
        <w:t>1.</w:t>
      </w:r>
      <w:r w:rsidR="000C7B95">
        <w:t>11</w:t>
      </w:r>
      <w:r>
        <w:t>.attēls</w:t>
      </w:r>
    </w:p>
    <w:p w:rsidR="00513772" w:rsidRDefault="00513772" w:rsidP="00513772">
      <w:pPr>
        <w:spacing w:after="120"/>
        <w:jc w:val="center"/>
        <w:rPr>
          <w:rFonts w:eastAsia="Calibri"/>
          <w:b/>
          <w:bCs/>
          <w:color w:val="000000"/>
          <w:szCs w:val="24"/>
          <w:lang w:eastAsia="lv-LV"/>
        </w:rPr>
      </w:pPr>
      <w:r w:rsidRPr="00567312">
        <w:rPr>
          <w:rFonts w:eastAsia="Calibri"/>
          <w:b/>
          <w:bCs/>
          <w:color w:val="000000"/>
          <w:szCs w:val="24"/>
          <w:lang w:eastAsia="lv-LV"/>
        </w:rPr>
        <w:t>Koledžās imatrikulēto, studējošo un kvalifikāciju ieguvušo skaita izmaiņas STEM jomā laika posmā no 2011./2012. – 201</w:t>
      </w:r>
      <w:r>
        <w:rPr>
          <w:rFonts w:eastAsia="Calibri"/>
          <w:b/>
          <w:bCs/>
          <w:color w:val="000000"/>
          <w:szCs w:val="24"/>
          <w:lang w:eastAsia="lv-LV"/>
        </w:rPr>
        <w:t>5</w:t>
      </w:r>
      <w:r w:rsidRPr="00567312">
        <w:rPr>
          <w:rFonts w:eastAsia="Calibri"/>
          <w:b/>
          <w:bCs/>
          <w:color w:val="000000"/>
          <w:szCs w:val="24"/>
          <w:lang w:eastAsia="lv-LV"/>
        </w:rPr>
        <w:t>./201</w:t>
      </w:r>
      <w:r>
        <w:rPr>
          <w:rFonts w:eastAsia="Calibri"/>
          <w:b/>
          <w:bCs/>
          <w:color w:val="000000"/>
          <w:szCs w:val="24"/>
          <w:lang w:eastAsia="lv-LV"/>
        </w:rPr>
        <w:t>6</w:t>
      </w:r>
      <w:r w:rsidRPr="00567312">
        <w:rPr>
          <w:rFonts w:eastAsia="Calibri"/>
          <w:b/>
          <w:bCs/>
          <w:color w:val="000000"/>
          <w:szCs w:val="24"/>
          <w:lang w:eastAsia="lv-LV"/>
        </w:rPr>
        <w:t>.ak.gadam</w:t>
      </w:r>
    </w:p>
    <w:p w:rsidR="00513772" w:rsidRDefault="00513772" w:rsidP="00513772">
      <w:pPr>
        <w:spacing w:after="120"/>
        <w:jc w:val="center"/>
        <w:rPr>
          <w:rFonts w:eastAsia="Calibri"/>
          <w:b/>
          <w:bCs/>
          <w:color w:val="000000"/>
          <w:szCs w:val="24"/>
          <w:lang w:eastAsia="lv-LV"/>
        </w:rPr>
      </w:pPr>
    </w:p>
    <w:p w:rsidR="00CF2614" w:rsidRDefault="00CF2614" w:rsidP="00513772">
      <w:pPr>
        <w:spacing w:after="120"/>
        <w:jc w:val="center"/>
        <w:rPr>
          <w:rFonts w:eastAsia="Calibri"/>
          <w:b/>
          <w:bCs/>
          <w:color w:val="000000"/>
          <w:szCs w:val="24"/>
          <w:lang w:eastAsia="lv-LV"/>
        </w:rPr>
      </w:pPr>
    </w:p>
    <w:p w:rsidR="00CF2614" w:rsidRDefault="006917B8" w:rsidP="00513772">
      <w:pPr>
        <w:spacing w:after="120"/>
        <w:jc w:val="center"/>
        <w:rPr>
          <w:rFonts w:eastAsia="Calibri"/>
          <w:b/>
          <w:bCs/>
          <w:color w:val="000000"/>
          <w:szCs w:val="24"/>
          <w:lang w:eastAsia="lv-LV"/>
        </w:rPr>
      </w:pPr>
      <w:r>
        <w:rPr>
          <w:noProof/>
          <w:lang w:eastAsia="lv-LV"/>
        </w:rPr>
        <w:drawing>
          <wp:inline distT="0" distB="0" distL="0" distR="0">
            <wp:extent cx="4572000" cy="27432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579B9" w:rsidRDefault="000579B9" w:rsidP="00513772">
      <w:pPr>
        <w:spacing w:after="120"/>
        <w:jc w:val="center"/>
        <w:rPr>
          <w:rFonts w:eastAsia="Calibri"/>
          <w:b/>
          <w:bCs/>
          <w:color w:val="000000"/>
          <w:szCs w:val="24"/>
          <w:lang w:eastAsia="lv-LV"/>
        </w:rPr>
      </w:pPr>
    </w:p>
    <w:p w:rsidR="00513772" w:rsidRDefault="00513772" w:rsidP="00513772">
      <w:pPr>
        <w:autoSpaceDE w:val="0"/>
        <w:autoSpaceDN w:val="0"/>
        <w:adjustRightInd w:val="0"/>
        <w:rPr>
          <w:rFonts w:eastAsia="Calibri"/>
          <w:i/>
          <w:szCs w:val="24"/>
          <w:lang w:eastAsia="lv-LV"/>
        </w:rPr>
      </w:pPr>
      <w:r w:rsidRPr="001350B8">
        <w:rPr>
          <w:rFonts w:eastAsia="Calibri"/>
          <w:i/>
          <w:szCs w:val="24"/>
          <w:lang w:eastAsia="lv-LV"/>
        </w:rPr>
        <w:t>Avots: IZM dati</w:t>
      </w:r>
    </w:p>
    <w:p w:rsidR="00D40179" w:rsidRDefault="00D40179" w:rsidP="000423B7">
      <w:pPr>
        <w:spacing w:after="120"/>
        <w:ind w:firstLine="720"/>
      </w:pPr>
    </w:p>
    <w:p w:rsidR="00D42476" w:rsidRDefault="00D42476" w:rsidP="00D42476">
      <w:pPr>
        <w:spacing w:after="120"/>
        <w:ind w:firstLine="720"/>
        <w:rPr>
          <w:szCs w:val="24"/>
        </w:rPr>
      </w:pPr>
      <w:r>
        <w:rPr>
          <w:szCs w:val="24"/>
        </w:rPr>
        <w:t xml:space="preserve">Ņemot vērā to, ka IZM īstenotie </w:t>
      </w:r>
      <w:r>
        <w:rPr>
          <w:szCs w:val="26"/>
        </w:rPr>
        <w:t>i</w:t>
      </w:r>
      <w:r w:rsidRPr="00927536">
        <w:rPr>
          <w:szCs w:val="26"/>
        </w:rPr>
        <w:t>zglītības politikas pasākumi paredz palielināt pamatskolu beigušo skolēnu interesi par profesionālo vidējo izglītību, līdzsvarojot vidusskolās un profesionālās izglītības iestādes turpinošo skolēnu skaitu</w:t>
      </w:r>
      <w:r>
        <w:rPr>
          <w:szCs w:val="26"/>
        </w:rPr>
        <w:t xml:space="preserve"> un līdz </w:t>
      </w:r>
      <w:r w:rsidRPr="00927536">
        <w:rPr>
          <w:szCs w:val="26"/>
        </w:rPr>
        <w:t xml:space="preserve">2020.gadam </w:t>
      </w:r>
      <w:r>
        <w:rPr>
          <w:szCs w:val="26"/>
        </w:rPr>
        <w:t>panākt</w:t>
      </w:r>
      <w:r w:rsidRPr="00927536">
        <w:rPr>
          <w:szCs w:val="26"/>
        </w:rPr>
        <w:t>, ka profesionālā vidējā izglītībā mācās vismaz 50</w:t>
      </w:r>
      <w:r w:rsidR="000003FD">
        <w:rPr>
          <w:szCs w:val="26"/>
        </w:rPr>
        <w:t xml:space="preserve"> </w:t>
      </w:r>
      <w:r w:rsidRPr="00927536">
        <w:rPr>
          <w:szCs w:val="26"/>
        </w:rPr>
        <w:t>% no kopējā vidējā izglītī</w:t>
      </w:r>
      <w:r>
        <w:rPr>
          <w:szCs w:val="26"/>
        </w:rPr>
        <w:t xml:space="preserve">bas pakāpē esošo </w:t>
      </w:r>
      <w:r w:rsidRPr="00956DD7">
        <w:rPr>
          <w:szCs w:val="26"/>
        </w:rPr>
        <w:t>skolēnu skaita</w:t>
      </w:r>
      <w:r w:rsidRPr="00956DD7">
        <w:rPr>
          <w:rStyle w:val="FootnoteReference"/>
          <w:szCs w:val="26"/>
        </w:rPr>
        <w:footnoteReference w:id="21"/>
      </w:r>
      <w:r w:rsidRPr="00956DD7">
        <w:rPr>
          <w:szCs w:val="26"/>
        </w:rPr>
        <w:t xml:space="preserve">, </w:t>
      </w:r>
      <w:r>
        <w:rPr>
          <w:szCs w:val="24"/>
        </w:rPr>
        <w:t>prognozējams, ka koledžās pieaugs imatrikulēto studentu skaits un īpatsvars ar profesionālo vidējo izglītību</w:t>
      </w:r>
      <w:r w:rsidRPr="00C43414">
        <w:rPr>
          <w:szCs w:val="24"/>
        </w:rPr>
        <w:t>.</w:t>
      </w:r>
      <w:r>
        <w:rPr>
          <w:szCs w:val="24"/>
        </w:rPr>
        <w:t xml:space="preserve"> </w:t>
      </w:r>
    </w:p>
    <w:p w:rsidR="00D42476" w:rsidRDefault="00D42476" w:rsidP="00D42476">
      <w:pPr>
        <w:spacing w:after="120"/>
        <w:ind w:firstLine="720"/>
        <w:rPr>
          <w:szCs w:val="26"/>
        </w:rPr>
      </w:pPr>
      <w:r>
        <w:rPr>
          <w:szCs w:val="26"/>
        </w:rPr>
        <w:t xml:space="preserve">Vienlaikus </w:t>
      </w:r>
      <w:r>
        <w:rPr>
          <w:szCs w:val="24"/>
        </w:rPr>
        <w:t xml:space="preserve">IZM turpmāk īstenotie </w:t>
      </w:r>
      <w:r>
        <w:rPr>
          <w:szCs w:val="26"/>
        </w:rPr>
        <w:t>i</w:t>
      </w:r>
      <w:r w:rsidRPr="00927536">
        <w:rPr>
          <w:szCs w:val="26"/>
        </w:rPr>
        <w:t xml:space="preserve">zglītības politikas pasākumi </w:t>
      </w:r>
      <w:r>
        <w:rPr>
          <w:szCs w:val="26"/>
        </w:rPr>
        <w:t xml:space="preserve">veicinās visu izglītības pakāpju izglītojamo interesi par dabas un eksaktajām zinātnēm, līdz ar to prognozējams, ka palielināsies to jauniešu skaits, kas izvēlēsies studijas koledžās dabas zinātņu, informācijas tehnoloģiju, inženierzinātņu, ražošanas un būvniecības jomā. </w:t>
      </w:r>
    </w:p>
    <w:p w:rsidR="003F34D8" w:rsidRDefault="003F34D8" w:rsidP="003F34D8">
      <w:pPr>
        <w:pStyle w:val="Heading2"/>
        <w:rPr>
          <w:noProof/>
          <w:color w:val="365F91" w:themeColor="accent1" w:themeShade="BF"/>
          <w:lang w:eastAsia="lv-LV"/>
        </w:rPr>
      </w:pPr>
    </w:p>
    <w:p w:rsidR="00D42476" w:rsidRDefault="00D42476" w:rsidP="003F34D8">
      <w:pPr>
        <w:pStyle w:val="Heading2"/>
        <w:rPr>
          <w:noProof/>
          <w:lang w:eastAsia="lv-LV"/>
        </w:rPr>
      </w:pPr>
      <w:bookmarkStart w:id="12" w:name="_Toc445290191"/>
      <w:r w:rsidRPr="00D42476">
        <w:rPr>
          <w:noProof/>
          <w:color w:val="365F91" w:themeColor="accent1" w:themeShade="BF"/>
          <w:lang w:eastAsia="lv-LV"/>
        </w:rPr>
        <w:t>1.5.</w:t>
      </w:r>
      <w:r w:rsidRPr="00D42476">
        <w:rPr>
          <w:noProof/>
          <w:lang w:eastAsia="lv-LV"/>
        </w:rPr>
        <w:t xml:space="preserve"> Koledžās īstenoto STEM</w:t>
      </w:r>
      <w:r w:rsidR="00995E5A">
        <w:rPr>
          <w:noProof/>
          <w:lang w:eastAsia="lv-LV"/>
        </w:rPr>
        <w:t xml:space="preserve"> </w:t>
      </w:r>
      <w:r w:rsidRPr="00D42476">
        <w:rPr>
          <w:noProof/>
          <w:lang w:eastAsia="lv-LV"/>
        </w:rPr>
        <w:t>studiju programmu raksturojums</w:t>
      </w:r>
      <w:bookmarkEnd w:id="12"/>
    </w:p>
    <w:p w:rsidR="003F34D8" w:rsidRPr="003F34D8" w:rsidRDefault="003F34D8" w:rsidP="003F34D8">
      <w:pPr>
        <w:rPr>
          <w:rFonts w:eastAsia="Calibri"/>
          <w:lang w:eastAsia="lv-LV"/>
        </w:rPr>
      </w:pPr>
    </w:p>
    <w:p w:rsidR="00D42476" w:rsidRDefault="001350B8" w:rsidP="00976030">
      <w:pPr>
        <w:pStyle w:val="Default"/>
        <w:ind w:firstLine="720"/>
        <w:jc w:val="both"/>
      </w:pPr>
      <w:r w:rsidRPr="00381D21">
        <w:t>201</w:t>
      </w:r>
      <w:r w:rsidR="000C4653" w:rsidRPr="00381D21">
        <w:t>5</w:t>
      </w:r>
      <w:r w:rsidRPr="00381D21">
        <w:t>./201</w:t>
      </w:r>
      <w:r w:rsidR="000C4653" w:rsidRPr="00381D21">
        <w:t>6</w:t>
      </w:r>
      <w:r w:rsidRPr="00381D21">
        <w:t>.ak.gadā</w:t>
      </w:r>
      <w:r w:rsidR="00D42476" w:rsidRPr="00381D21">
        <w:t xml:space="preserve"> Latvijas koledžās kopumā tika īstenotas </w:t>
      </w:r>
      <w:r w:rsidR="00D24E28">
        <w:t xml:space="preserve">30 </w:t>
      </w:r>
      <w:r w:rsidR="00D42476">
        <w:t>dažādas</w:t>
      </w:r>
      <w:r w:rsidR="000C4653">
        <w:t xml:space="preserve"> </w:t>
      </w:r>
      <w:r w:rsidR="00D42476">
        <w:t xml:space="preserve">pirmā līmeņa profesionālās augstākās izglītības studiju programmas STEM jomā. 5 no šīm programmām tiek īstenotas vairākās koledžās, bet </w:t>
      </w:r>
      <w:r w:rsidR="00D24E28">
        <w:t xml:space="preserve">25 </w:t>
      </w:r>
      <w:r w:rsidR="00D42476">
        <w:t xml:space="preserve">programmas – vienā koledžā. No </w:t>
      </w:r>
      <w:r w:rsidR="00D24E28">
        <w:t xml:space="preserve">30 </w:t>
      </w:r>
      <w:r w:rsidR="00D42476">
        <w:t xml:space="preserve">studiju programmām 20 attiecas uz </w:t>
      </w:r>
      <w:r w:rsidR="00995E5A">
        <w:t>dabaszinātņu un inženierzinātņu jomu</w:t>
      </w:r>
      <w:r w:rsidR="00D42476">
        <w:t>, 7 programmas – uz medicīnas jomu, 2 programmas – uz radošo industriju jomu</w:t>
      </w:r>
      <w:r w:rsidR="00D24E28">
        <w:t>, bet 1 programma – uz lauksaimniecības jomu</w:t>
      </w:r>
      <w:r w:rsidR="00D42476">
        <w:t>.</w:t>
      </w:r>
      <w:r w:rsidR="0076682D">
        <w:t xml:space="preserve"> Koledžās īstenotās studiju programmas skatīt </w:t>
      </w:r>
      <w:r w:rsidR="000C4653">
        <w:t xml:space="preserve">novērtējuma </w:t>
      </w:r>
      <w:r w:rsidR="0076682D">
        <w:t>1.pielikumā.</w:t>
      </w:r>
    </w:p>
    <w:p w:rsidR="00D42476" w:rsidRDefault="00D42476" w:rsidP="009E59C1">
      <w:pPr>
        <w:pStyle w:val="Default"/>
        <w:ind w:firstLine="720"/>
        <w:jc w:val="both"/>
      </w:pPr>
      <w:r w:rsidRPr="00474FEB">
        <w:t xml:space="preserve">Lai nodrošinātu augstākās izglītības kvalitāti, efektivitāti un starptautisko konkurētspēju, uzlabotu studiju programmu atbilstību tautsaimniecības vajadzībām, veicinātu resursu konsolidāciju, Augstākās izglītības </w:t>
      </w:r>
      <w:r>
        <w:t>p</w:t>
      </w:r>
      <w:r w:rsidRPr="00474FEB">
        <w:t xml:space="preserve">adome (turpmāk </w:t>
      </w:r>
      <w:r w:rsidR="00343DEE">
        <w:t>–</w:t>
      </w:r>
      <w:r w:rsidRPr="00474FEB">
        <w:t xml:space="preserve"> AIP) laika posmā no 2011. gada 9.maija līdz 2013.gada 30. aprīlim īstenoja ESF finansēto projektu „Augstākās izglītības studiju programmu izvērtēšana un priekšlikumi kvalitātes paaugstināšanai”</w:t>
      </w:r>
      <w:r>
        <w:t xml:space="preserve"> (turpmāk – AIP projekts)</w:t>
      </w:r>
      <w:r w:rsidRPr="00474FEB">
        <w:t xml:space="preserve">, kura ietvaros tika veikta detalizēta studiju programmu izvērtēšana augstākās izglītības iestādēs visā Latvijā. Studiju programmu izvērtēšanas projekta mērķis bija izvērtēt Latvijas </w:t>
      </w:r>
      <w:r>
        <w:t>augstākās izglītības institūciju</w:t>
      </w:r>
      <w:r w:rsidRPr="00474FEB">
        <w:t xml:space="preserve"> studiju programmas pēc to kvalitātes, resursu pietiekamības, ilgtspējas, nosakot kvalitatīvākās programmas ar atbilstošu kapacitāti, kvantitatīviem un kvalitatīviem darbības rezultātiem turpmākai īstenošanai, sniedzot ieteikumus par programmu turpmāko uzlabošanu un sagatavojot priekšlikumus studiju virzienos sagrupētu studiju programmu turpmākai pilnveidei, uzlabošanai, attīstībai, konsolidācijai, slēgšanai, starptautiskās konkurētspējas veicināšanai, resursu efektīvai izmantošanai un finansēšanai no valsts budžeta līdzekļiem.</w:t>
      </w:r>
    </w:p>
    <w:p w:rsidR="00D42476" w:rsidRDefault="00D42476" w:rsidP="009E59C1">
      <w:pPr>
        <w:ind w:firstLine="720"/>
        <w:rPr>
          <w:szCs w:val="24"/>
        </w:rPr>
      </w:pPr>
      <w:r>
        <w:rPr>
          <w:szCs w:val="24"/>
        </w:rPr>
        <w:t xml:space="preserve">AIP projekta ietvaros tika veikts pētījums par koledžām, kā rezultātā sagatavots ziņojums </w:t>
      </w:r>
      <w:r w:rsidR="00513772" w:rsidRPr="00164887">
        <w:rPr>
          <w:rFonts w:eastAsia="Calibri"/>
          <w:szCs w:val="24"/>
          <w:lang w:eastAsia="lv-LV"/>
        </w:rPr>
        <w:t>„</w:t>
      </w:r>
      <w:r>
        <w:rPr>
          <w:szCs w:val="24"/>
        </w:rPr>
        <w:t xml:space="preserve">Priekšlikumi turpmākajai studiju programmu, sagrupētu pa studiju virzieniem, pilnveidošanai, uzlabošanai un attīstībai, konsolidēšanai, slēgšanai koledžās”. Galvenie secinājumi, kas izriet no pētījuma, ir </w:t>
      </w:r>
      <w:r w:rsidR="00042BB8">
        <w:rPr>
          <w:szCs w:val="24"/>
        </w:rPr>
        <w:t>šādi</w:t>
      </w:r>
      <w:r>
        <w:rPr>
          <w:szCs w:val="24"/>
        </w:rPr>
        <w:t>:</w:t>
      </w:r>
    </w:p>
    <w:p w:rsidR="00D42476" w:rsidRPr="00CE6DCE" w:rsidRDefault="00D42476" w:rsidP="00722156">
      <w:pPr>
        <w:pStyle w:val="ListParagraph"/>
        <w:numPr>
          <w:ilvl w:val="0"/>
          <w:numId w:val="29"/>
        </w:numPr>
        <w:contextualSpacing/>
        <w:rPr>
          <w:szCs w:val="24"/>
        </w:rPr>
      </w:pPr>
      <w:r w:rsidRPr="00CE6DCE">
        <w:rPr>
          <w:szCs w:val="24"/>
        </w:rPr>
        <w:t>koledžu programmas tiek realizētas atbilstoši paredzamajiem studiju rezultātiem – pēc koledžas absolvēšanas darba tirgū iekļaujas aptuveni 70</w:t>
      </w:r>
      <w:r w:rsidR="000003FD">
        <w:rPr>
          <w:szCs w:val="24"/>
        </w:rPr>
        <w:t xml:space="preserve"> </w:t>
      </w:r>
      <w:r w:rsidRPr="00CE6DCE">
        <w:rPr>
          <w:szCs w:val="24"/>
        </w:rPr>
        <w:t>% - 80</w:t>
      </w:r>
      <w:r w:rsidR="000003FD">
        <w:rPr>
          <w:szCs w:val="24"/>
        </w:rPr>
        <w:t xml:space="preserve"> </w:t>
      </w:r>
      <w:r w:rsidRPr="00CE6DCE">
        <w:rPr>
          <w:szCs w:val="24"/>
        </w:rPr>
        <w:t>% absolventu, studijas nākamajā līmenī turpina 20</w:t>
      </w:r>
      <w:r w:rsidR="000003FD">
        <w:rPr>
          <w:szCs w:val="24"/>
        </w:rPr>
        <w:t xml:space="preserve"> </w:t>
      </w:r>
      <w:r w:rsidRPr="00CE6DCE">
        <w:rPr>
          <w:szCs w:val="24"/>
        </w:rPr>
        <w:t>% - 30</w:t>
      </w:r>
      <w:r w:rsidR="000003FD">
        <w:rPr>
          <w:szCs w:val="24"/>
        </w:rPr>
        <w:t xml:space="preserve"> </w:t>
      </w:r>
      <w:r w:rsidRPr="00CE6DCE">
        <w:rPr>
          <w:szCs w:val="24"/>
        </w:rPr>
        <w:t>% absolventu;</w:t>
      </w:r>
    </w:p>
    <w:p w:rsidR="00D42476" w:rsidRPr="00CE6DCE" w:rsidRDefault="00D42476" w:rsidP="00722156">
      <w:pPr>
        <w:pStyle w:val="ListParagraph"/>
        <w:numPr>
          <w:ilvl w:val="0"/>
          <w:numId w:val="29"/>
        </w:numPr>
        <w:contextualSpacing/>
        <w:rPr>
          <w:szCs w:val="24"/>
        </w:rPr>
      </w:pPr>
      <w:r w:rsidRPr="00CE6DCE">
        <w:rPr>
          <w:szCs w:val="24"/>
        </w:rPr>
        <w:t xml:space="preserve">viens no neatrisinātiem jautājumiem ir zinātniskās darbības nepieciešamība koledžās, - ir izveidojusies paradoksāla situācija: no vienas puses, koledžā iegūstama augstākā izglītība, tātad tajās jāveic zinātniskā darbība, no otras puses, </w:t>
      </w:r>
      <w:r w:rsidRPr="00CE6DCE">
        <w:rPr>
          <w:rFonts w:ascii="Open Sans" w:hAnsi="Open Sans" w:cs="Arial"/>
        </w:rPr>
        <w:t>Augstskolu likumā nav noteikta prasība veikt zinātnisko darbību koledžās;</w:t>
      </w:r>
      <w:r w:rsidRPr="00CE6DCE">
        <w:rPr>
          <w:szCs w:val="24"/>
        </w:rPr>
        <w:t xml:space="preserve"> </w:t>
      </w:r>
    </w:p>
    <w:p w:rsidR="00D42476" w:rsidRPr="00CE6DCE" w:rsidRDefault="00D42476" w:rsidP="00722156">
      <w:pPr>
        <w:pStyle w:val="ListParagraph"/>
        <w:numPr>
          <w:ilvl w:val="0"/>
          <w:numId w:val="29"/>
        </w:numPr>
        <w:contextualSpacing/>
        <w:rPr>
          <w:szCs w:val="24"/>
        </w:rPr>
      </w:pPr>
      <w:r w:rsidRPr="00CE6DCE">
        <w:rPr>
          <w:szCs w:val="24"/>
        </w:rPr>
        <w:t xml:space="preserve">viens no augstākās izglītības institūciju kvalitatīvas darbības rādītājiem ir dažādu tālākizglītības un profesionālās pilnveides programmu piedāvājums (neskatoties uz </w:t>
      </w:r>
      <w:r w:rsidRPr="00CE6DCE">
        <w:rPr>
          <w:szCs w:val="24"/>
        </w:rPr>
        <w:lastRenderedPageBreak/>
        <w:t>atsevišķu koledžu aktivitātēm profesionālās pilnveides jomā, tālākizglītības piedāvājums joprojām ir viens no koledžu darbības vājajiem punktiem);</w:t>
      </w:r>
    </w:p>
    <w:p w:rsidR="00D42476" w:rsidRPr="00CE6DCE" w:rsidRDefault="00D42476" w:rsidP="00722156">
      <w:pPr>
        <w:pStyle w:val="ListParagraph"/>
        <w:numPr>
          <w:ilvl w:val="0"/>
          <w:numId w:val="29"/>
        </w:numPr>
        <w:contextualSpacing/>
        <w:rPr>
          <w:szCs w:val="24"/>
        </w:rPr>
      </w:pPr>
      <w:r w:rsidRPr="00CE6DCE">
        <w:rPr>
          <w:szCs w:val="24"/>
        </w:rPr>
        <w:t>koledžu vājais punkts ir starptautiskā sadarbība, studējošo un akadēmiskā personāla mobilitāte;</w:t>
      </w:r>
    </w:p>
    <w:p w:rsidR="00D42476" w:rsidRPr="00CE6DCE" w:rsidRDefault="00D42476" w:rsidP="00722156">
      <w:pPr>
        <w:pStyle w:val="ListParagraph"/>
        <w:numPr>
          <w:ilvl w:val="0"/>
          <w:numId w:val="29"/>
        </w:numPr>
        <w:contextualSpacing/>
        <w:rPr>
          <w:szCs w:val="24"/>
        </w:rPr>
      </w:pPr>
      <w:r w:rsidRPr="00CE6DCE">
        <w:rPr>
          <w:szCs w:val="24"/>
        </w:rPr>
        <w:t>koledžas gandrīz nemaz nestrādā pie kursu modeļu (īpaši svešvalodās) izveides;</w:t>
      </w:r>
    </w:p>
    <w:p w:rsidR="00D42476" w:rsidRPr="00CE6DCE" w:rsidRDefault="00D42476" w:rsidP="00722156">
      <w:pPr>
        <w:pStyle w:val="ListParagraph"/>
        <w:numPr>
          <w:ilvl w:val="0"/>
          <w:numId w:val="29"/>
        </w:numPr>
        <w:contextualSpacing/>
        <w:rPr>
          <w:szCs w:val="24"/>
        </w:rPr>
      </w:pPr>
      <w:r w:rsidRPr="00CE6DCE">
        <w:rPr>
          <w:szCs w:val="24"/>
        </w:rPr>
        <w:t>koledžu akadēmiskajam personālam ir nepietiekošas svešvalodu zināšanas.</w:t>
      </w:r>
      <w:r w:rsidRPr="00CE6DCE">
        <w:rPr>
          <w:rStyle w:val="FootnoteReference"/>
          <w:szCs w:val="24"/>
        </w:rPr>
        <w:footnoteReference w:id="22"/>
      </w:r>
    </w:p>
    <w:p w:rsidR="00D42476" w:rsidRPr="00474FEB" w:rsidRDefault="00D42476" w:rsidP="000423B7">
      <w:pPr>
        <w:ind w:firstLine="720"/>
        <w:rPr>
          <w:szCs w:val="24"/>
        </w:rPr>
      </w:pPr>
      <w:r>
        <w:rPr>
          <w:szCs w:val="24"/>
        </w:rPr>
        <w:t xml:space="preserve">AIP projekta ietvaros studiju programmas </w:t>
      </w:r>
      <w:r w:rsidRPr="00474FEB">
        <w:t>tika vērtētas pēc 4 galvenajiem kritērijiem</w:t>
      </w:r>
      <w:r>
        <w:t xml:space="preserve"> - </w:t>
      </w:r>
      <w:r w:rsidRPr="00474FEB">
        <w:t>kvalitātes, resursu pietiekamības, ilgtspējas, savstarpējās pārklāšanās un sadarbības</w:t>
      </w:r>
      <w:r>
        <w:t>. Izvērtēšanas</w:t>
      </w:r>
      <w:r>
        <w:rPr>
          <w:szCs w:val="24"/>
        </w:rPr>
        <w:t xml:space="preserve"> rezultātā visas programmas </w:t>
      </w:r>
      <w:r w:rsidRPr="00474FEB">
        <w:rPr>
          <w:szCs w:val="24"/>
        </w:rPr>
        <w:t>tika sadalītas trīs grupās:</w:t>
      </w:r>
    </w:p>
    <w:p w:rsidR="00D42476" w:rsidRPr="00474FEB" w:rsidRDefault="00D42476" w:rsidP="000423B7">
      <w:pPr>
        <w:ind w:firstLine="720"/>
        <w:rPr>
          <w:szCs w:val="24"/>
        </w:rPr>
      </w:pPr>
      <w:r w:rsidRPr="00474FEB">
        <w:rPr>
          <w:color w:val="000000"/>
          <w:szCs w:val="24"/>
        </w:rPr>
        <w:t xml:space="preserve">I grupa - programmas, kas ir </w:t>
      </w:r>
      <w:r w:rsidRPr="00474FEB">
        <w:rPr>
          <w:szCs w:val="24"/>
        </w:rPr>
        <w:t>pārliecinoši kvalitatīvas un uzskatāmas par ilgtspējīgām;</w:t>
      </w:r>
    </w:p>
    <w:p w:rsidR="00D42476" w:rsidRPr="00474FEB" w:rsidRDefault="00D42476" w:rsidP="000423B7">
      <w:pPr>
        <w:ind w:firstLine="720"/>
        <w:rPr>
          <w:color w:val="000000"/>
          <w:szCs w:val="24"/>
        </w:rPr>
      </w:pPr>
      <w:r w:rsidRPr="00474FEB">
        <w:rPr>
          <w:color w:val="000000"/>
          <w:szCs w:val="24"/>
        </w:rPr>
        <w:t>II grupa - programmas, kuru īstenošanā ir vērojamas problēmas un kuru ilgstošai pastāvēšanai nepieciešami konkrēti uzlabojumi;</w:t>
      </w:r>
    </w:p>
    <w:p w:rsidR="00D42476" w:rsidRPr="00474FEB" w:rsidRDefault="00D32FE7" w:rsidP="000423B7">
      <w:pPr>
        <w:ind w:firstLine="720"/>
        <w:rPr>
          <w:szCs w:val="24"/>
        </w:rPr>
      </w:pPr>
      <w:r>
        <w:rPr>
          <w:szCs w:val="24"/>
        </w:rPr>
        <w:t xml:space="preserve">III grupa - </w:t>
      </w:r>
      <w:r w:rsidR="00D42476" w:rsidRPr="00474FEB">
        <w:rPr>
          <w:szCs w:val="24"/>
        </w:rPr>
        <w:t>programmas, kuru pastāvēšana ir problemātiska.</w:t>
      </w:r>
    </w:p>
    <w:p w:rsidR="00D42476" w:rsidRPr="00474FEB" w:rsidRDefault="00D42476" w:rsidP="00D42476">
      <w:pPr>
        <w:rPr>
          <w:szCs w:val="24"/>
        </w:rPr>
      </w:pPr>
    </w:p>
    <w:p w:rsidR="00976030" w:rsidRDefault="00D42476" w:rsidP="00976030">
      <w:pPr>
        <w:ind w:firstLine="720"/>
        <w:rPr>
          <w:szCs w:val="24"/>
        </w:rPr>
      </w:pPr>
      <w:r w:rsidRPr="00165E61">
        <w:rPr>
          <w:szCs w:val="24"/>
        </w:rPr>
        <w:t>Attiecībā uz koledžās īstenotajām studiju programmām visaugstāk tika novērtētas programmas, kas attiecas uz medicīnas jomu –</w:t>
      </w:r>
      <w:r>
        <w:rPr>
          <w:szCs w:val="24"/>
        </w:rPr>
        <w:t xml:space="preserve"> </w:t>
      </w:r>
      <w:r w:rsidRPr="00165E61">
        <w:rPr>
          <w:szCs w:val="24"/>
        </w:rPr>
        <w:t>pēc ekspertu vērtējuma tās visas tika iekļautas I grupā</w:t>
      </w:r>
      <w:r>
        <w:rPr>
          <w:szCs w:val="24"/>
        </w:rPr>
        <w:t>, līdz ar to atzītas par kvalitatīvām un ilgtspējīgām.</w:t>
      </w:r>
      <w:r w:rsidRPr="00165E61">
        <w:rPr>
          <w:szCs w:val="24"/>
        </w:rPr>
        <w:t xml:space="preserve"> Zemāk</w:t>
      </w:r>
      <w:r>
        <w:rPr>
          <w:szCs w:val="24"/>
        </w:rPr>
        <w:t>u</w:t>
      </w:r>
      <w:r w:rsidRPr="00165E61">
        <w:rPr>
          <w:szCs w:val="24"/>
        </w:rPr>
        <w:t xml:space="preserve"> vērtējum</w:t>
      </w:r>
      <w:r>
        <w:rPr>
          <w:szCs w:val="24"/>
        </w:rPr>
        <w:t>u</w:t>
      </w:r>
      <w:r w:rsidRPr="00165E61">
        <w:rPr>
          <w:szCs w:val="24"/>
        </w:rPr>
        <w:t xml:space="preserve"> saņ</w:t>
      </w:r>
      <w:r>
        <w:rPr>
          <w:szCs w:val="24"/>
        </w:rPr>
        <w:t>ēma</w:t>
      </w:r>
      <w:r w:rsidRPr="00165E61">
        <w:rPr>
          <w:szCs w:val="24"/>
        </w:rPr>
        <w:t xml:space="preserve"> tā</w:t>
      </w:r>
      <w:r>
        <w:rPr>
          <w:szCs w:val="24"/>
        </w:rPr>
        <w:t>s</w:t>
      </w:r>
      <w:r w:rsidRPr="00165E61">
        <w:rPr>
          <w:szCs w:val="24"/>
        </w:rPr>
        <w:t xml:space="preserve"> programm</w:t>
      </w:r>
      <w:r>
        <w:rPr>
          <w:szCs w:val="24"/>
        </w:rPr>
        <w:t>as</w:t>
      </w:r>
      <w:r w:rsidRPr="00165E61">
        <w:rPr>
          <w:szCs w:val="24"/>
        </w:rPr>
        <w:t xml:space="preserve">, kas attiecas uz </w:t>
      </w:r>
      <w:r w:rsidRPr="00165E61">
        <w:rPr>
          <w:color w:val="000000"/>
          <w:szCs w:val="24"/>
          <w:lang w:eastAsia="lv-LV"/>
        </w:rPr>
        <w:t xml:space="preserve">izglītības tematisko grupu </w:t>
      </w:r>
      <w:r w:rsidRPr="00FB1705">
        <w:rPr>
          <w:i/>
          <w:color w:val="000000"/>
          <w:szCs w:val="24"/>
          <w:lang w:eastAsia="lv-LV"/>
        </w:rPr>
        <w:t>Inženierzinātnes, ražošana un būvniecība</w:t>
      </w:r>
      <w:r>
        <w:rPr>
          <w:color w:val="000000"/>
          <w:szCs w:val="24"/>
          <w:lang w:eastAsia="lv-LV"/>
        </w:rPr>
        <w:t>,</w:t>
      </w:r>
      <w:r w:rsidRPr="00165E61">
        <w:rPr>
          <w:color w:val="000000"/>
          <w:szCs w:val="24"/>
          <w:lang w:eastAsia="lv-LV"/>
        </w:rPr>
        <w:t xml:space="preserve"> kur no </w:t>
      </w:r>
      <w:r>
        <w:rPr>
          <w:color w:val="000000"/>
          <w:szCs w:val="24"/>
          <w:lang w:eastAsia="lv-LV"/>
        </w:rPr>
        <w:t>15 vērtētajām programmām tikai 4 programmas tika iekļautas I grupā</w:t>
      </w:r>
      <w:r w:rsidR="00AD0703">
        <w:rPr>
          <w:color w:val="000000"/>
          <w:szCs w:val="24"/>
          <w:lang w:eastAsia="lv-LV"/>
        </w:rPr>
        <w:t xml:space="preserve"> (</w:t>
      </w:r>
      <w:r w:rsidR="00EB708D" w:rsidRPr="00A24BE0">
        <w:rPr>
          <w:color w:val="000000"/>
          <w:szCs w:val="24"/>
        </w:rPr>
        <w:t xml:space="preserve">Olaines Mehānikas un tehnoloģijas koledžas īstenotās studiju programmas Biotehnoloģija un Pārtikas produktu kvalitātes kontrole, kā arī PIKC </w:t>
      </w:r>
      <w:r w:rsidR="00BE0A88">
        <w:rPr>
          <w:color w:val="000000"/>
          <w:szCs w:val="24"/>
        </w:rPr>
        <w:t>„</w:t>
      </w:r>
      <w:r w:rsidR="00EB708D" w:rsidRPr="00A24BE0">
        <w:rPr>
          <w:color w:val="000000"/>
          <w:szCs w:val="24"/>
        </w:rPr>
        <w:t>Rīgas Tehniskā koledža</w:t>
      </w:r>
      <w:r w:rsidR="00BE0A88">
        <w:rPr>
          <w:color w:val="000000"/>
          <w:szCs w:val="24"/>
        </w:rPr>
        <w:t>”</w:t>
      </w:r>
      <w:r w:rsidR="00EB708D" w:rsidRPr="00A24BE0">
        <w:rPr>
          <w:color w:val="000000"/>
          <w:szCs w:val="24"/>
        </w:rPr>
        <w:t xml:space="preserve"> īstenotās studiju programmas </w:t>
      </w:r>
      <w:proofErr w:type="spellStart"/>
      <w:r w:rsidR="00EB708D" w:rsidRPr="00A24BE0">
        <w:rPr>
          <w:color w:val="000000"/>
          <w:szCs w:val="24"/>
        </w:rPr>
        <w:t>Inženiermehānika</w:t>
      </w:r>
      <w:proofErr w:type="spellEnd"/>
      <w:r w:rsidR="00EB708D" w:rsidRPr="00A24BE0">
        <w:rPr>
          <w:color w:val="000000"/>
          <w:szCs w:val="24"/>
        </w:rPr>
        <w:t xml:space="preserve"> un Telekomunikācijas)</w:t>
      </w:r>
      <w:r w:rsidR="00EB708D" w:rsidRPr="00EB708D">
        <w:rPr>
          <w:color w:val="000000"/>
          <w:szCs w:val="24"/>
          <w:lang w:eastAsia="lv-LV"/>
        </w:rPr>
        <w:t>.</w:t>
      </w:r>
      <w:r w:rsidR="00EB708D">
        <w:rPr>
          <w:color w:val="000000"/>
          <w:szCs w:val="24"/>
          <w:lang w:eastAsia="lv-LV"/>
        </w:rPr>
        <w:t xml:space="preserve"> </w:t>
      </w:r>
      <w:r>
        <w:rPr>
          <w:color w:val="000000"/>
          <w:szCs w:val="24"/>
          <w:lang w:eastAsia="lv-LV"/>
        </w:rPr>
        <w:t xml:space="preserve">Savukārt </w:t>
      </w:r>
      <w:r w:rsidRPr="00B22417">
        <w:rPr>
          <w:color w:val="000000"/>
          <w:szCs w:val="24"/>
          <w:lang w:eastAsia="lv-LV"/>
        </w:rPr>
        <w:t>izglītības tematisk</w:t>
      </w:r>
      <w:r>
        <w:rPr>
          <w:color w:val="000000"/>
          <w:szCs w:val="24"/>
          <w:lang w:eastAsia="lv-LV"/>
        </w:rPr>
        <w:t>ajā</w:t>
      </w:r>
      <w:r w:rsidRPr="00B22417">
        <w:rPr>
          <w:color w:val="000000"/>
          <w:szCs w:val="24"/>
          <w:lang w:eastAsia="lv-LV"/>
        </w:rPr>
        <w:t xml:space="preserve"> grup</w:t>
      </w:r>
      <w:r>
        <w:rPr>
          <w:color w:val="000000"/>
          <w:szCs w:val="24"/>
          <w:lang w:eastAsia="lv-LV"/>
        </w:rPr>
        <w:t>ā</w:t>
      </w:r>
      <w:r w:rsidRPr="00B22417">
        <w:rPr>
          <w:color w:val="000000"/>
          <w:szCs w:val="24"/>
          <w:lang w:eastAsia="lv-LV"/>
        </w:rPr>
        <w:t xml:space="preserve"> </w:t>
      </w:r>
      <w:r w:rsidRPr="00FB1705">
        <w:rPr>
          <w:i/>
          <w:color w:val="000000"/>
          <w:szCs w:val="24"/>
          <w:lang w:eastAsia="lv-LV"/>
        </w:rPr>
        <w:t>Dabaszinātnes, matemātika un informācijas tehnoloģijas</w:t>
      </w:r>
      <w:r>
        <w:rPr>
          <w:color w:val="000000"/>
          <w:szCs w:val="24"/>
          <w:lang w:eastAsia="lv-LV"/>
        </w:rPr>
        <w:t xml:space="preserve"> puse jeb 3 no 6 vērtētajām programmām tika iekļautas I grupā.</w:t>
      </w:r>
      <w:r w:rsidR="00513BDE">
        <w:rPr>
          <w:color w:val="000000"/>
          <w:szCs w:val="24"/>
          <w:lang w:eastAsia="lv-LV"/>
        </w:rPr>
        <w:t xml:space="preserve"> N</w:t>
      </w:r>
      <w:r w:rsidRPr="00165E61">
        <w:rPr>
          <w:szCs w:val="24"/>
        </w:rPr>
        <w:t>eviena no koledžās īstenotajām studiju programmām, kas attiecas uz STEM j</w:t>
      </w:r>
      <w:r>
        <w:rPr>
          <w:szCs w:val="24"/>
        </w:rPr>
        <w:t>omu</w:t>
      </w:r>
      <w:r w:rsidR="00D32FE7">
        <w:rPr>
          <w:szCs w:val="24"/>
        </w:rPr>
        <w:t>,</w:t>
      </w:r>
      <w:r>
        <w:rPr>
          <w:szCs w:val="24"/>
        </w:rPr>
        <w:t xml:space="preserve"> netika iekļauta III grupā. </w:t>
      </w:r>
    </w:p>
    <w:p w:rsidR="00976030" w:rsidRDefault="00120F49" w:rsidP="00976030">
      <w:pPr>
        <w:ind w:firstLine="720"/>
      </w:pPr>
      <w:r>
        <w:t xml:space="preserve">Ņemot vērā to, ka 8.1.4. SAM ietvaros atbalsts paredzēts tām koledžām, kas īsteno </w:t>
      </w:r>
      <w:r w:rsidR="00D32FE7">
        <w:t xml:space="preserve">arī </w:t>
      </w:r>
      <w:r>
        <w:t xml:space="preserve">profesionālās vidējās izglītības </w:t>
      </w:r>
      <w:r w:rsidR="00A86486">
        <w:t>vai</w:t>
      </w:r>
      <w:r w:rsidR="00D24E28">
        <w:t xml:space="preserve"> arodizglītības </w:t>
      </w:r>
      <w:r>
        <w:t>programmas, turpmāk tiks apskatītas tikai šo koledžu piedāvātās programmas.</w:t>
      </w:r>
    </w:p>
    <w:p w:rsidR="00E177B1" w:rsidRDefault="00120F49" w:rsidP="00E177B1">
      <w:pPr>
        <w:ind w:firstLine="720"/>
      </w:pPr>
      <w:r>
        <w:t>Izvērtējot pirmā līmeņa profesionālās augstākās izglītības studiju programmu un profesionālās vidējās izglītības</w:t>
      </w:r>
      <w:r w:rsidR="00BC1D22">
        <w:t xml:space="preserve"> </w:t>
      </w:r>
      <w:r w:rsidR="00A86486">
        <w:t>vai</w:t>
      </w:r>
      <w:r w:rsidR="00BC1D22">
        <w:t xml:space="preserve"> arodizglītības</w:t>
      </w:r>
      <w:r>
        <w:t xml:space="preserve"> programmu sadalījumu pa izglītības tematiskajām grupām un jomām, redzams, ka lielākais programmu skaits attiecas uz tematisko grupu </w:t>
      </w:r>
      <w:r w:rsidRPr="00BE0A88">
        <w:rPr>
          <w:i/>
        </w:rPr>
        <w:t>Inženierzi</w:t>
      </w:r>
      <w:r w:rsidR="00EB15F2">
        <w:rPr>
          <w:i/>
        </w:rPr>
        <w:t xml:space="preserve">nātnes, ražošana un būvniecība </w:t>
      </w:r>
      <w:r w:rsidR="00EB15F2" w:rsidRPr="00EB15F2">
        <w:t>(skat. 1.12.attēlu).</w:t>
      </w:r>
    </w:p>
    <w:p w:rsidR="00120F49" w:rsidRDefault="00D32FE7" w:rsidP="00E177B1">
      <w:pPr>
        <w:ind w:firstLine="720"/>
        <w:jc w:val="right"/>
      </w:pPr>
      <w:r>
        <w:t>1.1</w:t>
      </w:r>
      <w:r w:rsidR="000C7B95">
        <w:t>2</w:t>
      </w:r>
      <w:r>
        <w:t>.</w:t>
      </w:r>
      <w:r w:rsidR="00120F49">
        <w:t xml:space="preserve"> attēls</w:t>
      </w:r>
    </w:p>
    <w:p w:rsidR="00120F49" w:rsidRPr="00513772" w:rsidRDefault="00120F49" w:rsidP="00120F49">
      <w:pPr>
        <w:spacing w:before="240" w:after="240"/>
        <w:jc w:val="center"/>
        <w:rPr>
          <w:b/>
        </w:rPr>
      </w:pPr>
      <w:r w:rsidRPr="00513772">
        <w:rPr>
          <w:b/>
        </w:rPr>
        <w:t>Koledžās īstenoto programmu skaits sadalījumā pa izglītības tematiskajām grupām un tematiskajām jomām 2015./2016.ak.gadā</w:t>
      </w:r>
    </w:p>
    <w:p w:rsidR="00120F49" w:rsidRDefault="00120F49" w:rsidP="00120F49">
      <w:pPr>
        <w:spacing w:before="240" w:after="240"/>
      </w:pPr>
    </w:p>
    <w:p w:rsidR="00D24E28" w:rsidRDefault="00D24E28" w:rsidP="00513772">
      <w:pPr>
        <w:autoSpaceDE w:val="0"/>
        <w:autoSpaceDN w:val="0"/>
        <w:adjustRightInd w:val="0"/>
        <w:rPr>
          <w:rFonts w:eastAsia="Calibri"/>
          <w:i/>
          <w:szCs w:val="24"/>
          <w:lang w:eastAsia="lv-LV"/>
        </w:rPr>
      </w:pPr>
    </w:p>
    <w:p w:rsidR="00D24E28" w:rsidRDefault="006917B8" w:rsidP="00513772">
      <w:pPr>
        <w:autoSpaceDE w:val="0"/>
        <w:autoSpaceDN w:val="0"/>
        <w:adjustRightInd w:val="0"/>
        <w:rPr>
          <w:rFonts w:eastAsia="Calibri"/>
          <w:i/>
          <w:szCs w:val="24"/>
          <w:lang w:eastAsia="lv-LV"/>
        </w:rPr>
      </w:pPr>
      <w:r>
        <w:rPr>
          <w:noProof/>
          <w:lang w:eastAsia="lv-LV"/>
        </w:rPr>
        <w:lastRenderedPageBreak/>
        <w:drawing>
          <wp:inline distT="0" distB="0" distL="0" distR="0">
            <wp:extent cx="4781550" cy="3690938"/>
            <wp:effectExtent l="0" t="0" r="0" b="50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13772" w:rsidRDefault="00513772" w:rsidP="00513772">
      <w:pPr>
        <w:autoSpaceDE w:val="0"/>
        <w:autoSpaceDN w:val="0"/>
        <w:adjustRightInd w:val="0"/>
        <w:rPr>
          <w:rFonts w:eastAsia="Calibri"/>
          <w:i/>
          <w:szCs w:val="24"/>
          <w:lang w:eastAsia="lv-LV"/>
        </w:rPr>
      </w:pPr>
      <w:r w:rsidRPr="001350B8">
        <w:rPr>
          <w:rFonts w:eastAsia="Calibri"/>
          <w:i/>
          <w:szCs w:val="24"/>
          <w:lang w:eastAsia="lv-LV"/>
        </w:rPr>
        <w:t>Avots: IZM dati</w:t>
      </w:r>
    </w:p>
    <w:p w:rsidR="00120F49" w:rsidRDefault="00120F49" w:rsidP="00EB15F2">
      <w:pPr>
        <w:pStyle w:val="Default"/>
        <w:ind w:firstLine="720"/>
        <w:jc w:val="both"/>
      </w:pPr>
      <w:r>
        <w:t xml:space="preserve">Kā redzams </w:t>
      </w:r>
      <w:r w:rsidR="00D32FE7">
        <w:t>1.1</w:t>
      </w:r>
      <w:r w:rsidR="000C7B95">
        <w:t>2</w:t>
      </w:r>
      <w:r w:rsidR="00D32FE7">
        <w:t xml:space="preserve">. </w:t>
      </w:r>
      <w:r>
        <w:t xml:space="preserve">attēlā, izglītības tematiskajās jomās </w:t>
      </w:r>
      <w:r w:rsidRPr="00BE0A88">
        <w:rPr>
          <w:i/>
        </w:rPr>
        <w:t>Mākslas</w:t>
      </w:r>
      <w:r>
        <w:t xml:space="preserve"> un </w:t>
      </w:r>
      <w:r w:rsidRPr="00BE0A88">
        <w:rPr>
          <w:i/>
        </w:rPr>
        <w:t>Vides aizsardzība</w:t>
      </w:r>
      <w:r>
        <w:t xml:space="preserve"> katrā tiek īstenota tikai viena </w:t>
      </w:r>
      <w:r w:rsidR="005148F1">
        <w:t>studiju programma</w:t>
      </w:r>
      <w:r w:rsidR="00BD7A41">
        <w:t>.</w:t>
      </w:r>
    </w:p>
    <w:p w:rsidR="00BD7A41" w:rsidRDefault="00BD7A41" w:rsidP="00EB15F2">
      <w:pPr>
        <w:ind w:firstLine="720"/>
        <w:rPr>
          <w:szCs w:val="24"/>
        </w:rPr>
      </w:pPr>
      <w:r>
        <w:rPr>
          <w:szCs w:val="24"/>
        </w:rPr>
        <w:t>Atsevišķu studiju programmu vērtējumu (AIP projekta ietvaros) un studējošo skaita izmaiņas pēdējo 5 gadu periodā skat</w:t>
      </w:r>
      <w:r w:rsidR="00F536D8">
        <w:rPr>
          <w:szCs w:val="24"/>
        </w:rPr>
        <w:t>.</w:t>
      </w:r>
      <w:r>
        <w:rPr>
          <w:szCs w:val="24"/>
        </w:rPr>
        <w:t xml:space="preserve"> </w:t>
      </w:r>
      <w:r w:rsidR="00441A0D" w:rsidRPr="00EB15F2">
        <w:rPr>
          <w:szCs w:val="24"/>
        </w:rPr>
        <w:t xml:space="preserve">novērtējuma </w:t>
      </w:r>
      <w:r w:rsidR="00EB15F2" w:rsidRPr="00EB15F2">
        <w:rPr>
          <w:szCs w:val="24"/>
        </w:rPr>
        <w:t>2</w:t>
      </w:r>
      <w:r w:rsidR="00B1645A" w:rsidRPr="00EB15F2">
        <w:rPr>
          <w:szCs w:val="24"/>
        </w:rPr>
        <w:t>.pielikumā.</w:t>
      </w:r>
      <w:r>
        <w:rPr>
          <w:szCs w:val="24"/>
        </w:rPr>
        <w:t xml:space="preserve"> </w:t>
      </w:r>
    </w:p>
    <w:p w:rsidR="00EB15F2" w:rsidRDefault="00EB15F2" w:rsidP="00EB15F2">
      <w:pPr>
        <w:ind w:firstLine="360"/>
      </w:pPr>
    </w:p>
    <w:p w:rsidR="00D42476" w:rsidRDefault="00B1645A" w:rsidP="009E59C1">
      <w:pPr>
        <w:ind w:firstLine="720"/>
        <w:rPr>
          <w:rFonts w:eastAsia="Calibri"/>
          <w:bCs/>
          <w:color w:val="000000"/>
          <w:szCs w:val="24"/>
          <w:lang w:eastAsia="lv-LV"/>
        </w:rPr>
      </w:pPr>
      <w:r>
        <w:t>G</w:t>
      </w:r>
      <w:r w:rsidR="00D42476">
        <w:t xml:space="preserve">alvenie </w:t>
      </w:r>
      <w:r w:rsidR="00761FB9">
        <w:t xml:space="preserve">fakti </w:t>
      </w:r>
      <w:r w:rsidR="00D42476" w:rsidRPr="0049507C">
        <w:t xml:space="preserve">par studējošo skaita izmaiņām </w:t>
      </w:r>
      <w:r w:rsidR="00D42476" w:rsidRPr="0049507C">
        <w:rPr>
          <w:rFonts w:eastAsia="Calibri"/>
          <w:bCs/>
          <w:color w:val="000000"/>
          <w:szCs w:val="24"/>
          <w:lang w:eastAsia="lv-LV"/>
        </w:rPr>
        <w:t>STEM jomas studiju programm</w:t>
      </w:r>
      <w:r w:rsidR="00D42476">
        <w:rPr>
          <w:rFonts w:eastAsia="Calibri"/>
          <w:bCs/>
          <w:color w:val="000000"/>
          <w:szCs w:val="24"/>
          <w:lang w:eastAsia="lv-LV"/>
        </w:rPr>
        <w:t>ās:</w:t>
      </w:r>
    </w:p>
    <w:p w:rsidR="00D42476" w:rsidRPr="004F1AEB" w:rsidRDefault="00D42476" w:rsidP="00EB15F2">
      <w:pPr>
        <w:pStyle w:val="ListParagraph"/>
        <w:numPr>
          <w:ilvl w:val="0"/>
          <w:numId w:val="14"/>
        </w:numPr>
        <w:contextualSpacing/>
        <w:rPr>
          <w:szCs w:val="24"/>
        </w:rPr>
      </w:pPr>
      <w:r w:rsidRPr="004F1AEB">
        <w:rPr>
          <w:color w:val="000000"/>
          <w:szCs w:val="24"/>
        </w:rPr>
        <w:t xml:space="preserve">Izglītības tematiskajā grupā </w:t>
      </w:r>
      <w:r w:rsidRPr="00356FC5">
        <w:rPr>
          <w:i/>
          <w:color w:val="000000"/>
          <w:szCs w:val="24"/>
        </w:rPr>
        <w:t>Dabaszinātnes, matemātika un informācijas</w:t>
      </w:r>
      <w:r w:rsidRPr="004F1AEB">
        <w:rPr>
          <w:color w:val="000000"/>
          <w:szCs w:val="24"/>
        </w:rPr>
        <w:t xml:space="preserve"> </w:t>
      </w:r>
      <w:r w:rsidRPr="00356FC5">
        <w:rPr>
          <w:i/>
          <w:color w:val="000000"/>
          <w:szCs w:val="24"/>
        </w:rPr>
        <w:t>tehnoloģija</w:t>
      </w:r>
      <w:r>
        <w:rPr>
          <w:i/>
          <w:color w:val="000000"/>
          <w:szCs w:val="24"/>
        </w:rPr>
        <w:t>s</w:t>
      </w:r>
      <w:r w:rsidR="006B1B0B">
        <w:rPr>
          <w:i/>
          <w:color w:val="000000"/>
          <w:szCs w:val="24"/>
        </w:rPr>
        <w:t xml:space="preserve"> </w:t>
      </w:r>
      <w:r w:rsidR="001350B8" w:rsidRPr="001350B8">
        <w:rPr>
          <w:color w:val="000000"/>
          <w:szCs w:val="24"/>
        </w:rPr>
        <w:t xml:space="preserve">tiek īstenotas divas studiju programmas – </w:t>
      </w:r>
      <w:r w:rsidR="006B1B0B" w:rsidRPr="00195C15">
        <w:rPr>
          <w:color w:val="000000"/>
          <w:szCs w:val="24"/>
        </w:rPr>
        <w:t>Informācijas tehnoloģijas</w:t>
      </w:r>
      <w:r w:rsidR="001350B8" w:rsidRPr="00195C15">
        <w:rPr>
          <w:color w:val="000000"/>
          <w:szCs w:val="24"/>
        </w:rPr>
        <w:t xml:space="preserve"> </w:t>
      </w:r>
      <w:r w:rsidR="001350B8" w:rsidRPr="001350B8">
        <w:rPr>
          <w:color w:val="000000"/>
          <w:szCs w:val="24"/>
        </w:rPr>
        <w:t xml:space="preserve">PIKC </w:t>
      </w:r>
      <w:r w:rsidR="00195C15">
        <w:rPr>
          <w:color w:val="000000"/>
          <w:szCs w:val="24"/>
        </w:rPr>
        <w:t>„</w:t>
      </w:r>
      <w:r w:rsidR="001350B8" w:rsidRPr="001350B8">
        <w:rPr>
          <w:color w:val="000000"/>
          <w:szCs w:val="24"/>
        </w:rPr>
        <w:t>Rīgas Tehniskā koledža</w:t>
      </w:r>
      <w:r w:rsidR="00195C15">
        <w:rPr>
          <w:color w:val="000000"/>
          <w:szCs w:val="24"/>
        </w:rPr>
        <w:t>”</w:t>
      </w:r>
      <w:r w:rsidR="001350B8" w:rsidRPr="001350B8">
        <w:rPr>
          <w:color w:val="000000"/>
          <w:szCs w:val="24"/>
        </w:rPr>
        <w:t xml:space="preserve">, kurā studējošo skaits pēdējo </w:t>
      </w:r>
      <w:r w:rsidR="008B13F3">
        <w:rPr>
          <w:color w:val="000000"/>
          <w:szCs w:val="24"/>
        </w:rPr>
        <w:t>5</w:t>
      </w:r>
      <w:r w:rsidR="001350B8" w:rsidRPr="001350B8">
        <w:rPr>
          <w:color w:val="000000"/>
          <w:szCs w:val="24"/>
        </w:rPr>
        <w:t xml:space="preserve"> gadu laikā būtiski nav mainījies, kā arī </w:t>
      </w:r>
      <w:r w:rsidR="001350B8" w:rsidRPr="00195C15">
        <w:rPr>
          <w:color w:val="000000"/>
          <w:szCs w:val="24"/>
        </w:rPr>
        <w:t>Datorsistēmu un datortīkla administrēšana</w:t>
      </w:r>
      <w:r w:rsidR="001350B8" w:rsidRPr="001350B8">
        <w:rPr>
          <w:color w:val="000000"/>
          <w:szCs w:val="24"/>
        </w:rPr>
        <w:t xml:space="preserve"> Jēkabpils </w:t>
      </w:r>
      <w:proofErr w:type="spellStart"/>
      <w:r w:rsidR="001350B8" w:rsidRPr="001350B8">
        <w:rPr>
          <w:color w:val="000000"/>
          <w:szCs w:val="24"/>
        </w:rPr>
        <w:t>Agrobiznesa</w:t>
      </w:r>
      <w:proofErr w:type="spellEnd"/>
      <w:r w:rsidR="001350B8" w:rsidRPr="001350B8">
        <w:rPr>
          <w:color w:val="000000"/>
          <w:szCs w:val="24"/>
        </w:rPr>
        <w:t xml:space="preserve"> kole</w:t>
      </w:r>
      <w:r w:rsidR="006B1B0B">
        <w:rPr>
          <w:color w:val="000000"/>
          <w:szCs w:val="24"/>
        </w:rPr>
        <w:t>d</w:t>
      </w:r>
      <w:r w:rsidR="001350B8" w:rsidRPr="001350B8">
        <w:rPr>
          <w:color w:val="000000"/>
          <w:szCs w:val="24"/>
        </w:rPr>
        <w:t>žā, kur</w:t>
      </w:r>
      <w:r w:rsidR="006B1B0B">
        <w:rPr>
          <w:color w:val="000000"/>
          <w:szCs w:val="24"/>
        </w:rPr>
        <w:t>ā studējošo skaits šajā laika periodā ir samazinājies par 47</w:t>
      </w:r>
      <w:r w:rsidR="000003FD">
        <w:rPr>
          <w:color w:val="000000"/>
          <w:szCs w:val="24"/>
        </w:rPr>
        <w:t xml:space="preserve"> </w:t>
      </w:r>
      <w:r w:rsidR="006B1B0B">
        <w:rPr>
          <w:color w:val="000000"/>
          <w:szCs w:val="24"/>
        </w:rPr>
        <w:t xml:space="preserve">%. </w:t>
      </w:r>
      <w:r w:rsidR="001350B8" w:rsidRPr="001350B8">
        <w:rPr>
          <w:color w:val="000000"/>
          <w:szCs w:val="24"/>
        </w:rPr>
        <w:t xml:space="preserve"> </w:t>
      </w:r>
    </w:p>
    <w:p w:rsidR="00D42476" w:rsidRPr="000C1E25" w:rsidRDefault="00D42476" w:rsidP="00722156">
      <w:pPr>
        <w:pStyle w:val="ListParagraph"/>
        <w:numPr>
          <w:ilvl w:val="0"/>
          <w:numId w:val="14"/>
        </w:numPr>
        <w:spacing w:before="240" w:after="240"/>
        <w:contextualSpacing/>
        <w:rPr>
          <w:szCs w:val="24"/>
        </w:rPr>
      </w:pPr>
      <w:r w:rsidRPr="004F1AEB">
        <w:rPr>
          <w:color w:val="000000"/>
          <w:szCs w:val="24"/>
        </w:rPr>
        <w:t xml:space="preserve">Izglītības tematiskajā grupā </w:t>
      </w:r>
      <w:r w:rsidRPr="00356FC5">
        <w:rPr>
          <w:i/>
          <w:color w:val="000000"/>
          <w:szCs w:val="24"/>
        </w:rPr>
        <w:t>Inženierzinātnes, ražošana un būvniecība</w:t>
      </w:r>
      <w:r>
        <w:rPr>
          <w:color w:val="000000"/>
          <w:szCs w:val="24"/>
        </w:rPr>
        <w:t xml:space="preserve"> </w:t>
      </w:r>
      <w:r w:rsidR="008B13F3">
        <w:rPr>
          <w:color w:val="000000"/>
          <w:szCs w:val="24"/>
        </w:rPr>
        <w:t>5 koledžās tiek īstenotas 17 studiju programmas. K</w:t>
      </w:r>
      <w:r>
        <w:rPr>
          <w:color w:val="000000"/>
          <w:szCs w:val="24"/>
        </w:rPr>
        <w:t xml:space="preserve">opumā pēdējo </w:t>
      </w:r>
      <w:r w:rsidR="008B13F3">
        <w:rPr>
          <w:color w:val="000000"/>
          <w:szCs w:val="24"/>
        </w:rPr>
        <w:t xml:space="preserve">5 </w:t>
      </w:r>
      <w:r>
        <w:rPr>
          <w:color w:val="000000"/>
          <w:szCs w:val="24"/>
        </w:rPr>
        <w:t xml:space="preserve">gadu laikā studējošo skaits </w:t>
      </w:r>
      <w:r w:rsidR="008B13F3">
        <w:rPr>
          <w:color w:val="000000"/>
          <w:szCs w:val="24"/>
        </w:rPr>
        <w:t xml:space="preserve">šajās programmās ir samazinājies par 194 studentiem jeb </w:t>
      </w:r>
      <w:r w:rsidR="00047639">
        <w:rPr>
          <w:color w:val="000000"/>
          <w:szCs w:val="24"/>
        </w:rPr>
        <w:t>13</w:t>
      </w:r>
      <w:r w:rsidR="000003FD">
        <w:rPr>
          <w:color w:val="000000"/>
          <w:szCs w:val="24"/>
        </w:rPr>
        <w:t xml:space="preserve"> </w:t>
      </w:r>
      <w:r w:rsidR="00047639">
        <w:rPr>
          <w:color w:val="000000"/>
          <w:szCs w:val="24"/>
        </w:rPr>
        <w:t xml:space="preserve">%. </w:t>
      </w:r>
      <w:r>
        <w:rPr>
          <w:color w:val="000000"/>
          <w:szCs w:val="24"/>
        </w:rPr>
        <w:t xml:space="preserve">Lielākajā daļā studiju programmu studējošo skaits šajā laika periodā ir bijis mainīgs, tas ir gan palielinājies, gan samazinājies, tomēr </w:t>
      </w:r>
      <w:r w:rsidR="00047639">
        <w:rPr>
          <w:color w:val="000000"/>
          <w:szCs w:val="24"/>
        </w:rPr>
        <w:t>2015</w:t>
      </w:r>
      <w:r>
        <w:rPr>
          <w:color w:val="000000"/>
          <w:szCs w:val="24"/>
        </w:rPr>
        <w:t>./</w:t>
      </w:r>
      <w:r w:rsidR="00047639">
        <w:rPr>
          <w:color w:val="000000"/>
          <w:szCs w:val="24"/>
        </w:rPr>
        <w:t>2016</w:t>
      </w:r>
      <w:r>
        <w:rPr>
          <w:color w:val="000000"/>
          <w:szCs w:val="24"/>
        </w:rPr>
        <w:t>.ak.gadā salīdzinājumā ar iepriekšējo akadēmisko gadu gandrīz visās programmās studējošo skaits ir samazinājies</w:t>
      </w:r>
      <w:r w:rsidR="00D962E5">
        <w:rPr>
          <w:color w:val="000000"/>
          <w:szCs w:val="24"/>
        </w:rPr>
        <w:t xml:space="preserve"> vai būtiski nav mainījies  </w:t>
      </w:r>
      <w:r>
        <w:rPr>
          <w:color w:val="000000"/>
          <w:szCs w:val="24"/>
        </w:rPr>
        <w:t xml:space="preserve">(izņemot PIKC </w:t>
      </w:r>
      <w:r w:rsidR="00195C15">
        <w:rPr>
          <w:color w:val="000000"/>
          <w:szCs w:val="24"/>
        </w:rPr>
        <w:t>„</w:t>
      </w:r>
      <w:r>
        <w:rPr>
          <w:color w:val="000000"/>
          <w:szCs w:val="24"/>
        </w:rPr>
        <w:t>Rīgas Tehniskā koledža</w:t>
      </w:r>
      <w:r w:rsidR="00195C15">
        <w:rPr>
          <w:color w:val="000000"/>
          <w:szCs w:val="24"/>
        </w:rPr>
        <w:t>”</w:t>
      </w:r>
      <w:r>
        <w:rPr>
          <w:color w:val="000000"/>
          <w:szCs w:val="24"/>
        </w:rPr>
        <w:t xml:space="preserve"> īstenotajā studiju programmā </w:t>
      </w:r>
      <w:r w:rsidRPr="00195C15">
        <w:rPr>
          <w:color w:val="000000"/>
          <w:szCs w:val="24"/>
        </w:rPr>
        <w:t>Elektriskās iekārtas</w:t>
      </w:r>
      <w:r>
        <w:rPr>
          <w:color w:val="000000"/>
          <w:szCs w:val="24"/>
        </w:rPr>
        <w:t xml:space="preserve">, </w:t>
      </w:r>
      <w:r w:rsidR="00D962E5">
        <w:rPr>
          <w:color w:val="000000"/>
          <w:szCs w:val="24"/>
        </w:rPr>
        <w:t xml:space="preserve">Rīgas Celtniecības koledžas īstenotajā studiju programmā </w:t>
      </w:r>
      <w:proofErr w:type="spellStart"/>
      <w:r w:rsidR="001350B8" w:rsidRPr="00195C15">
        <w:rPr>
          <w:color w:val="000000"/>
          <w:szCs w:val="24"/>
        </w:rPr>
        <w:t>Būvzinības</w:t>
      </w:r>
      <w:proofErr w:type="spellEnd"/>
      <w:r w:rsidR="00D962E5">
        <w:rPr>
          <w:i/>
          <w:color w:val="000000"/>
          <w:szCs w:val="24"/>
        </w:rPr>
        <w:t xml:space="preserve">, </w:t>
      </w:r>
      <w:r w:rsidR="001350B8" w:rsidRPr="001350B8">
        <w:rPr>
          <w:color w:val="000000"/>
          <w:szCs w:val="24"/>
        </w:rPr>
        <w:t>kā arī</w:t>
      </w:r>
      <w:r w:rsidR="00D962E5">
        <w:rPr>
          <w:i/>
          <w:color w:val="000000"/>
          <w:szCs w:val="24"/>
        </w:rPr>
        <w:t xml:space="preserve"> </w:t>
      </w:r>
      <w:r w:rsidR="00D962E5" w:rsidRPr="009A63D4">
        <w:rPr>
          <w:color w:val="000000"/>
        </w:rPr>
        <w:t>Olaines Mehānikas un tehnoloģijas koledža</w:t>
      </w:r>
      <w:r w:rsidR="00D962E5">
        <w:rPr>
          <w:color w:val="000000"/>
        </w:rPr>
        <w:t xml:space="preserve">s īstenotajā studiju programmā </w:t>
      </w:r>
      <w:r w:rsidR="001350B8" w:rsidRPr="00195C15">
        <w:rPr>
          <w:color w:val="000000"/>
        </w:rPr>
        <w:t>Biotehnoloģijas</w:t>
      </w:r>
      <w:r w:rsidR="00D962E5">
        <w:rPr>
          <w:color w:val="000000"/>
        </w:rPr>
        <w:t>, kur studējošo skaits ir pieaudzis).</w:t>
      </w:r>
      <w:r w:rsidR="001350B8" w:rsidRPr="001350B8">
        <w:rPr>
          <w:i/>
          <w:color w:val="000000"/>
          <w:szCs w:val="24"/>
        </w:rPr>
        <w:t xml:space="preserve"> </w:t>
      </w:r>
    </w:p>
    <w:p w:rsidR="000C1E25" w:rsidRPr="00EE33D6" w:rsidRDefault="000C1E25" w:rsidP="00722156">
      <w:pPr>
        <w:pStyle w:val="ListParagraph"/>
        <w:numPr>
          <w:ilvl w:val="0"/>
          <w:numId w:val="14"/>
        </w:numPr>
        <w:spacing w:before="240" w:after="240"/>
        <w:contextualSpacing/>
        <w:rPr>
          <w:szCs w:val="24"/>
        </w:rPr>
      </w:pPr>
      <w:r>
        <w:rPr>
          <w:color w:val="000000"/>
          <w:szCs w:val="24"/>
        </w:rPr>
        <w:t xml:space="preserve">Izglītības tematiskajā grupā </w:t>
      </w:r>
      <w:r w:rsidR="00BE3FB9" w:rsidRPr="00BE3FB9">
        <w:rPr>
          <w:i/>
          <w:color w:val="000000"/>
          <w:szCs w:val="24"/>
        </w:rPr>
        <w:t>Lauksaimniecība</w:t>
      </w:r>
      <w:r>
        <w:rPr>
          <w:color w:val="000000"/>
          <w:szCs w:val="24"/>
        </w:rPr>
        <w:t xml:space="preserve"> </w:t>
      </w:r>
      <w:r w:rsidR="006A73FB">
        <w:rPr>
          <w:color w:val="000000"/>
          <w:szCs w:val="24"/>
        </w:rPr>
        <w:t xml:space="preserve">Malnavas koledžā </w:t>
      </w:r>
      <w:r>
        <w:rPr>
          <w:color w:val="000000"/>
          <w:szCs w:val="24"/>
        </w:rPr>
        <w:t xml:space="preserve">tiek īstenota </w:t>
      </w:r>
      <w:r w:rsidR="006A73FB">
        <w:rPr>
          <w:color w:val="000000"/>
          <w:szCs w:val="24"/>
        </w:rPr>
        <w:t xml:space="preserve">viena </w:t>
      </w:r>
      <w:r>
        <w:rPr>
          <w:color w:val="000000"/>
          <w:szCs w:val="24"/>
        </w:rPr>
        <w:t xml:space="preserve">studiju programma </w:t>
      </w:r>
      <w:r w:rsidR="006A73FB">
        <w:rPr>
          <w:color w:val="000000"/>
          <w:szCs w:val="24"/>
        </w:rPr>
        <w:t xml:space="preserve">- Uzņēmējdarbība lauksaimniecībā. </w:t>
      </w:r>
      <w:r w:rsidR="006A73FB" w:rsidRPr="002C2068">
        <w:rPr>
          <w:color w:val="000000"/>
          <w:szCs w:val="24"/>
        </w:rPr>
        <w:t xml:space="preserve">Studējošo skaits </w:t>
      </w:r>
      <w:r w:rsidR="006A73FB">
        <w:rPr>
          <w:color w:val="000000"/>
          <w:szCs w:val="24"/>
        </w:rPr>
        <w:t xml:space="preserve">šajā programmā </w:t>
      </w:r>
      <w:r w:rsidR="006A73FB" w:rsidRPr="002C2068">
        <w:rPr>
          <w:color w:val="000000"/>
          <w:szCs w:val="24"/>
        </w:rPr>
        <w:t xml:space="preserve">pēdējo </w:t>
      </w:r>
      <w:r w:rsidR="006A73FB">
        <w:rPr>
          <w:color w:val="000000"/>
          <w:szCs w:val="24"/>
        </w:rPr>
        <w:t>5</w:t>
      </w:r>
      <w:r w:rsidR="006A73FB" w:rsidRPr="002C2068">
        <w:rPr>
          <w:color w:val="000000"/>
          <w:szCs w:val="24"/>
        </w:rPr>
        <w:t xml:space="preserve"> gadu laikā ir </w:t>
      </w:r>
      <w:r w:rsidR="006A73FB">
        <w:rPr>
          <w:color w:val="000000"/>
          <w:szCs w:val="24"/>
        </w:rPr>
        <w:t>palielinājies</w:t>
      </w:r>
      <w:r w:rsidR="006A73FB" w:rsidRPr="002C2068">
        <w:rPr>
          <w:color w:val="000000"/>
          <w:szCs w:val="24"/>
        </w:rPr>
        <w:t xml:space="preserve"> par </w:t>
      </w:r>
      <w:r w:rsidR="006A73FB">
        <w:rPr>
          <w:color w:val="000000"/>
          <w:szCs w:val="24"/>
        </w:rPr>
        <w:t xml:space="preserve">97 studentiem jeb 59 %. </w:t>
      </w:r>
    </w:p>
    <w:p w:rsidR="00D42476" w:rsidRPr="00084705" w:rsidRDefault="00D42476" w:rsidP="00722156">
      <w:pPr>
        <w:pStyle w:val="ListParagraph"/>
        <w:numPr>
          <w:ilvl w:val="0"/>
          <w:numId w:val="14"/>
        </w:numPr>
        <w:spacing w:before="240" w:after="240"/>
        <w:contextualSpacing/>
        <w:rPr>
          <w:szCs w:val="24"/>
        </w:rPr>
      </w:pPr>
      <w:r w:rsidRPr="004F1AEB">
        <w:rPr>
          <w:color w:val="000000"/>
          <w:szCs w:val="24"/>
        </w:rPr>
        <w:t xml:space="preserve">Izglītības tematiskajā </w:t>
      </w:r>
      <w:r w:rsidRPr="00EE33D6">
        <w:rPr>
          <w:color w:val="000000"/>
          <w:sz w:val="22"/>
          <w:szCs w:val="22"/>
        </w:rPr>
        <w:t xml:space="preserve">jomā </w:t>
      </w:r>
      <w:r w:rsidR="001350B8" w:rsidRPr="001350B8">
        <w:rPr>
          <w:i/>
          <w:color w:val="000000"/>
          <w:szCs w:val="24"/>
        </w:rPr>
        <w:t>Veselības aprūpe</w:t>
      </w:r>
      <w:r w:rsidR="00D962E5">
        <w:rPr>
          <w:color w:val="000000"/>
          <w:szCs w:val="24"/>
        </w:rPr>
        <w:t xml:space="preserve"> </w:t>
      </w:r>
      <w:r w:rsidR="007E16FC">
        <w:rPr>
          <w:color w:val="000000"/>
          <w:szCs w:val="24"/>
        </w:rPr>
        <w:t xml:space="preserve">3 koledžās tiek īstenotas 5 studiju programmas </w:t>
      </w:r>
      <w:r w:rsidR="0074163E">
        <w:rPr>
          <w:color w:val="000000"/>
          <w:szCs w:val="24"/>
        </w:rPr>
        <w:t xml:space="preserve">un kopumā studējošo skaits 5 gadu laikā šajās programmās nav mainījies (2011./2012.ak.gadā 1189 studējošie, bet 2015./2016.ak.gadā – 1184 studējošie)  </w:t>
      </w:r>
      <w:r w:rsidR="00D962E5">
        <w:rPr>
          <w:color w:val="000000"/>
          <w:szCs w:val="24"/>
        </w:rPr>
        <w:t xml:space="preserve">Rīgas 1.medicīnas koledžā tiek īstenotas 4 studiju programmas. </w:t>
      </w:r>
      <w:r w:rsidR="00ED4D28">
        <w:rPr>
          <w:color w:val="000000"/>
          <w:szCs w:val="24"/>
        </w:rPr>
        <w:t>K</w:t>
      </w:r>
      <w:r>
        <w:rPr>
          <w:color w:val="000000"/>
          <w:szCs w:val="24"/>
        </w:rPr>
        <w:t xml:space="preserve">opumā pēdējo </w:t>
      </w:r>
      <w:r w:rsidR="00D962E5">
        <w:rPr>
          <w:color w:val="000000"/>
          <w:szCs w:val="24"/>
        </w:rPr>
        <w:t xml:space="preserve">5 </w:t>
      </w:r>
      <w:r>
        <w:rPr>
          <w:color w:val="000000"/>
          <w:szCs w:val="24"/>
        </w:rPr>
        <w:t xml:space="preserve">gadu laikā studējošo skaits </w:t>
      </w:r>
      <w:r w:rsidR="009E59C1">
        <w:rPr>
          <w:color w:val="000000"/>
          <w:szCs w:val="24"/>
        </w:rPr>
        <w:t xml:space="preserve">tajās </w:t>
      </w:r>
      <w:r>
        <w:rPr>
          <w:color w:val="000000"/>
          <w:szCs w:val="24"/>
        </w:rPr>
        <w:t xml:space="preserve">ir pieaudzis par </w:t>
      </w:r>
      <w:r w:rsidR="00D962E5">
        <w:rPr>
          <w:color w:val="000000"/>
          <w:szCs w:val="24"/>
        </w:rPr>
        <w:t xml:space="preserve">32 </w:t>
      </w:r>
      <w:r>
        <w:rPr>
          <w:color w:val="000000"/>
          <w:szCs w:val="24"/>
        </w:rPr>
        <w:t xml:space="preserve">studentiem jeb </w:t>
      </w:r>
      <w:r w:rsidR="006B2A4A">
        <w:rPr>
          <w:color w:val="000000"/>
          <w:szCs w:val="24"/>
        </w:rPr>
        <w:t>6</w:t>
      </w:r>
      <w:r w:rsidR="000003FD">
        <w:rPr>
          <w:color w:val="000000"/>
          <w:szCs w:val="24"/>
        </w:rPr>
        <w:t xml:space="preserve"> </w:t>
      </w:r>
      <w:r>
        <w:rPr>
          <w:color w:val="000000"/>
          <w:szCs w:val="24"/>
        </w:rPr>
        <w:t xml:space="preserve">%. </w:t>
      </w:r>
      <w:r w:rsidR="006B2A4A">
        <w:rPr>
          <w:color w:val="000000"/>
          <w:szCs w:val="24"/>
        </w:rPr>
        <w:t xml:space="preserve">Studiju programmās </w:t>
      </w:r>
      <w:r w:rsidR="001350B8" w:rsidRPr="00195C15">
        <w:rPr>
          <w:color w:val="000000"/>
          <w:szCs w:val="24"/>
        </w:rPr>
        <w:t>Ārstniecība</w:t>
      </w:r>
      <w:r w:rsidR="006B2A4A" w:rsidRPr="00195C15">
        <w:rPr>
          <w:color w:val="000000"/>
          <w:szCs w:val="24"/>
        </w:rPr>
        <w:t xml:space="preserve"> un </w:t>
      </w:r>
      <w:r w:rsidR="001350B8" w:rsidRPr="00195C15">
        <w:rPr>
          <w:color w:val="000000"/>
          <w:szCs w:val="24"/>
        </w:rPr>
        <w:t>Vecmāte</w:t>
      </w:r>
      <w:r w:rsidR="006B2A4A">
        <w:rPr>
          <w:color w:val="000000"/>
          <w:szCs w:val="24"/>
        </w:rPr>
        <w:t xml:space="preserve"> studējošo skaits šajā periodā ir samazinājies, </w:t>
      </w:r>
      <w:r w:rsidR="006B2A4A">
        <w:rPr>
          <w:color w:val="000000"/>
          <w:szCs w:val="24"/>
        </w:rPr>
        <w:lastRenderedPageBreak/>
        <w:t xml:space="preserve">savukārt studiju programmā </w:t>
      </w:r>
      <w:r w:rsidR="001350B8" w:rsidRPr="00195C15">
        <w:rPr>
          <w:color w:val="000000"/>
          <w:szCs w:val="24"/>
        </w:rPr>
        <w:t>Farmācija</w:t>
      </w:r>
      <w:r w:rsidR="006B2A4A">
        <w:rPr>
          <w:color w:val="000000"/>
          <w:szCs w:val="24"/>
        </w:rPr>
        <w:t xml:space="preserve"> tas ir būtiski palielinājies (par 46 studentiem jeb 73</w:t>
      </w:r>
      <w:r w:rsidR="000003FD">
        <w:rPr>
          <w:color w:val="000000"/>
          <w:szCs w:val="24"/>
        </w:rPr>
        <w:t xml:space="preserve"> </w:t>
      </w:r>
      <w:r w:rsidR="006B2A4A">
        <w:rPr>
          <w:color w:val="000000"/>
          <w:szCs w:val="24"/>
        </w:rPr>
        <w:t xml:space="preserve">%). Studējošo skaits ir palielinājies arī studiju programmā </w:t>
      </w:r>
      <w:proofErr w:type="spellStart"/>
      <w:r w:rsidR="001350B8" w:rsidRPr="00195C15">
        <w:rPr>
          <w:color w:val="000000"/>
          <w:szCs w:val="24"/>
        </w:rPr>
        <w:t>Māszinības</w:t>
      </w:r>
      <w:proofErr w:type="spellEnd"/>
      <w:r w:rsidR="006B2A4A">
        <w:rPr>
          <w:color w:val="000000"/>
          <w:szCs w:val="24"/>
        </w:rPr>
        <w:t xml:space="preserve"> (par 19 studentiem jeb 17</w:t>
      </w:r>
      <w:r w:rsidR="000003FD">
        <w:rPr>
          <w:color w:val="000000"/>
          <w:szCs w:val="24"/>
        </w:rPr>
        <w:t xml:space="preserve"> </w:t>
      </w:r>
      <w:r w:rsidR="006B2A4A">
        <w:rPr>
          <w:color w:val="000000"/>
          <w:szCs w:val="24"/>
        </w:rPr>
        <w:t xml:space="preserve">%). </w:t>
      </w:r>
      <w:r w:rsidR="0074163E">
        <w:rPr>
          <w:color w:val="000000"/>
          <w:szCs w:val="24"/>
        </w:rPr>
        <w:t xml:space="preserve">Daugavpils Medicīnas koledžas 2 studiju programmās studējošo skaits šajā laika posmā ir palicis nemainīgs, bet RSU Sarkanā Krusta medicīnas koledžā, kur izglītības tematiskajā jomā </w:t>
      </w:r>
      <w:r w:rsidR="00BE3FB9" w:rsidRPr="00BE3FB9">
        <w:rPr>
          <w:i/>
          <w:color w:val="000000"/>
          <w:szCs w:val="24"/>
        </w:rPr>
        <w:t>Veselības aprūpe</w:t>
      </w:r>
      <w:r w:rsidR="0074163E">
        <w:rPr>
          <w:color w:val="000000"/>
          <w:szCs w:val="24"/>
        </w:rPr>
        <w:t xml:space="preserve"> šobrīd tiek īstenotas 3 studiju programmas</w:t>
      </w:r>
      <w:r w:rsidR="000C1E25">
        <w:rPr>
          <w:color w:val="000000"/>
          <w:szCs w:val="24"/>
        </w:rPr>
        <w:t xml:space="preserve">, studējošo skaits ir samazinājies par 37 studentiem jeb 7%. </w:t>
      </w:r>
      <w:r w:rsidR="0074163E">
        <w:rPr>
          <w:color w:val="000000"/>
          <w:szCs w:val="24"/>
        </w:rPr>
        <w:t xml:space="preserve"> </w:t>
      </w:r>
      <w:r w:rsidR="000C1E25">
        <w:rPr>
          <w:color w:val="000000"/>
          <w:szCs w:val="24"/>
        </w:rPr>
        <w:t>Jāatzīmē, ka RSU Sarkanā Krusta medicīnas koledža ar 2015./2016.ak.gadu ir uzsākusi īstenot jaunu studiju programmu Ārstnieciskā masāža.</w:t>
      </w:r>
    </w:p>
    <w:p w:rsidR="00D42476" w:rsidRPr="0060481D" w:rsidRDefault="00D42476" w:rsidP="00722156">
      <w:pPr>
        <w:pStyle w:val="ListParagraph"/>
        <w:numPr>
          <w:ilvl w:val="0"/>
          <w:numId w:val="14"/>
        </w:numPr>
        <w:spacing w:before="240" w:after="240"/>
        <w:contextualSpacing/>
        <w:rPr>
          <w:szCs w:val="24"/>
        </w:rPr>
      </w:pPr>
      <w:r>
        <w:rPr>
          <w:color w:val="000000"/>
          <w:szCs w:val="24"/>
        </w:rPr>
        <w:t xml:space="preserve">Izglītības tematiskajā jomā </w:t>
      </w:r>
      <w:r w:rsidRPr="00356FC5">
        <w:rPr>
          <w:i/>
          <w:color w:val="000000"/>
          <w:szCs w:val="24"/>
        </w:rPr>
        <w:t>Mākslas</w:t>
      </w:r>
      <w:r>
        <w:rPr>
          <w:color w:val="000000"/>
          <w:szCs w:val="24"/>
        </w:rPr>
        <w:t xml:space="preserve"> </w:t>
      </w:r>
      <w:r w:rsidR="001350B8" w:rsidRPr="001350B8">
        <w:rPr>
          <w:color w:val="000000"/>
          <w:szCs w:val="24"/>
        </w:rPr>
        <w:t>Rīgas Celtniecības koledžā</w:t>
      </w:r>
      <w:r w:rsidR="00D1101C">
        <w:rPr>
          <w:color w:val="000000"/>
          <w:szCs w:val="24"/>
        </w:rPr>
        <w:t xml:space="preserve"> </w:t>
      </w:r>
      <w:r w:rsidRPr="0060481D">
        <w:rPr>
          <w:color w:val="000000"/>
          <w:szCs w:val="24"/>
        </w:rPr>
        <w:t>tiek īstenota studiju programma – Restaurācija, kur</w:t>
      </w:r>
      <w:r w:rsidR="00ED4D28" w:rsidRPr="0060481D">
        <w:rPr>
          <w:color w:val="000000"/>
          <w:szCs w:val="24"/>
        </w:rPr>
        <w:t>ā</w:t>
      </w:r>
      <w:r w:rsidRPr="0060481D">
        <w:rPr>
          <w:color w:val="000000"/>
          <w:szCs w:val="24"/>
        </w:rPr>
        <w:t xml:space="preserve"> studējošo skaits pēdējo </w:t>
      </w:r>
      <w:r w:rsidR="00D1101C" w:rsidRPr="0060481D">
        <w:rPr>
          <w:color w:val="000000"/>
          <w:szCs w:val="24"/>
        </w:rPr>
        <w:t xml:space="preserve">5 </w:t>
      </w:r>
      <w:r w:rsidRPr="0060481D">
        <w:rPr>
          <w:color w:val="000000"/>
          <w:szCs w:val="24"/>
        </w:rPr>
        <w:t>gadu laikā būtiski nav mainījies</w:t>
      </w:r>
      <w:r w:rsidR="00D1101C" w:rsidRPr="0060481D">
        <w:rPr>
          <w:color w:val="000000"/>
          <w:szCs w:val="24"/>
        </w:rPr>
        <w:t>.</w:t>
      </w:r>
      <w:r w:rsidR="000B4D85" w:rsidRPr="0060481D">
        <w:rPr>
          <w:color w:val="000000"/>
          <w:szCs w:val="24"/>
        </w:rPr>
        <w:t xml:space="preserve"> </w:t>
      </w:r>
    </w:p>
    <w:p w:rsidR="00D42476" w:rsidRPr="000C1E25" w:rsidRDefault="00D42476" w:rsidP="00722156">
      <w:pPr>
        <w:pStyle w:val="ListParagraph"/>
        <w:numPr>
          <w:ilvl w:val="0"/>
          <w:numId w:val="14"/>
        </w:numPr>
        <w:spacing w:before="240" w:after="240"/>
        <w:contextualSpacing/>
        <w:rPr>
          <w:szCs w:val="24"/>
        </w:rPr>
      </w:pPr>
      <w:r w:rsidRPr="002C2068">
        <w:rPr>
          <w:color w:val="000000"/>
          <w:szCs w:val="24"/>
        </w:rPr>
        <w:t xml:space="preserve">Izglītības tematiskajā jomā </w:t>
      </w:r>
      <w:r w:rsidR="001350B8" w:rsidRPr="001350B8">
        <w:rPr>
          <w:i/>
          <w:color w:val="000000"/>
          <w:szCs w:val="24"/>
        </w:rPr>
        <w:t>Vides aizsardzība</w:t>
      </w:r>
      <w:r w:rsidRPr="002C2068">
        <w:rPr>
          <w:i/>
          <w:color w:val="000000"/>
          <w:sz w:val="22"/>
          <w:szCs w:val="22"/>
        </w:rPr>
        <w:t xml:space="preserve"> </w:t>
      </w:r>
      <w:r w:rsidR="00D1101C" w:rsidRPr="002C2068">
        <w:rPr>
          <w:color w:val="000000"/>
          <w:szCs w:val="24"/>
        </w:rPr>
        <w:t xml:space="preserve">Olaines Mehānikas un tehnoloģijas koledžā </w:t>
      </w:r>
      <w:r w:rsidRPr="002C2068">
        <w:rPr>
          <w:color w:val="000000"/>
          <w:szCs w:val="24"/>
        </w:rPr>
        <w:t xml:space="preserve">tiek īstenota viena studiju programma </w:t>
      </w:r>
      <w:r w:rsidR="009E59C1" w:rsidRPr="0060481D">
        <w:rPr>
          <w:color w:val="000000"/>
          <w:szCs w:val="24"/>
        </w:rPr>
        <w:t>–</w:t>
      </w:r>
      <w:r w:rsidRPr="002C2068">
        <w:rPr>
          <w:color w:val="000000"/>
          <w:szCs w:val="24"/>
        </w:rPr>
        <w:t xml:space="preserve"> </w:t>
      </w:r>
      <w:r w:rsidR="001350B8" w:rsidRPr="00A40FA3">
        <w:rPr>
          <w:color w:val="000000"/>
          <w:szCs w:val="24"/>
        </w:rPr>
        <w:t>Vides aizsardzības tehnoloģija</w:t>
      </w:r>
      <w:r w:rsidRPr="002C2068">
        <w:rPr>
          <w:color w:val="000000"/>
          <w:szCs w:val="24"/>
        </w:rPr>
        <w:t xml:space="preserve">. Studējošo skaits </w:t>
      </w:r>
      <w:r w:rsidR="00D1101C">
        <w:rPr>
          <w:color w:val="000000"/>
          <w:szCs w:val="24"/>
        </w:rPr>
        <w:t xml:space="preserve">šajā programmā </w:t>
      </w:r>
      <w:r w:rsidRPr="002C2068">
        <w:rPr>
          <w:color w:val="000000"/>
          <w:szCs w:val="24"/>
        </w:rPr>
        <w:t xml:space="preserve">pēdējo </w:t>
      </w:r>
      <w:r w:rsidR="00D1101C">
        <w:rPr>
          <w:color w:val="000000"/>
          <w:szCs w:val="24"/>
        </w:rPr>
        <w:t>5</w:t>
      </w:r>
      <w:r w:rsidR="00D1101C" w:rsidRPr="002C2068">
        <w:rPr>
          <w:color w:val="000000"/>
          <w:szCs w:val="24"/>
        </w:rPr>
        <w:t xml:space="preserve"> </w:t>
      </w:r>
      <w:r w:rsidRPr="002C2068">
        <w:rPr>
          <w:color w:val="000000"/>
          <w:szCs w:val="24"/>
        </w:rPr>
        <w:t xml:space="preserve">gadu laikā ir samazinājies par </w:t>
      </w:r>
      <w:r w:rsidR="00D1101C">
        <w:rPr>
          <w:color w:val="000000"/>
          <w:szCs w:val="24"/>
        </w:rPr>
        <w:t>29 studentiem jeb 60</w:t>
      </w:r>
      <w:r w:rsidR="000003FD">
        <w:rPr>
          <w:color w:val="000000"/>
          <w:szCs w:val="24"/>
        </w:rPr>
        <w:t xml:space="preserve"> </w:t>
      </w:r>
      <w:r w:rsidR="00D1101C">
        <w:rPr>
          <w:color w:val="000000"/>
          <w:szCs w:val="24"/>
        </w:rPr>
        <w:t>%.</w:t>
      </w:r>
    </w:p>
    <w:p w:rsidR="00000000" w:rsidRDefault="006917B8">
      <w:pPr>
        <w:spacing w:before="240" w:after="240"/>
        <w:ind w:left="360"/>
        <w:contextualSpacing/>
        <w:rPr>
          <w:rStyle w:val="ms-rtefontsize-1"/>
          <w:szCs w:val="24"/>
        </w:rPr>
      </w:pPr>
    </w:p>
    <w:p w:rsidR="00D42476" w:rsidRDefault="00D42476" w:rsidP="00D42476"/>
    <w:p w:rsidR="00D42476" w:rsidRPr="00D42476" w:rsidRDefault="00D42476" w:rsidP="003F34D8">
      <w:pPr>
        <w:pStyle w:val="Heading2"/>
      </w:pPr>
      <w:bookmarkStart w:id="13" w:name="_Toc445290192"/>
      <w:r w:rsidRPr="00D42476">
        <w:t xml:space="preserve">1.6. 8.1.4. </w:t>
      </w:r>
      <w:r w:rsidR="0079655F" w:rsidRPr="00D42476">
        <w:t xml:space="preserve">SAM </w:t>
      </w:r>
      <w:r w:rsidRPr="00D42476">
        <w:t>sasaiste ar uzsāktajām reformām augstākās izglītības jomā</w:t>
      </w:r>
      <w:bookmarkEnd w:id="13"/>
    </w:p>
    <w:p w:rsidR="00D42476" w:rsidRPr="00D42476" w:rsidRDefault="00D42476" w:rsidP="00D42476">
      <w:pPr>
        <w:pStyle w:val="Default"/>
        <w:spacing w:after="120"/>
        <w:ind w:firstLine="360"/>
        <w:jc w:val="both"/>
        <w:rPr>
          <w:bCs/>
          <w:color w:val="365F91" w:themeColor="accent1" w:themeShade="BF"/>
        </w:rPr>
      </w:pPr>
    </w:p>
    <w:p w:rsidR="00527791" w:rsidRDefault="00527791" w:rsidP="00204617">
      <w:pPr>
        <w:tabs>
          <w:tab w:val="left" w:pos="426"/>
        </w:tabs>
        <w:ind w:firstLine="720"/>
        <w:rPr>
          <w:szCs w:val="24"/>
        </w:rPr>
      </w:pPr>
      <w:r>
        <w:rPr>
          <w:szCs w:val="28"/>
        </w:rPr>
        <w:t xml:space="preserve">Viens no </w:t>
      </w:r>
      <w:r w:rsidR="002F6545">
        <w:rPr>
          <w:szCs w:val="28"/>
        </w:rPr>
        <w:t xml:space="preserve">pēdējo piecu gadu laikā īstenotajiem </w:t>
      </w:r>
      <w:r>
        <w:rPr>
          <w:szCs w:val="28"/>
        </w:rPr>
        <w:t xml:space="preserve">reformu virzieniem augstākās </w:t>
      </w:r>
      <w:r w:rsidR="009E59C1">
        <w:rPr>
          <w:szCs w:val="28"/>
        </w:rPr>
        <w:t xml:space="preserve">izglītības jomā ir saistīts ar </w:t>
      </w:r>
      <w:r>
        <w:rPr>
          <w:szCs w:val="28"/>
        </w:rPr>
        <w:t xml:space="preserve">augstākās izglītības resursu  </w:t>
      </w:r>
      <w:r w:rsidRPr="002D4D1E">
        <w:rPr>
          <w:szCs w:val="28"/>
        </w:rPr>
        <w:t>izmantoša</w:t>
      </w:r>
      <w:r>
        <w:rPr>
          <w:szCs w:val="28"/>
        </w:rPr>
        <w:t>nas efektivitātes paaugstināšanu</w:t>
      </w:r>
      <w:r w:rsidR="002F6545">
        <w:rPr>
          <w:szCs w:val="28"/>
        </w:rPr>
        <w:t>, tai skaitā resursu konsolidāciju</w:t>
      </w:r>
      <w:r>
        <w:rPr>
          <w:szCs w:val="28"/>
        </w:rPr>
        <w:t>.</w:t>
      </w:r>
    </w:p>
    <w:p w:rsidR="00204617" w:rsidRDefault="002F6545" w:rsidP="00204617">
      <w:pPr>
        <w:tabs>
          <w:tab w:val="left" w:pos="426"/>
        </w:tabs>
        <w:ind w:firstLine="720"/>
      </w:pPr>
      <w:r>
        <w:rPr>
          <w:szCs w:val="24"/>
        </w:rPr>
        <w:t>Lai racionālāk izmantotu augstākās izglītības resursus, k</w:t>
      </w:r>
      <w:r w:rsidR="00204617" w:rsidRPr="00E52F72">
        <w:rPr>
          <w:szCs w:val="24"/>
        </w:rPr>
        <w:t xml:space="preserve">opš 2010.gada </w:t>
      </w:r>
      <w:r w:rsidR="00B03774">
        <w:rPr>
          <w:szCs w:val="24"/>
        </w:rPr>
        <w:t xml:space="preserve">ir uzsākts koledžu reorganizācijas process. </w:t>
      </w:r>
      <w:r w:rsidR="00204617" w:rsidRPr="00E52F72">
        <w:rPr>
          <w:szCs w:val="24"/>
        </w:rPr>
        <w:t xml:space="preserve">Reorganizācijas rezultātā Rīgas Medicīnas koledža un P.Stradiņa veselības un sociālās aprūpes koledža kopš 2010.gada janvāra ir kļuvušas par Latvijas Universitātes aģentūrām, bet Sarkanā Krusta medicīnas koledža </w:t>
      </w:r>
      <w:r w:rsidR="009E59C1">
        <w:rPr>
          <w:szCs w:val="24"/>
        </w:rPr>
        <w:t>–</w:t>
      </w:r>
      <w:r w:rsidR="00204617" w:rsidRPr="00E52F72">
        <w:rPr>
          <w:szCs w:val="24"/>
        </w:rPr>
        <w:t xml:space="preserve"> par</w:t>
      </w:r>
      <w:r w:rsidR="009E59C1">
        <w:rPr>
          <w:szCs w:val="24"/>
        </w:rPr>
        <w:t xml:space="preserve"> </w:t>
      </w:r>
      <w:r w:rsidR="00204617" w:rsidRPr="00E52F72">
        <w:rPr>
          <w:szCs w:val="24"/>
        </w:rPr>
        <w:t xml:space="preserve">Rīgas Stradiņa </w:t>
      </w:r>
      <w:r w:rsidR="00204617">
        <w:rPr>
          <w:szCs w:val="24"/>
        </w:rPr>
        <w:t>u</w:t>
      </w:r>
      <w:r w:rsidR="00204617" w:rsidRPr="00E52F72">
        <w:rPr>
          <w:szCs w:val="24"/>
        </w:rPr>
        <w:t>niversitātes aģentūru</w:t>
      </w:r>
      <w:r w:rsidR="00204617" w:rsidRPr="00C6522D">
        <w:rPr>
          <w:szCs w:val="24"/>
        </w:rPr>
        <w:t>. Liepājas medicīnas koledža</w:t>
      </w:r>
      <w:r w:rsidR="00204617" w:rsidRPr="00E52F72">
        <w:rPr>
          <w:szCs w:val="24"/>
        </w:rPr>
        <w:t xml:space="preserve"> no 2010.gada 1.septembra ir likvidēta, taču uz tās bāzes ir izveidota </w:t>
      </w:r>
      <w:r w:rsidR="009E59C1">
        <w:rPr>
          <w:szCs w:val="24"/>
        </w:rPr>
        <w:t>Rīgas Stradiņa universitātes</w:t>
      </w:r>
      <w:r w:rsidR="00204617" w:rsidRPr="00E52F72">
        <w:rPr>
          <w:szCs w:val="24"/>
        </w:rPr>
        <w:t xml:space="preserve"> Liepājas filiāle, kurā </w:t>
      </w:r>
      <w:r w:rsidR="009E59C1">
        <w:rPr>
          <w:szCs w:val="24"/>
        </w:rPr>
        <w:t>Rīgas Stradiņa universitāte</w:t>
      </w:r>
      <w:r w:rsidR="00204617" w:rsidRPr="00E52F72">
        <w:rPr>
          <w:szCs w:val="24"/>
        </w:rPr>
        <w:t xml:space="preserve"> turpina koledžas studiju programmu īstenošanu, piedāvājot apgūt arī divas bakalaura līmeņa studiju programmas. Līdzīgs process notika arī kultūras nozarē un kopš 2012. gada 1.janvāra Latvijas Kultūras koledža ir kļuvusi par Latvijas Kultūras akadēmijas aģentūru. </w:t>
      </w:r>
      <w:r w:rsidR="00204617">
        <w:rPr>
          <w:szCs w:val="24"/>
        </w:rPr>
        <w:t>K</w:t>
      </w:r>
      <w:r w:rsidR="00204617" w:rsidRPr="00E52F72">
        <w:t>opš 2015.gada 2.februāra Rīgas Uzņēmējdarbības koledža</w:t>
      </w:r>
      <w:r w:rsidR="00204617">
        <w:t xml:space="preserve"> ir reorganizēta par</w:t>
      </w:r>
      <w:r w:rsidR="00204617" w:rsidRPr="00E52F72">
        <w:t xml:space="preserve"> Banku augstskolas aģentūr</w:t>
      </w:r>
      <w:r w:rsidR="00204617">
        <w:t>u</w:t>
      </w:r>
      <w:r w:rsidR="00204617" w:rsidRPr="00E52F72">
        <w:t xml:space="preserve"> </w:t>
      </w:r>
      <w:r w:rsidR="00204617">
        <w:t>B</w:t>
      </w:r>
      <w:r w:rsidR="00204617" w:rsidRPr="00E52F72">
        <w:t xml:space="preserve">anku augstskolas Uzņēmējdarbības koledža. Banku augstskolas Uzņēmējdarbības koledža turpina īstenot divas no </w:t>
      </w:r>
      <w:r w:rsidRPr="00E52F72">
        <w:t>Rīgas Uzņēmējdarbības koledža</w:t>
      </w:r>
      <w:r>
        <w:t>s</w:t>
      </w:r>
      <w:r w:rsidR="00204617" w:rsidRPr="00E52F72">
        <w:t xml:space="preserve"> sociālo zinātņu jomas studiju programmām, bet vēl divas programmas, kas attiecas uz STEM jomu, tika nodotas </w:t>
      </w:r>
      <w:r w:rsidR="00204617" w:rsidRPr="00E52F72">
        <w:rPr>
          <w:bCs/>
        </w:rPr>
        <w:t xml:space="preserve">PIKC </w:t>
      </w:r>
      <w:r w:rsidR="00204617" w:rsidRPr="007E7549">
        <w:t>„</w:t>
      </w:r>
      <w:r w:rsidR="00204617" w:rsidRPr="00E52F72">
        <w:rPr>
          <w:bCs/>
        </w:rPr>
        <w:t>Rīgas Tehniskā koledža" un Olaines Mehānikas un tehnoloģijas koledžai</w:t>
      </w:r>
      <w:r w:rsidR="00204617">
        <w:t>.</w:t>
      </w:r>
    </w:p>
    <w:p w:rsidR="00204617" w:rsidRPr="006B4BCE" w:rsidRDefault="00204617" w:rsidP="006B4BCE">
      <w:pPr>
        <w:rPr>
          <w:szCs w:val="24"/>
        </w:rPr>
      </w:pPr>
      <w:r>
        <w:tab/>
      </w:r>
      <w:r w:rsidRPr="007E7549">
        <w:t xml:space="preserve">Vienlaikus </w:t>
      </w:r>
      <w:r w:rsidRPr="007E7549">
        <w:rPr>
          <w:szCs w:val="24"/>
        </w:rPr>
        <w:t>IZM īsteno tās padotībā esošo profesionālās izglītības iestāžu tīkla optimizāciju. Viens no optimizācijas un resursu efektīvas izmantošanas veidiem ir profesionālās izglītības iestādes pievienošana koledžai.</w:t>
      </w:r>
      <w:r w:rsidRPr="007E7549">
        <w:rPr>
          <w:rStyle w:val="FootnoteReference"/>
          <w:szCs w:val="24"/>
        </w:rPr>
        <w:footnoteReference w:id="23"/>
      </w:r>
      <w:r w:rsidRPr="00CF7315">
        <w:rPr>
          <w:szCs w:val="24"/>
          <w:vertAlign w:val="superscript"/>
        </w:rPr>
        <w:t>,</w:t>
      </w:r>
      <w:r>
        <w:rPr>
          <w:rStyle w:val="FootnoteReference"/>
          <w:szCs w:val="24"/>
        </w:rPr>
        <w:footnoteReference w:id="24"/>
      </w:r>
      <w:r w:rsidRPr="007E7549">
        <w:rPr>
          <w:szCs w:val="24"/>
        </w:rPr>
        <w:t xml:space="preserve"> </w:t>
      </w:r>
    </w:p>
    <w:p w:rsidR="00204617" w:rsidRDefault="00204617" w:rsidP="00204617">
      <w:pPr>
        <w:tabs>
          <w:tab w:val="left" w:pos="7088"/>
        </w:tabs>
        <w:ind w:firstLine="720"/>
      </w:pPr>
      <w:r w:rsidRPr="007E7549">
        <w:lastRenderedPageBreak/>
        <w:t xml:space="preserve">Rīgas Celtniecības koledžai, pamatojoties uz Ministru kabineta 2013.gada 24.septembra rīkojumu Nr.436 „Par Rīgas Būvniecības vidusskolas likvidāciju”, ar 2014.gada 1.janvāri ir pievienota IZM padotībā esoša profesionālās izglītības iestāde </w:t>
      </w:r>
      <w:r w:rsidR="00C6522D">
        <w:t>–</w:t>
      </w:r>
      <w:r w:rsidRPr="007E7549">
        <w:t xml:space="preserve"> Rīgas Būvniecības vidusskola. Rīgas Celtniecības koledža tika noteikta par Rīgas Būvniecības vidusskolas izglītības programmu, funkciju, tiesību, saistību, prasību, finanšu līdzekļu, bilancē esošās kustamās mantas, lietvedības un arhīva pārņēmēju. Reorganizācijas rezultātā ir stiprināta Rīgas Celtniecības koledža, būvniecības programmu konsolidācijas rezultātā ļaujot tai kļūt par Būvniecības programmu īstenošanas centru Rīgā, kas nodrošinās būvniecības nozares vajadzībām nepieciešamo speciālistu sagatavošanu un būvniecības nozares turpmāku attīstību.</w:t>
      </w:r>
      <w:r>
        <w:t xml:space="preserve"> </w:t>
      </w:r>
    </w:p>
    <w:p w:rsidR="00204617" w:rsidRDefault="00204617" w:rsidP="009933AA">
      <w:pPr>
        <w:tabs>
          <w:tab w:val="left" w:pos="7088"/>
        </w:tabs>
        <w:ind w:firstLine="720"/>
        <w:rPr>
          <w:szCs w:val="24"/>
        </w:rPr>
      </w:pPr>
      <w:r>
        <w:rPr>
          <w:szCs w:val="24"/>
        </w:rPr>
        <w:t xml:space="preserve">Savukārt </w:t>
      </w:r>
      <w:r w:rsidRPr="00E14948">
        <w:rPr>
          <w:szCs w:val="24"/>
        </w:rPr>
        <w:t xml:space="preserve">Malnavas koledža, pamatojoties uz </w:t>
      </w:r>
      <w:r w:rsidRPr="00D34B97">
        <w:rPr>
          <w:szCs w:val="24"/>
        </w:rPr>
        <w:t xml:space="preserve">Ministru kabineta 2015.gada 17.jūlija rīkojumu Nr.394 „Par </w:t>
      </w:r>
      <w:proofErr w:type="spellStart"/>
      <w:r w:rsidRPr="00D34B97">
        <w:rPr>
          <w:szCs w:val="24"/>
        </w:rPr>
        <w:t>Viduslatgales</w:t>
      </w:r>
      <w:proofErr w:type="spellEnd"/>
      <w:r w:rsidRPr="00D34B97">
        <w:rPr>
          <w:szCs w:val="24"/>
        </w:rPr>
        <w:t xml:space="preserve"> Profesionālās vidusskolas likvidāciju”, ar 2015.gada 1.septembri ir </w:t>
      </w:r>
      <w:proofErr w:type="spellStart"/>
      <w:r w:rsidRPr="00D34B97">
        <w:rPr>
          <w:szCs w:val="24"/>
        </w:rPr>
        <w:t>Viduslatgales</w:t>
      </w:r>
      <w:proofErr w:type="spellEnd"/>
      <w:r w:rsidRPr="00D34B97">
        <w:rPr>
          <w:szCs w:val="24"/>
        </w:rPr>
        <w:t xml:space="preserve"> Profesionālās vidusskolas funkciju, tiesību, saistību, prasību, finanšu līdzekļu, bilancē esošās kustamās mantas, lietvedības un arhīva pārņēmēja attiecībā uz profesionālās izglītības programmām Autotransports, </w:t>
      </w:r>
      <w:r>
        <w:rPr>
          <w:szCs w:val="24"/>
        </w:rPr>
        <w:t>L</w:t>
      </w:r>
      <w:r w:rsidRPr="00D34B97">
        <w:rPr>
          <w:szCs w:val="24"/>
        </w:rPr>
        <w:t>auksaimniecība, Lauksaimniecības tehnika un Datorsistēmas</w:t>
      </w:r>
      <w:r w:rsidRPr="00D34B97">
        <w:rPr>
          <w:rFonts w:ascii="Arial" w:hAnsi="Arial" w:cs="Arial"/>
          <w:sz w:val="18"/>
          <w:szCs w:val="18"/>
        </w:rPr>
        <w:t xml:space="preserve">, </w:t>
      </w:r>
      <w:r w:rsidRPr="00D34B97">
        <w:rPr>
          <w:szCs w:val="24"/>
        </w:rPr>
        <w:t>saglabājot programmu norises vietu Višķos, Daugavpils novadā.</w:t>
      </w:r>
    </w:p>
    <w:p w:rsidR="00331D42" w:rsidRPr="00D34B97" w:rsidRDefault="00331D42" w:rsidP="009933AA">
      <w:pPr>
        <w:tabs>
          <w:tab w:val="left" w:pos="7088"/>
        </w:tabs>
        <w:ind w:firstLine="720"/>
        <w:rPr>
          <w:szCs w:val="24"/>
        </w:rPr>
      </w:pPr>
      <w:r>
        <w:rPr>
          <w:bCs/>
        </w:rPr>
        <w:t xml:space="preserve">Ar 2016.gada 1.novembri plānots reorganizēt arī </w:t>
      </w:r>
      <w:r w:rsidRPr="00252757">
        <w:rPr>
          <w:bCs/>
        </w:rPr>
        <w:t xml:space="preserve">Jēkabpils </w:t>
      </w:r>
      <w:proofErr w:type="spellStart"/>
      <w:r w:rsidRPr="00252757">
        <w:rPr>
          <w:bCs/>
        </w:rPr>
        <w:t>Agrobiznesa</w:t>
      </w:r>
      <w:proofErr w:type="spellEnd"/>
      <w:r w:rsidRPr="00252757">
        <w:rPr>
          <w:bCs/>
        </w:rPr>
        <w:t xml:space="preserve"> koledž</w:t>
      </w:r>
      <w:r>
        <w:rPr>
          <w:bCs/>
        </w:rPr>
        <w:t xml:space="preserve">u un Barkavas </w:t>
      </w:r>
      <w:r w:rsidR="00AC5213">
        <w:rPr>
          <w:bCs/>
        </w:rPr>
        <w:t>P</w:t>
      </w:r>
      <w:r>
        <w:rPr>
          <w:bCs/>
        </w:rPr>
        <w:t xml:space="preserve">rofesionālo vidusskolu, apvienojot tās un izveidojot Izglītības un zinātnes ministrijas padotībā esošu izglītības iestādi </w:t>
      </w:r>
      <w:r w:rsidRPr="00046D03">
        <w:t>–</w:t>
      </w:r>
      <w:r>
        <w:rPr>
          <w:bCs/>
        </w:rPr>
        <w:t xml:space="preserve"> Jēkabpils koledžu. R</w:t>
      </w:r>
      <w:r w:rsidRPr="00DF6413">
        <w:rPr>
          <w:bCs/>
        </w:rPr>
        <w:t xml:space="preserve">eorganizācijas rezultātā izveidotā </w:t>
      </w:r>
      <w:r>
        <w:rPr>
          <w:bCs/>
        </w:rPr>
        <w:t>Jēkabpils</w:t>
      </w:r>
      <w:r w:rsidRPr="00DF6413">
        <w:rPr>
          <w:bCs/>
        </w:rPr>
        <w:t xml:space="preserve"> koledža </w:t>
      </w:r>
      <w:r>
        <w:rPr>
          <w:bCs/>
        </w:rPr>
        <w:t xml:space="preserve">(ar struktūrvienību Barkavā) </w:t>
      </w:r>
      <w:r w:rsidRPr="00DF6413">
        <w:rPr>
          <w:bCs/>
        </w:rPr>
        <w:t xml:space="preserve">pārņems abu izglītības iestāžu īstenotās programmas, funkcijas, tiesības, saistības, </w:t>
      </w:r>
      <w:r w:rsidR="00F62C21">
        <w:rPr>
          <w:bCs/>
        </w:rPr>
        <w:t xml:space="preserve">prasības, </w:t>
      </w:r>
      <w:r w:rsidRPr="00DF6413">
        <w:rPr>
          <w:bCs/>
        </w:rPr>
        <w:t>finanšu līdzekļus, bilancē esošo mantu, lietvedību un arhīvu</w:t>
      </w:r>
      <w:r>
        <w:rPr>
          <w:bCs/>
        </w:rPr>
        <w:t>.</w:t>
      </w:r>
      <w:r w:rsidRPr="00DF6413">
        <w:rPr>
          <w:bCs/>
        </w:rPr>
        <w:t xml:space="preserve"> </w:t>
      </w:r>
    </w:p>
    <w:p w:rsidR="00E310CB" w:rsidRDefault="00D42476">
      <w:pPr>
        <w:pStyle w:val="Default"/>
        <w:ind w:firstLine="720"/>
        <w:jc w:val="both"/>
        <w:rPr>
          <w:bCs/>
        </w:rPr>
      </w:pPr>
      <w:r>
        <w:rPr>
          <w:bCs/>
        </w:rPr>
        <w:t xml:space="preserve">Lai izglītības piedāvājumu arvien tuvinātu darbaspēka pieprasījumam, jau šobrīd tiek veikti pasākumi izglītības piedāvājuma struktūras maiņai, kuru rezultāti būs redzami jau tuvāko gadu laikā. Vienlaikus ir jāmeklē jaunas iespējas, tai skaitā arī finanšu instrumenti, lai nodrošinātu darbaspēka pieprasījumam atbilstošu izglītības piedāvājumu. </w:t>
      </w:r>
    </w:p>
    <w:p w:rsidR="00CC75B4" w:rsidRDefault="00D42476">
      <w:pPr>
        <w:pStyle w:val="Default"/>
        <w:ind w:firstLine="720"/>
        <w:jc w:val="both"/>
        <w:rPr>
          <w:highlight w:val="yellow"/>
        </w:rPr>
      </w:pPr>
      <w:r w:rsidRPr="00AD5682">
        <w:rPr>
          <w:color w:val="auto"/>
        </w:rPr>
        <w:t xml:space="preserve">IZM izstrādātajās Izglītības attīstības pamatnostādnēs 2014.- 2020.gadam viens </w:t>
      </w:r>
      <w:r>
        <w:t>no uzdevumiem izglītības politikas mērķu sasniegšanā paredz īstenot augstākās izglītības pārstrukturizēšanas pasākumus, kas vērsti uz studējošo skaita proporcijas maiņu atbilstoši darba tirgus vidēja termiņa un ilgtermiņa prognozēm, palielinot darba devēju lomu un motivāciju kvalitatīvas prakses nodrošināšanā un sniedzot atbalstu pirmā līmeņa profesionālās augstākās izglītības (koledžu) piedāvājuma palielināšanai un programmu īstenošanai nepieciešamās infrastruktūras modernizēšanai.</w:t>
      </w:r>
      <w:r>
        <w:rPr>
          <w:rStyle w:val="FootnoteReference"/>
        </w:rPr>
        <w:footnoteReference w:id="25"/>
      </w:r>
    </w:p>
    <w:p w:rsidR="00CC75B4" w:rsidRDefault="00D42476">
      <w:pPr>
        <w:autoSpaceDE w:val="0"/>
        <w:autoSpaceDN w:val="0"/>
        <w:adjustRightInd w:val="0"/>
        <w:ind w:firstLine="720"/>
        <w:rPr>
          <w:szCs w:val="26"/>
        </w:rPr>
      </w:pPr>
      <w:r>
        <w:rPr>
          <w:rFonts w:eastAsia="Calibri"/>
          <w:szCs w:val="24"/>
          <w:lang w:eastAsia="lv-LV"/>
        </w:rPr>
        <w:t>V</w:t>
      </w:r>
      <w:r w:rsidRPr="00C84611">
        <w:rPr>
          <w:rFonts w:eastAsia="Calibri"/>
          <w:szCs w:val="24"/>
          <w:lang w:eastAsia="lv-LV"/>
        </w:rPr>
        <w:t xml:space="preserve">iens no risinājumiem, lai mazinātu </w:t>
      </w:r>
      <w:r w:rsidRPr="00C84611">
        <w:t xml:space="preserve">neatbilstību starp augstākās </w:t>
      </w:r>
      <w:r w:rsidR="001269A4">
        <w:t xml:space="preserve">un profesionālās </w:t>
      </w:r>
      <w:r w:rsidRPr="00C84611">
        <w:t xml:space="preserve">izglītības piedāvājumu un darba tirgus pieprasījumu, ir </w:t>
      </w:r>
      <w:r w:rsidRPr="00C84611">
        <w:rPr>
          <w:rFonts w:eastAsia="Calibri"/>
          <w:szCs w:val="24"/>
          <w:lang w:eastAsia="lv-LV"/>
        </w:rPr>
        <w:t xml:space="preserve">palielināt STEM jomā </w:t>
      </w:r>
      <w:r w:rsidR="001269A4">
        <w:rPr>
          <w:rFonts w:eastAsia="Calibri"/>
        </w:rPr>
        <w:t>izglītojamo</w:t>
      </w:r>
      <w:r w:rsidRPr="00C84611">
        <w:rPr>
          <w:rFonts w:eastAsia="Calibri"/>
          <w:szCs w:val="24"/>
          <w:lang w:eastAsia="lv-LV"/>
        </w:rPr>
        <w:t xml:space="preserve"> skaitu koledžās, uzlabojot tajās </w:t>
      </w:r>
      <w:r w:rsidR="001269A4">
        <w:rPr>
          <w:rFonts w:eastAsia="Calibri"/>
        </w:rPr>
        <w:t>izglītības</w:t>
      </w:r>
      <w:r w:rsidRPr="00C84611">
        <w:rPr>
          <w:rFonts w:eastAsia="Calibri"/>
          <w:szCs w:val="24"/>
          <w:lang w:eastAsia="lv-LV"/>
        </w:rPr>
        <w:t xml:space="preserve"> vidi</w:t>
      </w:r>
      <w:r>
        <w:rPr>
          <w:rFonts w:eastAsia="Calibri"/>
          <w:szCs w:val="24"/>
          <w:lang w:eastAsia="lv-LV"/>
        </w:rPr>
        <w:t xml:space="preserve">, tādā veidā veicinot </w:t>
      </w:r>
      <w:r w:rsidR="001269A4">
        <w:rPr>
          <w:rFonts w:eastAsia="Calibri"/>
        </w:rPr>
        <w:t>koledžu konkurētspēju un ietekmējot</w:t>
      </w:r>
      <w:r w:rsidR="001269A4">
        <w:rPr>
          <w:rFonts w:eastAsia="Calibri"/>
          <w:szCs w:val="24"/>
          <w:lang w:eastAsia="lv-LV"/>
        </w:rPr>
        <w:t xml:space="preserve"> </w:t>
      </w:r>
      <w:r>
        <w:rPr>
          <w:rFonts w:eastAsia="Calibri"/>
          <w:szCs w:val="24"/>
          <w:lang w:eastAsia="lv-LV"/>
        </w:rPr>
        <w:t xml:space="preserve">potenciālo </w:t>
      </w:r>
      <w:r w:rsidR="001269A4">
        <w:rPr>
          <w:rFonts w:eastAsia="Calibri"/>
        </w:rPr>
        <w:t>izglītojamo</w:t>
      </w:r>
      <w:r>
        <w:rPr>
          <w:rFonts w:eastAsia="Calibri"/>
          <w:szCs w:val="24"/>
          <w:lang w:eastAsia="lv-LV"/>
        </w:rPr>
        <w:t xml:space="preserve"> interesi par </w:t>
      </w:r>
      <w:r w:rsidR="004C085F">
        <w:rPr>
          <w:rFonts w:eastAsia="Calibri"/>
          <w:szCs w:val="24"/>
          <w:lang w:eastAsia="lv-LV"/>
        </w:rPr>
        <w:t xml:space="preserve">studijām </w:t>
      </w:r>
      <w:r w:rsidR="001269A4">
        <w:rPr>
          <w:rFonts w:eastAsia="Calibri"/>
        </w:rPr>
        <w:t>un mācībām</w:t>
      </w:r>
      <w:r w:rsidR="001269A4">
        <w:rPr>
          <w:rFonts w:eastAsia="Calibri"/>
          <w:szCs w:val="24"/>
          <w:lang w:eastAsia="lv-LV"/>
        </w:rPr>
        <w:t xml:space="preserve"> </w:t>
      </w:r>
      <w:r w:rsidR="004C085F">
        <w:rPr>
          <w:rFonts w:eastAsia="Calibri"/>
          <w:szCs w:val="24"/>
          <w:lang w:eastAsia="lv-LV"/>
        </w:rPr>
        <w:t xml:space="preserve">STEM jomas </w:t>
      </w:r>
      <w:r w:rsidR="001269A4">
        <w:rPr>
          <w:rFonts w:eastAsia="Calibri"/>
        </w:rPr>
        <w:t xml:space="preserve">profesionālās izglītības </w:t>
      </w:r>
      <w:r w:rsidR="004C085F">
        <w:rPr>
          <w:rFonts w:eastAsia="Calibri"/>
          <w:szCs w:val="24"/>
          <w:lang w:eastAsia="lv-LV"/>
        </w:rPr>
        <w:t>programmās.</w:t>
      </w:r>
      <w:r w:rsidRPr="00C84611">
        <w:rPr>
          <w:rFonts w:eastAsia="Calibri"/>
          <w:szCs w:val="24"/>
          <w:lang w:eastAsia="lv-LV"/>
        </w:rPr>
        <w:t xml:space="preserve"> </w:t>
      </w:r>
      <w:r w:rsidR="00ED4D28">
        <w:rPr>
          <w:szCs w:val="26"/>
        </w:rPr>
        <w:t>Š</w:t>
      </w:r>
      <w:r>
        <w:rPr>
          <w:szCs w:val="26"/>
        </w:rPr>
        <w:t xml:space="preserve">ī mērķa sasniegšanu </w:t>
      </w:r>
      <w:r w:rsidR="00ED4D28">
        <w:rPr>
          <w:szCs w:val="26"/>
        </w:rPr>
        <w:t xml:space="preserve">sekmēs </w:t>
      </w:r>
      <w:r>
        <w:rPr>
          <w:szCs w:val="26"/>
        </w:rPr>
        <w:t xml:space="preserve">8.1.4. </w:t>
      </w:r>
      <w:r w:rsidR="00ED4D28">
        <w:rPr>
          <w:szCs w:val="26"/>
        </w:rPr>
        <w:t>SAM īstenošana</w:t>
      </w:r>
      <w:r>
        <w:rPr>
          <w:szCs w:val="24"/>
        </w:rPr>
        <w:t xml:space="preserve">. </w:t>
      </w:r>
    </w:p>
    <w:p w:rsidR="00D42476" w:rsidRDefault="00D42476" w:rsidP="00EB15F2">
      <w:pPr>
        <w:pStyle w:val="BodyText"/>
        <w:tabs>
          <w:tab w:val="num" w:pos="0"/>
        </w:tabs>
        <w:spacing w:after="0"/>
        <w:ind w:firstLine="720"/>
        <w:rPr>
          <w:szCs w:val="24"/>
        </w:rPr>
      </w:pPr>
      <w:r w:rsidRPr="00BB4E2D">
        <w:rPr>
          <w:szCs w:val="24"/>
        </w:rPr>
        <w:t xml:space="preserve">Viens no pēdējo piecu gadu laikā īstenotajiem reformu virzieniem augstākās izglītības jomā ir augstākās izglītības integrācija ar tautsaimniecību un </w:t>
      </w:r>
      <w:r w:rsidRPr="00BB4E2D">
        <w:rPr>
          <w:bCs/>
          <w:iCs/>
          <w:szCs w:val="24"/>
        </w:rPr>
        <w:t xml:space="preserve">darba devēju </w:t>
      </w:r>
      <w:r w:rsidRPr="00BB4E2D">
        <w:rPr>
          <w:szCs w:val="24"/>
        </w:rPr>
        <w:t xml:space="preserve">lomas palielināšana profesionālo augstākās izglītības studiju programmu izstrādē, studiju rezultātu formulēšanā un programmu atbilstības novērtēšanā. </w:t>
      </w:r>
      <w:r>
        <w:rPr>
          <w:szCs w:val="24"/>
        </w:rPr>
        <w:t xml:space="preserve">Pēdējo gadu laikā jau tiek īstenoti </w:t>
      </w:r>
      <w:r w:rsidRPr="00BB4E2D">
        <w:rPr>
          <w:bCs/>
          <w:szCs w:val="24"/>
        </w:rPr>
        <w:t xml:space="preserve">pasākumi augstākās </w:t>
      </w:r>
      <w:r>
        <w:rPr>
          <w:bCs/>
          <w:szCs w:val="24"/>
        </w:rPr>
        <w:t xml:space="preserve">izglītības pārstrukturizācijai, kas vērsti uz studējošo proporciju maiņu (pa studiju līmeņiem un studiju virzieniem) </w:t>
      </w:r>
      <w:r w:rsidRPr="00BB4E2D">
        <w:rPr>
          <w:szCs w:val="24"/>
        </w:rPr>
        <w:t>un budžeta vietu sadalei atbilstoši valsts interesēm un darba tirgus pieprasījumam</w:t>
      </w:r>
      <w:r>
        <w:rPr>
          <w:szCs w:val="24"/>
        </w:rPr>
        <w:t>.</w:t>
      </w:r>
      <w:r w:rsidRPr="00BB4E2D">
        <w:rPr>
          <w:szCs w:val="24"/>
        </w:rPr>
        <w:t xml:space="preserve"> Plānojot valsts budžeta finansēto studiju vietu skaitu, IZM ņem vērā EM sagatavotās vidēja termiņa un ilgtermiņa darba tirgus prognozes. </w:t>
      </w:r>
      <w:r>
        <w:rPr>
          <w:szCs w:val="24"/>
        </w:rPr>
        <w:t xml:space="preserve">Tā kā </w:t>
      </w:r>
      <w:r w:rsidRPr="00BB4E2D">
        <w:rPr>
          <w:szCs w:val="24"/>
        </w:rPr>
        <w:t>Latvijā ir iespējams iegūt augstāko izglītību gan par valsts budžeta līdzekļiem, gan per</w:t>
      </w:r>
      <w:r>
        <w:rPr>
          <w:szCs w:val="24"/>
        </w:rPr>
        <w:t>sonai pašai finansējot studijas, v</w:t>
      </w:r>
      <w:r w:rsidRPr="00BB4E2D">
        <w:rPr>
          <w:szCs w:val="24"/>
        </w:rPr>
        <w:t xml:space="preserve">alsts, nosakot finansējuma apjomu, var tieši ietekmēt no budžeta finansēto studiju vietu (programmu) sadalījumu pa nozarēm – </w:t>
      </w:r>
      <w:bookmarkStart w:id="14" w:name="OLE_LINK8"/>
      <w:bookmarkStart w:id="15" w:name="OLE_LINK9"/>
      <w:r w:rsidRPr="00BB4E2D">
        <w:rPr>
          <w:szCs w:val="24"/>
        </w:rPr>
        <w:t>izglītības tematiskajām grupām</w:t>
      </w:r>
      <w:bookmarkEnd w:id="14"/>
      <w:bookmarkEnd w:id="15"/>
      <w:r w:rsidRPr="00BB4E2D">
        <w:rPr>
          <w:szCs w:val="24"/>
        </w:rPr>
        <w:t xml:space="preserve">. </w:t>
      </w:r>
      <w:r w:rsidR="00761FB9">
        <w:rPr>
          <w:szCs w:val="24"/>
        </w:rPr>
        <w:t xml:space="preserve">Budžeta vietas </w:t>
      </w:r>
      <w:r w:rsidR="00761FB9">
        <w:rPr>
          <w:szCs w:val="24"/>
        </w:rPr>
        <w:lastRenderedPageBreak/>
        <w:t xml:space="preserve">prioritāri tiek piešķirtas </w:t>
      </w:r>
      <w:r w:rsidRPr="00BB4E2D">
        <w:rPr>
          <w:szCs w:val="24"/>
        </w:rPr>
        <w:t>stud</w:t>
      </w:r>
      <w:r w:rsidR="00761FB9">
        <w:rPr>
          <w:szCs w:val="24"/>
        </w:rPr>
        <w:t>ijām</w:t>
      </w:r>
      <w:r w:rsidRPr="00BB4E2D">
        <w:rPr>
          <w:szCs w:val="24"/>
        </w:rPr>
        <w:t xml:space="preserve"> inženierzinātņu, dabas zinātņu, vides zinātņu un medicīnas izglītības tematiskajās grupās</w:t>
      </w:r>
      <w:r w:rsidR="001323F8">
        <w:rPr>
          <w:szCs w:val="24"/>
        </w:rPr>
        <w:t xml:space="preserve">. </w:t>
      </w:r>
    </w:p>
    <w:p w:rsidR="00D42476" w:rsidRPr="008010DF" w:rsidRDefault="00A031D5" w:rsidP="00D42476">
      <w:pPr>
        <w:autoSpaceDE w:val="0"/>
        <w:autoSpaceDN w:val="0"/>
        <w:adjustRightInd w:val="0"/>
        <w:spacing w:after="120"/>
        <w:ind w:firstLine="567"/>
        <w:rPr>
          <w:bCs/>
          <w:szCs w:val="24"/>
        </w:rPr>
      </w:pPr>
      <w:r w:rsidRPr="007F0D69">
        <w:rPr>
          <w:szCs w:val="24"/>
        </w:rPr>
        <w:t>8.1.4.</w:t>
      </w:r>
      <w:r>
        <w:rPr>
          <w:szCs w:val="24"/>
        </w:rPr>
        <w:t xml:space="preserve"> </w:t>
      </w:r>
      <w:r w:rsidR="00ED4D28" w:rsidRPr="007F0D69">
        <w:rPr>
          <w:szCs w:val="24"/>
        </w:rPr>
        <w:t xml:space="preserve">SAM </w:t>
      </w:r>
      <w:r w:rsidR="00D42476" w:rsidRPr="007F0D69">
        <w:rPr>
          <w:szCs w:val="24"/>
        </w:rPr>
        <w:t>ietvaros plānot</w:t>
      </w:r>
      <w:r w:rsidR="00D42476">
        <w:rPr>
          <w:szCs w:val="24"/>
        </w:rPr>
        <w:t>ajām darbībām ir sasaiste</w:t>
      </w:r>
      <w:r>
        <w:rPr>
          <w:szCs w:val="24"/>
        </w:rPr>
        <w:t xml:space="preserve"> ar valsts budžeta iniciatīvām. </w:t>
      </w:r>
      <w:r w:rsidR="00D42476" w:rsidRPr="000F06DE">
        <w:rPr>
          <w:szCs w:val="24"/>
        </w:rPr>
        <w:t xml:space="preserve">Mērķtiecīgam speciālistu skaita palielinājumam </w:t>
      </w:r>
      <w:r w:rsidR="00D42476">
        <w:rPr>
          <w:szCs w:val="24"/>
        </w:rPr>
        <w:t xml:space="preserve">STEM </w:t>
      </w:r>
      <w:r w:rsidR="00D42476" w:rsidRPr="000F06DE">
        <w:rPr>
          <w:szCs w:val="24"/>
        </w:rPr>
        <w:t>jomā ir nepieciešams sistemātisks finansiāls nodrošinājums studiju vietām attiecīgajās studiju programmās</w:t>
      </w:r>
      <w:r w:rsidR="00D42476">
        <w:rPr>
          <w:szCs w:val="24"/>
        </w:rPr>
        <w:t xml:space="preserve">. </w:t>
      </w:r>
      <w:r w:rsidR="00D42476" w:rsidRPr="00E40903">
        <w:rPr>
          <w:bCs/>
          <w:szCs w:val="24"/>
        </w:rPr>
        <w:t>Plānojot valsts budžeta finansēto studiju vietu sadalījumu</w:t>
      </w:r>
      <w:r w:rsidR="00D42476">
        <w:rPr>
          <w:bCs/>
          <w:szCs w:val="24"/>
        </w:rPr>
        <w:t xml:space="preserve"> </w:t>
      </w:r>
      <w:r w:rsidR="0040644A">
        <w:rPr>
          <w:bCs/>
          <w:szCs w:val="24"/>
        </w:rPr>
        <w:t>2016</w:t>
      </w:r>
      <w:r w:rsidR="00D42476">
        <w:rPr>
          <w:bCs/>
          <w:szCs w:val="24"/>
        </w:rPr>
        <w:t>.gadam</w:t>
      </w:r>
      <w:r w:rsidR="00D42476" w:rsidRPr="00E40903">
        <w:rPr>
          <w:bCs/>
          <w:szCs w:val="24"/>
        </w:rPr>
        <w:t xml:space="preserve">, </w:t>
      </w:r>
      <w:r w:rsidR="00D42476">
        <w:rPr>
          <w:bCs/>
          <w:szCs w:val="24"/>
        </w:rPr>
        <w:t xml:space="preserve">tika </w:t>
      </w:r>
      <w:r w:rsidR="00D42476" w:rsidRPr="00E40903">
        <w:rPr>
          <w:bCs/>
          <w:szCs w:val="24"/>
        </w:rPr>
        <w:t xml:space="preserve">ievērotas </w:t>
      </w:r>
      <w:r w:rsidR="00D42476" w:rsidRPr="008010DF">
        <w:rPr>
          <w:bCs/>
          <w:szCs w:val="24"/>
        </w:rPr>
        <w:t>EM prognozes un priekšlikumi:</w:t>
      </w:r>
    </w:p>
    <w:p w:rsidR="00D42476" w:rsidRPr="00E40903" w:rsidRDefault="00D42476" w:rsidP="00722156">
      <w:pPr>
        <w:numPr>
          <w:ilvl w:val="0"/>
          <w:numId w:val="13"/>
        </w:numPr>
        <w:rPr>
          <w:szCs w:val="24"/>
        </w:rPr>
      </w:pPr>
      <w:r w:rsidRPr="00E40903">
        <w:rPr>
          <w:szCs w:val="24"/>
        </w:rPr>
        <w:t>iespēju robežās palielināt studiju vietu skaitu dabaszinātņu un inženierzinātņu nozarēs;</w:t>
      </w:r>
    </w:p>
    <w:p w:rsidR="00D42476" w:rsidRPr="00E40903" w:rsidRDefault="00D42476" w:rsidP="00722156">
      <w:pPr>
        <w:numPr>
          <w:ilvl w:val="0"/>
          <w:numId w:val="13"/>
        </w:numPr>
        <w:rPr>
          <w:szCs w:val="24"/>
        </w:rPr>
      </w:pPr>
      <w:r w:rsidRPr="00E40903">
        <w:rPr>
          <w:szCs w:val="24"/>
        </w:rPr>
        <w:t xml:space="preserve">palielināt studiju vietu skaitu koledžās </w:t>
      </w:r>
      <w:r w:rsidR="004779F6">
        <w:rPr>
          <w:szCs w:val="24"/>
        </w:rPr>
        <w:t>–</w:t>
      </w:r>
      <w:r w:rsidRPr="00E40903">
        <w:rPr>
          <w:szCs w:val="24"/>
        </w:rPr>
        <w:t xml:space="preserve"> galvenokārt</w:t>
      </w:r>
      <w:r w:rsidR="004779F6">
        <w:rPr>
          <w:szCs w:val="24"/>
        </w:rPr>
        <w:t xml:space="preserve"> </w:t>
      </w:r>
      <w:r w:rsidRPr="00E40903">
        <w:rPr>
          <w:szCs w:val="24"/>
        </w:rPr>
        <w:t>dabaszi</w:t>
      </w:r>
      <w:r>
        <w:rPr>
          <w:szCs w:val="24"/>
        </w:rPr>
        <w:t>nātņu un inženierzinātņu nozarē</w:t>
      </w:r>
      <w:r w:rsidRPr="00E40903">
        <w:rPr>
          <w:szCs w:val="24"/>
        </w:rPr>
        <w:t>s;</w:t>
      </w:r>
    </w:p>
    <w:p w:rsidR="00D42476" w:rsidRPr="00E40903" w:rsidRDefault="00D42476" w:rsidP="00722156">
      <w:pPr>
        <w:numPr>
          <w:ilvl w:val="0"/>
          <w:numId w:val="13"/>
        </w:numPr>
        <w:rPr>
          <w:szCs w:val="24"/>
        </w:rPr>
      </w:pPr>
      <w:r>
        <w:rPr>
          <w:szCs w:val="24"/>
        </w:rPr>
        <w:t>pakāpeniski sa</w:t>
      </w:r>
      <w:r w:rsidRPr="00E40903">
        <w:rPr>
          <w:szCs w:val="24"/>
        </w:rPr>
        <w:t>mazināt studiju vietu skaitu sociālajās zinātnēs;</w:t>
      </w:r>
    </w:p>
    <w:p w:rsidR="00D42476" w:rsidRPr="00E40903" w:rsidRDefault="00D42476" w:rsidP="00722156">
      <w:pPr>
        <w:numPr>
          <w:ilvl w:val="0"/>
          <w:numId w:val="13"/>
        </w:numPr>
        <w:rPr>
          <w:szCs w:val="24"/>
        </w:rPr>
      </w:pPr>
      <w:r w:rsidRPr="00E40903">
        <w:rPr>
          <w:szCs w:val="24"/>
        </w:rPr>
        <w:t>papildu finansējumu izlietot, nodrošinot lielāku finansējumu katrai studiju vietai, īpaši dabaszinātņu un inženierzinātņu nozarēs.</w:t>
      </w:r>
      <w:r>
        <w:rPr>
          <w:szCs w:val="24"/>
        </w:rPr>
        <w:t xml:space="preserve"> </w:t>
      </w:r>
    </w:p>
    <w:p w:rsidR="00D42476" w:rsidRDefault="00D42476" w:rsidP="00D42476">
      <w:pPr>
        <w:pStyle w:val="BodyText"/>
        <w:tabs>
          <w:tab w:val="num" w:pos="0"/>
        </w:tabs>
        <w:ind w:firstLine="357"/>
        <w:rPr>
          <w:szCs w:val="24"/>
        </w:rPr>
      </w:pPr>
    </w:p>
    <w:p w:rsidR="00D42476" w:rsidRDefault="00D42476" w:rsidP="000423B7">
      <w:pPr>
        <w:pStyle w:val="Default"/>
        <w:spacing w:after="120"/>
        <w:ind w:firstLine="720"/>
        <w:jc w:val="both"/>
      </w:pPr>
      <w:r w:rsidRPr="007F3F75">
        <w:t xml:space="preserve">Saskaņā ar </w:t>
      </w:r>
      <w:r w:rsidRPr="004C3E08">
        <w:rPr>
          <w:iCs/>
        </w:rPr>
        <w:t>Izglītības attīstības pamatnostādnēm 2014.-2020.gadam</w:t>
      </w:r>
      <w:r w:rsidRPr="004C3E08">
        <w:t>,</w:t>
      </w:r>
      <w:r w:rsidRPr="007F3F75">
        <w:t xml:space="preserve"> lai mazinātu dabaszinātņu un inženierzinātņu speciālistu iztrūkumu darba tirgū, līdz 2020. gadam plānots palielināt valsts finansētu studiju vietu īpatsvaru STEM programmās līdz 55</w:t>
      </w:r>
      <w:r w:rsidR="000003FD">
        <w:t xml:space="preserve"> </w:t>
      </w:r>
      <w:r w:rsidRPr="007F3F75">
        <w:t>% no kopējā budžeta vietu skaita</w:t>
      </w:r>
      <w:r w:rsidRPr="006D7A4E">
        <w:t>. Vienlaikus absolventu īpatsvars STEM virzienos varētu palielināties līdz 27</w:t>
      </w:r>
      <w:r w:rsidR="000003FD">
        <w:t xml:space="preserve"> </w:t>
      </w:r>
      <w:r w:rsidRPr="006D7A4E">
        <w:t>% no kopējā absolventu skaita</w:t>
      </w:r>
      <w:r>
        <w:t>, kas ir noteikts kā viens no sasniedzamajiem rezultatīvajiem rādītājiem uz 2020.gadu</w:t>
      </w:r>
      <w:r>
        <w:rPr>
          <w:rStyle w:val="FootnoteReference"/>
        </w:rPr>
        <w:footnoteReference w:id="26"/>
      </w:r>
      <w:r>
        <w:t xml:space="preserve">. </w:t>
      </w:r>
    </w:p>
    <w:p w:rsidR="00E177B1" w:rsidRDefault="00105511" w:rsidP="00D42476">
      <w:pPr>
        <w:autoSpaceDE w:val="0"/>
        <w:autoSpaceDN w:val="0"/>
        <w:adjustRightInd w:val="0"/>
        <w:spacing w:after="120"/>
        <w:ind w:firstLine="567"/>
        <w:rPr>
          <w:szCs w:val="24"/>
        </w:rPr>
      </w:pPr>
      <w:r w:rsidRPr="004C3E08">
        <w:rPr>
          <w:szCs w:val="24"/>
        </w:rPr>
        <w:t xml:space="preserve">Izvērtējot valsts budžeta finansēto studiju vietu sadalījumu </w:t>
      </w:r>
      <w:r w:rsidR="00186D1E" w:rsidRPr="004C3E08">
        <w:rPr>
          <w:szCs w:val="24"/>
        </w:rPr>
        <w:t xml:space="preserve">IZM padotībā esošajās </w:t>
      </w:r>
      <w:r w:rsidRPr="004C3E08">
        <w:rPr>
          <w:szCs w:val="24"/>
        </w:rPr>
        <w:t>koledžās</w:t>
      </w:r>
      <w:r w:rsidR="004C3E08">
        <w:rPr>
          <w:rStyle w:val="FootnoteReference"/>
          <w:szCs w:val="24"/>
        </w:rPr>
        <w:footnoteReference w:id="27"/>
      </w:r>
      <w:r w:rsidRPr="004C3E08">
        <w:rPr>
          <w:szCs w:val="24"/>
        </w:rPr>
        <w:t xml:space="preserve"> 201</w:t>
      </w:r>
      <w:r w:rsidR="00186D1E" w:rsidRPr="004C3E08">
        <w:rPr>
          <w:szCs w:val="24"/>
        </w:rPr>
        <w:t>6</w:t>
      </w:r>
      <w:r w:rsidRPr="004C3E08">
        <w:rPr>
          <w:szCs w:val="24"/>
        </w:rPr>
        <w:t>.gadā, secināms, ka jau šobrīd lielākais budžeta vietu skaits tiek piešķirts studiju programmām, kas attiecas uz STEM jomu (</w:t>
      </w:r>
      <w:r w:rsidR="00186D1E" w:rsidRPr="004C3E08">
        <w:rPr>
          <w:szCs w:val="24"/>
        </w:rPr>
        <w:t>89,8</w:t>
      </w:r>
      <w:r w:rsidR="000003FD">
        <w:rPr>
          <w:szCs w:val="24"/>
        </w:rPr>
        <w:t xml:space="preserve"> </w:t>
      </w:r>
      <w:r w:rsidRPr="004C3E08">
        <w:rPr>
          <w:szCs w:val="24"/>
        </w:rPr>
        <w:t>% no kopējā valsts budžeta finansēto studiju vietu skaita</w:t>
      </w:r>
      <w:r w:rsidR="00D92155" w:rsidRPr="004C3E08">
        <w:rPr>
          <w:szCs w:val="24"/>
        </w:rPr>
        <w:t xml:space="preserve"> koledžās</w:t>
      </w:r>
      <w:r w:rsidRPr="004C3E08">
        <w:rPr>
          <w:szCs w:val="24"/>
        </w:rPr>
        <w:t xml:space="preserve">). </w:t>
      </w:r>
      <w:r w:rsidR="00E177B1">
        <w:rPr>
          <w:szCs w:val="24"/>
        </w:rPr>
        <w:br w:type="page"/>
      </w:r>
    </w:p>
    <w:p w:rsidR="00B03774" w:rsidRDefault="00C6434A">
      <w:pPr>
        <w:pStyle w:val="NormalWeb"/>
        <w:shd w:val="clear" w:color="auto" w:fill="FFFFFF"/>
        <w:spacing w:before="0" w:beforeAutospacing="0" w:after="0" w:afterAutospacing="0"/>
        <w:ind w:firstLine="720"/>
        <w:jc w:val="right"/>
      </w:pPr>
      <w:r>
        <w:lastRenderedPageBreak/>
        <w:t>1.1</w:t>
      </w:r>
      <w:r w:rsidR="000C7B95">
        <w:t>3</w:t>
      </w:r>
      <w:r>
        <w:t>.</w:t>
      </w:r>
      <w:r w:rsidR="004C3E08">
        <w:t>attēls</w:t>
      </w:r>
      <w:r>
        <w:t xml:space="preserve"> </w:t>
      </w:r>
    </w:p>
    <w:p w:rsidR="00820F72" w:rsidRPr="004C3E08" w:rsidRDefault="00433442">
      <w:pPr>
        <w:pStyle w:val="NormalWeb"/>
        <w:shd w:val="clear" w:color="auto" w:fill="FFFFFF"/>
        <w:spacing w:before="0" w:beforeAutospacing="0" w:after="0" w:afterAutospacing="0"/>
        <w:ind w:firstLine="720"/>
        <w:jc w:val="center"/>
        <w:rPr>
          <w:b/>
        </w:rPr>
      </w:pPr>
      <w:r w:rsidRPr="004C3E08">
        <w:rPr>
          <w:b/>
        </w:rPr>
        <w:t xml:space="preserve">Valsts budžeta finansēto studiju vietu </w:t>
      </w:r>
      <w:r w:rsidR="00976D1B">
        <w:rPr>
          <w:b/>
        </w:rPr>
        <w:t>skaits</w:t>
      </w:r>
      <w:r w:rsidR="00C6434A" w:rsidRPr="004C3E08">
        <w:rPr>
          <w:b/>
        </w:rPr>
        <w:t xml:space="preserve"> sadalījumā pa izglītības tematiskajām grupām</w:t>
      </w:r>
      <w:r w:rsidRPr="004C3E08">
        <w:rPr>
          <w:b/>
        </w:rPr>
        <w:t xml:space="preserve"> koledžās 201</w:t>
      </w:r>
      <w:r w:rsidR="00CA4CB7" w:rsidRPr="004C3E08">
        <w:rPr>
          <w:b/>
        </w:rPr>
        <w:t>6</w:t>
      </w:r>
      <w:r w:rsidRPr="004C3E08">
        <w:rPr>
          <w:b/>
        </w:rPr>
        <w:t>.gadā</w:t>
      </w:r>
    </w:p>
    <w:p w:rsidR="003C3D72" w:rsidRDefault="003C3D72">
      <w:pPr>
        <w:pStyle w:val="NormalWeb"/>
        <w:shd w:val="clear" w:color="auto" w:fill="FFFFFF"/>
        <w:spacing w:before="0" w:beforeAutospacing="0" w:after="0" w:afterAutospacing="0"/>
        <w:jc w:val="both"/>
      </w:pPr>
    </w:p>
    <w:p w:rsidR="003C3D72" w:rsidRDefault="00424BE9">
      <w:pPr>
        <w:pStyle w:val="NormalWeb"/>
        <w:shd w:val="clear" w:color="auto" w:fill="FFFFFF"/>
        <w:spacing w:before="0" w:beforeAutospacing="0" w:after="0" w:afterAutospacing="0"/>
        <w:jc w:val="both"/>
      </w:pPr>
      <w:r>
        <w:rPr>
          <w:noProof/>
        </w:rPr>
        <w:drawing>
          <wp:inline distT="0" distB="0" distL="0" distR="0">
            <wp:extent cx="5353050" cy="28956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24BE9" w:rsidRDefault="00424BE9">
      <w:pPr>
        <w:pStyle w:val="NormalWeb"/>
        <w:shd w:val="clear" w:color="auto" w:fill="FFFFFF"/>
        <w:spacing w:before="0" w:beforeAutospacing="0" w:after="0" w:afterAutospacing="0"/>
        <w:jc w:val="both"/>
      </w:pPr>
    </w:p>
    <w:p w:rsidR="00424BE9" w:rsidRPr="00383336" w:rsidRDefault="00424BE9" w:rsidP="00B03774">
      <w:pPr>
        <w:pStyle w:val="NormalWeb"/>
        <w:shd w:val="clear" w:color="auto" w:fill="FFFFFF"/>
        <w:spacing w:before="0" w:beforeAutospacing="0" w:after="0" w:afterAutospacing="0"/>
        <w:jc w:val="both"/>
        <w:rPr>
          <w:i/>
        </w:rPr>
      </w:pPr>
      <w:r w:rsidRPr="001350B8">
        <w:rPr>
          <w:i/>
        </w:rPr>
        <w:t>Avots: IZM dati</w:t>
      </w:r>
    </w:p>
    <w:p w:rsidR="00424BE9" w:rsidRDefault="00424BE9">
      <w:pPr>
        <w:pStyle w:val="NormalWeb"/>
        <w:shd w:val="clear" w:color="auto" w:fill="FFFFFF"/>
        <w:spacing w:before="0" w:beforeAutospacing="0" w:after="0" w:afterAutospacing="0"/>
        <w:jc w:val="both"/>
      </w:pPr>
    </w:p>
    <w:p w:rsidR="00820F72" w:rsidRDefault="00DF37A7" w:rsidP="00424BE9">
      <w:pPr>
        <w:pStyle w:val="NormalWeb"/>
        <w:shd w:val="clear" w:color="auto" w:fill="FFFFFF"/>
        <w:spacing w:before="0" w:beforeAutospacing="0" w:after="0" w:afterAutospacing="0"/>
        <w:ind w:firstLine="720"/>
        <w:jc w:val="both"/>
        <w:rPr>
          <w:bCs/>
        </w:rPr>
      </w:pPr>
      <w:r>
        <w:t>Kā redzams 1.1</w:t>
      </w:r>
      <w:r w:rsidR="000C7B95">
        <w:t>3</w:t>
      </w:r>
      <w:r>
        <w:t>.attēlā</w:t>
      </w:r>
      <w:r w:rsidR="00D92155">
        <w:t>,</w:t>
      </w:r>
      <w:r>
        <w:t xml:space="preserve"> </w:t>
      </w:r>
      <w:r w:rsidR="00120B11">
        <w:t xml:space="preserve">koledžās </w:t>
      </w:r>
      <w:r>
        <w:t>201</w:t>
      </w:r>
      <w:r w:rsidR="00CA4CB7">
        <w:t>6</w:t>
      </w:r>
      <w:r>
        <w:t xml:space="preserve">.gadā </w:t>
      </w:r>
      <w:r w:rsidR="00120B11">
        <w:t>vis</w:t>
      </w:r>
      <w:r>
        <w:t>lielāk</w:t>
      </w:r>
      <w:r w:rsidR="00120B11">
        <w:t>ais</w:t>
      </w:r>
      <w:r>
        <w:t xml:space="preserve"> budžeta vietu </w:t>
      </w:r>
      <w:r w:rsidR="00CA4CB7">
        <w:t xml:space="preserve">skaits un </w:t>
      </w:r>
      <w:r>
        <w:t>īpatsvar</w:t>
      </w:r>
      <w:r w:rsidR="00120B11">
        <w:t>s</w:t>
      </w:r>
      <w:r>
        <w:t xml:space="preserve"> kopējā budžeta vietu skaitā </w:t>
      </w:r>
      <w:r w:rsidR="00120B11">
        <w:t>ir</w:t>
      </w:r>
      <w:r>
        <w:t xml:space="preserve"> </w:t>
      </w:r>
      <w:r w:rsidR="00120B11">
        <w:t xml:space="preserve">izglītības tematiskajā grupā </w:t>
      </w:r>
      <w:r w:rsidR="00120B11" w:rsidRPr="00A40FA3">
        <w:rPr>
          <w:i/>
        </w:rPr>
        <w:t>Veselības aprūpe un sociālā labklājība</w:t>
      </w:r>
      <w:r w:rsidR="00120B11">
        <w:t xml:space="preserve"> – </w:t>
      </w:r>
      <w:r w:rsidR="00CA4CB7">
        <w:t>1547 vietas jeb 55</w:t>
      </w:r>
      <w:r w:rsidR="000003FD">
        <w:t xml:space="preserve"> </w:t>
      </w:r>
      <w:r w:rsidR="00CA4CB7">
        <w:t>%</w:t>
      </w:r>
      <w:r w:rsidR="004C3E08">
        <w:t>,</w:t>
      </w:r>
      <w:r w:rsidR="00120B11">
        <w:t xml:space="preserve"> bet otrs lielākais īpatsvars ir izglītības tematiskajā grupā </w:t>
      </w:r>
      <w:r w:rsidR="00120B11" w:rsidRPr="00A40FA3">
        <w:rPr>
          <w:i/>
        </w:rPr>
        <w:t>Inženierzinātnes, ražošana un būvniecība</w:t>
      </w:r>
      <w:r w:rsidR="00120B11">
        <w:t xml:space="preserve"> – </w:t>
      </w:r>
      <w:r w:rsidR="00CA4CB7">
        <w:t>827 vietas jeb 30</w:t>
      </w:r>
      <w:r w:rsidR="000003FD">
        <w:t xml:space="preserve"> </w:t>
      </w:r>
      <w:r w:rsidR="00CA4CB7">
        <w:t>%</w:t>
      </w:r>
      <w:r w:rsidR="004C3E08">
        <w:t>.</w:t>
      </w:r>
      <w:r w:rsidR="00120B11">
        <w:t xml:space="preserve"> Trešais lielākais budžeta vietu īpatsvars ir izglītības tematiskajā grupā </w:t>
      </w:r>
      <w:r w:rsidR="00186D1E" w:rsidRPr="00A40FA3">
        <w:rPr>
          <w:i/>
        </w:rPr>
        <w:t>Dabas zinātnes, matemātika un informācijas tehnoloģijas</w:t>
      </w:r>
      <w:r w:rsidR="00186D1E">
        <w:t xml:space="preserve"> – 134 vietas jeb 4,8%. </w:t>
      </w:r>
      <w:r w:rsidR="007F62E3">
        <w:t xml:space="preserve">Tātad </w:t>
      </w:r>
      <w:r w:rsidR="007F62E3">
        <w:rPr>
          <w:bCs/>
        </w:rPr>
        <w:t>p</w:t>
      </w:r>
      <w:r w:rsidR="007F62E3" w:rsidRPr="00E40903">
        <w:rPr>
          <w:bCs/>
        </w:rPr>
        <w:t>lāno</w:t>
      </w:r>
      <w:r w:rsidR="00436E19">
        <w:rPr>
          <w:bCs/>
        </w:rPr>
        <w:t>tais</w:t>
      </w:r>
      <w:r w:rsidR="007F62E3" w:rsidRPr="00E40903">
        <w:rPr>
          <w:bCs/>
        </w:rPr>
        <w:t xml:space="preserve"> valsts budžeta finansēto studiju vietu sadalījum</w:t>
      </w:r>
      <w:r w:rsidR="00436E19">
        <w:rPr>
          <w:bCs/>
        </w:rPr>
        <w:t>s</w:t>
      </w:r>
      <w:r w:rsidR="007F62E3">
        <w:rPr>
          <w:bCs/>
        </w:rPr>
        <w:t xml:space="preserve"> 201</w:t>
      </w:r>
      <w:r w:rsidR="00186D1E">
        <w:rPr>
          <w:bCs/>
        </w:rPr>
        <w:t>6</w:t>
      </w:r>
      <w:r w:rsidR="007F62E3">
        <w:rPr>
          <w:bCs/>
        </w:rPr>
        <w:t>.gadam koledžās</w:t>
      </w:r>
      <w:r w:rsidR="00436E19">
        <w:rPr>
          <w:bCs/>
        </w:rPr>
        <w:t xml:space="preserve"> atbilst nepieciešamajām </w:t>
      </w:r>
      <w:r w:rsidR="00436E19" w:rsidRPr="00D42476">
        <w:t>i</w:t>
      </w:r>
      <w:r w:rsidR="00436E19" w:rsidRPr="00D42476">
        <w:rPr>
          <w:szCs w:val="26"/>
        </w:rPr>
        <w:t>zglītības piedāvājuma strukturālajām izmaiņām darba tirgus disproporciju mazināšanai</w:t>
      </w:r>
      <w:r w:rsidR="00436E19">
        <w:rPr>
          <w:szCs w:val="26"/>
        </w:rPr>
        <w:t xml:space="preserve"> un, to plānojot,</w:t>
      </w:r>
      <w:r w:rsidR="007F62E3">
        <w:rPr>
          <w:bCs/>
        </w:rPr>
        <w:t xml:space="preserve"> ir ņemtas vērā darba tirgus tendences, kas atspoguļotas EM informatīvajā ziņojumā</w:t>
      </w:r>
      <w:r w:rsidR="00436E19">
        <w:rPr>
          <w:bCs/>
        </w:rPr>
        <w:t xml:space="preserve">. </w:t>
      </w:r>
    </w:p>
    <w:p w:rsidR="00D42476" w:rsidRDefault="00D42476" w:rsidP="000423B7">
      <w:pPr>
        <w:pStyle w:val="NormalWeb"/>
        <w:shd w:val="clear" w:color="auto" w:fill="FFFFFF"/>
        <w:spacing w:before="0" w:beforeAutospacing="0" w:after="0" w:afterAutospacing="0"/>
        <w:ind w:firstLine="720"/>
        <w:jc w:val="both"/>
      </w:pPr>
      <w:r w:rsidRPr="00BB12E4">
        <w:t>Atbalsts STEM studiju programmu attīst</w:t>
      </w:r>
      <w:r w:rsidRPr="00300A94">
        <w:t xml:space="preserve">ībai </w:t>
      </w:r>
      <w:r>
        <w:t xml:space="preserve">no valsts budžeta līdzekļiem </w:t>
      </w:r>
      <w:r w:rsidRPr="00300A94">
        <w:t xml:space="preserve">ir jāvērtē kopsakarā ar </w:t>
      </w:r>
      <w:r>
        <w:t>jauno augstākās izglītības finansēšanas modeli, kura ieviešanu IZM ir uzsākusi, balstoties uz Pasaules bankas pētījum</w:t>
      </w:r>
      <w:r w:rsidR="004779F6">
        <w:t>a</w:t>
      </w:r>
      <w:r>
        <w:t xml:space="preserve"> gala ziņojumā </w:t>
      </w:r>
      <w:r w:rsidR="0098650E" w:rsidRPr="005E3286">
        <w:t>„</w:t>
      </w:r>
      <w:r>
        <w:t>Piedāvājums augstākās izglītības finansēšanai vidējā termiņā”</w:t>
      </w:r>
      <w:r>
        <w:rPr>
          <w:rStyle w:val="FootnoteReference"/>
        </w:rPr>
        <w:footnoteReference w:id="28"/>
      </w:r>
      <w:r>
        <w:t xml:space="preserve"> secināto.</w:t>
      </w:r>
      <w:r w:rsidRPr="008937F8">
        <w:t xml:space="preserve"> </w:t>
      </w:r>
      <w:r w:rsidRPr="005E3286">
        <w:t xml:space="preserve">Saskaņā ar Pasaules bankas </w:t>
      </w:r>
      <w:r>
        <w:t>ieteikumu</w:t>
      </w:r>
      <w:r w:rsidRPr="005E3286">
        <w:t xml:space="preserve">, Latvijas sociālekonomiskajai situācijai atbilstošākais ir trīs pīlāru finansēšanas modelis, </w:t>
      </w:r>
      <w:r>
        <w:t xml:space="preserve">kur augstskolas un koledžas bāzes finansējums tiek papildināts ar uz sniegumu orientētiem elementiem un papildus tiek paredzēts atbalsts augstskolu profilu attīstībai un inovācijām. Jaunajā modelī studiju vietas, ar kuru palīdzību tiek nodrošināts STEM speciālistu pieaugums, tiks saglabāts kā sistēmas stabilitātes un ilgtspējas garants, tomēr ir nepieciešama efektīvāka šī komponenta izmantošana un plānošanas mehānismu optimizācija. </w:t>
      </w:r>
      <w:r w:rsidRPr="00BB12E4">
        <w:t>Augst</w:t>
      </w:r>
      <w:r w:rsidRPr="00300A94">
        <w:t>ākās izglītības finansēšanas</w:t>
      </w:r>
      <w:r>
        <w:t xml:space="preserve"> ieviešanas</w:t>
      </w:r>
      <w:r w:rsidRPr="00300A94">
        <w:t xml:space="preserve"> scenāriji un nepieciešamais papildu finansējums augstākajai izglītībai ir </w:t>
      </w:r>
      <w:r>
        <w:t xml:space="preserve">detalizēti skaidrots </w:t>
      </w:r>
      <w:r w:rsidRPr="005E3286">
        <w:t>konceptuālajā ziņojumā „Jauna augstākās izglītības finansēšanas modeļa ieviešana Latvijā”</w:t>
      </w:r>
      <w:r>
        <w:rPr>
          <w:rStyle w:val="FootnoteReference"/>
        </w:rPr>
        <w:footnoteReference w:id="29"/>
      </w:r>
      <w:r w:rsidRPr="005E3286">
        <w:t>.</w:t>
      </w:r>
    </w:p>
    <w:p w:rsidR="00D42476" w:rsidRPr="004E7DD4" w:rsidRDefault="00D42476" w:rsidP="00605BE8">
      <w:pPr>
        <w:pStyle w:val="Default"/>
        <w:spacing w:before="120"/>
        <w:ind w:firstLine="720"/>
        <w:jc w:val="both"/>
      </w:pPr>
      <w:r w:rsidRPr="004F4B12">
        <w:rPr>
          <w:color w:val="auto"/>
          <w:szCs w:val="28"/>
          <w:lang w:eastAsia="en-US"/>
        </w:rPr>
        <w:t xml:space="preserve">Lai meklētu risinājumus darba tirgus disproporciju mazināšanai, IZM ir izstrādājusi </w:t>
      </w:r>
      <w:r>
        <w:rPr>
          <w:szCs w:val="28"/>
          <w:lang w:eastAsia="en-US"/>
        </w:rPr>
        <w:t>informatīvo ziņojumu “</w:t>
      </w:r>
      <w:r w:rsidRPr="00D34FEA">
        <w:t xml:space="preserve">Par </w:t>
      </w:r>
      <w:r>
        <w:t xml:space="preserve">pasākumiem </w:t>
      </w:r>
      <w:r w:rsidRPr="00D34FEA">
        <w:t xml:space="preserve">matemātikas, dabaszinātņu un inženiertehniskās izglītības apguves kvalitātes un sagatavoto speciālistu </w:t>
      </w:r>
      <w:r>
        <w:t>piedāvājuma paaugstināšanā</w:t>
      </w:r>
      <w:r w:rsidRPr="00D34FEA">
        <w:t>”</w:t>
      </w:r>
      <w:r>
        <w:t xml:space="preserve"> (</w:t>
      </w:r>
      <w:r w:rsidRPr="00B3395A">
        <w:rPr>
          <w:i/>
        </w:rPr>
        <w:t xml:space="preserve">Izskatīts </w:t>
      </w:r>
      <w:r w:rsidRPr="00B3395A">
        <w:rPr>
          <w:i/>
        </w:rPr>
        <w:lastRenderedPageBreak/>
        <w:t>un akceptēts 02.06.2015. MK sēdē, protokols Nr.27 41.§.</w:t>
      </w:r>
      <w:r>
        <w:rPr>
          <w:i/>
        </w:rPr>
        <w:t>)</w:t>
      </w:r>
      <w:r>
        <w:rPr>
          <w:rStyle w:val="FootnoteReference"/>
          <w:i/>
        </w:rPr>
        <w:footnoteReference w:id="30"/>
      </w:r>
      <w:r>
        <w:t xml:space="preserve"> (turpmāk – IZM informatīvais ziņojums). Šajā ziņojumā, </w:t>
      </w:r>
      <w:r w:rsidRPr="0064419F">
        <w:rPr>
          <w:szCs w:val="28"/>
        </w:rPr>
        <w:t xml:space="preserve">ņemot vērā prognozējamo izglītojamo skaitu, finansējumu un teritoriālo izvietojumu, </w:t>
      </w:r>
      <w:r>
        <w:rPr>
          <w:szCs w:val="28"/>
        </w:rPr>
        <w:t xml:space="preserve">IZM ir </w:t>
      </w:r>
      <w:r w:rsidRPr="0064419F">
        <w:rPr>
          <w:szCs w:val="28"/>
        </w:rPr>
        <w:t>sagatavo</w:t>
      </w:r>
      <w:r>
        <w:rPr>
          <w:szCs w:val="28"/>
        </w:rPr>
        <w:t>jusi</w:t>
      </w:r>
      <w:r w:rsidRPr="0064419F">
        <w:rPr>
          <w:szCs w:val="28"/>
        </w:rPr>
        <w:t xml:space="preserve"> </w:t>
      </w:r>
      <w:r w:rsidRPr="004E7DD4">
        <w:rPr>
          <w:szCs w:val="28"/>
        </w:rPr>
        <w:t>vidēja termiņa</w:t>
      </w:r>
      <w:r w:rsidRPr="0064419F">
        <w:rPr>
          <w:szCs w:val="28"/>
        </w:rPr>
        <w:t xml:space="preserve"> rīcības virzienus par eksakto un dabaszinātņu priekšmetu apguves kvalitātes paaugstināšanu pamata un vispārējā vidējā izglītībā, izglītojamo skaita proporcijas maiņu vispārējā vidējā izglītībā par labu profesionālajai vidējai izglītībai, budžeta studiju vietu pārdali par labu dabas, eksaktajiem un inženierzinātņu virzieniem, profesionālās augstākās izglītības </w:t>
      </w:r>
      <w:r>
        <w:rPr>
          <w:szCs w:val="28"/>
        </w:rPr>
        <w:t xml:space="preserve">pirmā </w:t>
      </w:r>
      <w:r w:rsidRPr="0064419F">
        <w:rPr>
          <w:szCs w:val="28"/>
        </w:rPr>
        <w:t>līmeņa (koledžu) piedāvājuma palielināšanu, vienoto pieaugušo izglītības sistēmu konkrētām mērķa grupām, kā arī izvērtē</w:t>
      </w:r>
      <w:r>
        <w:rPr>
          <w:szCs w:val="28"/>
        </w:rPr>
        <w:t>jusi</w:t>
      </w:r>
      <w:r w:rsidRPr="0064419F">
        <w:rPr>
          <w:szCs w:val="28"/>
        </w:rPr>
        <w:t xml:space="preserve"> pasākumu ietekmi uz darba tirgus disproporciju mazināšanu.</w:t>
      </w:r>
    </w:p>
    <w:p w:rsidR="00D42476" w:rsidRDefault="00D42476" w:rsidP="00EB15F2">
      <w:pPr>
        <w:pStyle w:val="Default"/>
        <w:ind w:firstLine="720"/>
        <w:jc w:val="both"/>
        <w:rPr>
          <w:szCs w:val="28"/>
          <w:lang w:eastAsia="en-US"/>
        </w:rPr>
      </w:pPr>
      <w:r>
        <w:t xml:space="preserve">IZM </w:t>
      </w:r>
      <w:r w:rsidRPr="00FA38AA">
        <w:t>i</w:t>
      </w:r>
      <w:r>
        <w:t>nformatīvajā ziņojumā</w:t>
      </w:r>
      <w:r w:rsidRPr="00FA38AA">
        <w:t xml:space="preserve"> </w:t>
      </w:r>
      <w:r>
        <w:t>noteikto</w:t>
      </w:r>
      <w:r w:rsidRPr="00FA38AA">
        <w:t xml:space="preserve"> rīcības virzien</w:t>
      </w:r>
      <w:r>
        <w:t>u</w:t>
      </w:r>
      <w:r w:rsidRPr="00FA38AA">
        <w:t xml:space="preserve"> un pasākum</w:t>
      </w:r>
      <w:r>
        <w:t>u</w:t>
      </w:r>
      <w:r w:rsidRPr="00FA38AA">
        <w:t xml:space="preserve"> matemātikas, dabaszinātņu un inženiertehniskās izglītības apguves kvalitātes un sagatavoto speciālistu piedāvājuma paaugstināšan</w:t>
      </w:r>
      <w:r>
        <w:t>as mērķis ir novērst paš</w:t>
      </w:r>
      <w:r w:rsidRPr="00FA38AA">
        <w:t>reiz konstatējamo dis</w:t>
      </w:r>
      <w:r>
        <w:t>proporciju</w:t>
      </w:r>
      <w:r w:rsidRPr="00FA38AA">
        <w:t xml:space="preserve"> starp izglītības jomām</w:t>
      </w:r>
      <w:r>
        <w:t>,</w:t>
      </w:r>
      <w:r w:rsidRPr="00FA38AA">
        <w:t xml:space="preserve"> </w:t>
      </w:r>
      <w:r>
        <w:t xml:space="preserve">lai </w:t>
      </w:r>
      <w:r w:rsidRPr="00FA38AA">
        <w:t xml:space="preserve">tie </w:t>
      </w:r>
      <w:r>
        <w:t>nebūtu</w:t>
      </w:r>
      <w:r w:rsidRPr="00FA38AA">
        <w:t xml:space="preserve"> pretrunā ar nepieciešamību veikt pasākumus visu izglītības jomu kvalitātes un efektivitātes paaugstināšanā.</w:t>
      </w:r>
      <w:r>
        <w:t xml:space="preserve"> </w:t>
      </w:r>
      <w:r w:rsidRPr="008907F2">
        <w:t>Līdz ar to izglītībā tiek īstenots plašs savstarpēji saistītu rīcības virzienu kopums, starp kuriem nozīmīga loma ir eksaktajai un inženiertehniskajai izglītībai</w:t>
      </w:r>
      <w:r>
        <w:t>.</w:t>
      </w:r>
    </w:p>
    <w:p w:rsidR="00D42476" w:rsidRDefault="00D42476" w:rsidP="00EB15F2">
      <w:pPr>
        <w:ind w:firstLine="720"/>
      </w:pPr>
      <w:r>
        <w:t>Arī EM informatīvajā ziņojumā ir uzsvērts, ka, l</w:t>
      </w:r>
      <w:r w:rsidRPr="003F365F">
        <w:t xml:space="preserve">ai mazinātu darba tirgus disproporcijas, problēmas ir jārisina kompleksi. </w:t>
      </w:r>
      <w:r w:rsidRPr="006D591A">
        <w:rPr>
          <w:szCs w:val="28"/>
        </w:rPr>
        <w:t>Piemēram, ir grūti palielināt studējošo skaitu dabaszinātnēs un inženierzinātnēs, ja jau pamatizglītībā un vidējā izglītībā skolēniem ir vājas zināšanas un maza interese par eksaktajiem mācību priekšmetiem.</w:t>
      </w:r>
      <w:r>
        <w:rPr>
          <w:szCs w:val="28"/>
        </w:rPr>
        <w:t xml:space="preserve"> </w:t>
      </w:r>
      <w:r w:rsidRPr="006D591A">
        <w:rPr>
          <w:szCs w:val="28"/>
        </w:rPr>
        <w:t>Tāpat jāņem vērā, ka iespējamie risinājumi augstākā izglītībā, vidējā, profesionālā</w:t>
      </w:r>
      <w:r>
        <w:rPr>
          <w:szCs w:val="28"/>
        </w:rPr>
        <w:t xml:space="preserve"> </w:t>
      </w:r>
      <w:r w:rsidRPr="006D591A">
        <w:rPr>
          <w:szCs w:val="28"/>
        </w:rPr>
        <w:t>vidējā izglītībā un pamatizglītībā jūtamu ietekmi dos vairāk ilgtermiņā. Izmaiņas formālā izglītībā atstāj relatīvi mazu ietekmi uz vidēja termiņa problēmām. Tāpēc profesionālās kvalitātes uzlabošanai un darba tirgus disproporciju mazināšanai nozīmīga loma ir efektīvai pieaugušo apmācību tālākizglītības sistēmai. Pieaugušo tālākizglītības sistēmas uzlabojumi ir vienlīdz svarīgi bezdarbniekiem un nodarbinātiem visu profesionālo kvalifikāciju pārstāvjiem – kā vienkāršo</w:t>
      </w:r>
      <w:r w:rsidR="004C3E08">
        <w:rPr>
          <w:szCs w:val="28"/>
        </w:rPr>
        <w:t>,</w:t>
      </w:r>
      <w:r w:rsidRPr="006D591A">
        <w:rPr>
          <w:szCs w:val="28"/>
        </w:rPr>
        <w:t xml:space="preserve"> tā arī augsti kvalificēto profesiju. </w:t>
      </w:r>
      <w:r w:rsidRPr="006D591A">
        <w:rPr>
          <w:bCs/>
        </w:rPr>
        <w:t>Kvalitatīva tālākizglītības piedāvājuma nodrošināšanā pieaugušajiem nozīmīga loma ir gan augstākās izglītības iestādēm, gan arī profesionālās izglītības iestādēm</w:t>
      </w:r>
      <w:r>
        <w:rPr>
          <w:bCs/>
        </w:rPr>
        <w:t xml:space="preserve">. </w:t>
      </w:r>
      <w:r w:rsidRPr="004F4B12">
        <w:rPr>
          <w:bCs/>
        </w:rPr>
        <w:t>Tā kā daļa no koledžām īsteno arī profesionālās pilnveides un tā</w:t>
      </w:r>
      <w:r w:rsidR="00CE229B">
        <w:rPr>
          <w:bCs/>
        </w:rPr>
        <w:t>l</w:t>
      </w:r>
      <w:r w:rsidRPr="004F4B12">
        <w:rPr>
          <w:bCs/>
        </w:rPr>
        <w:t>ākizglītības programmas, būtiski ir stiprināt to kapacitāti, lai nodrošinātu kvalitatīvu programmu piedāvājumu ne tikai formālajā, bet arī neformālajā izglītībā.</w:t>
      </w:r>
      <w:r w:rsidRPr="004F4B12" w:rsidDel="003A26C6">
        <w:rPr>
          <w:bCs/>
        </w:rPr>
        <w:t xml:space="preserve"> </w:t>
      </w:r>
    </w:p>
    <w:p w:rsidR="00D42476" w:rsidRDefault="00D42476" w:rsidP="00605BE8">
      <w:pPr>
        <w:autoSpaceDE w:val="0"/>
        <w:autoSpaceDN w:val="0"/>
        <w:adjustRightInd w:val="0"/>
        <w:ind w:firstLine="720"/>
      </w:pPr>
      <w:r>
        <w:t>K</w:t>
      </w:r>
      <w:r w:rsidRPr="001E1B6B">
        <w:t xml:space="preserve">oledžas veido elastīgu, salīdzinoši īsa laika profesionālās izglītības vidi, kas spēj ātrāk reaģēt uz darbaspēka piedāvājuma un </w:t>
      </w:r>
      <w:r w:rsidRPr="004C56EF">
        <w:t xml:space="preserve">pieprasījuma izmaiņām darba tirgū un nodrošina </w:t>
      </w:r>
      <w:r w:rsidRPr="00D47888">
        <w:t>absolventu augstu nodarbinātību</w:t>
      </w:r>
      <w:r>
        <w:t>, par ko liecina Nodarbinātības valsts aģentūras (NVA) dati</w:t>
      </w:r>
      <w:r w:rsidRPr="00D47888">
        <w:t>.</w:t>
      </w:r>
    </w:p>
    <w:p w:rsidR="00E177B1" w:rsidRDefault="00B03774" w:rsidP="00B03774">
      <w:pPr>
        <w:pStyle w:val="ListParagraph"/>
        <w:autoSpaceDE w:val="0"/>
        <w:autoSpaceDN w:val="0"/>
        <w:adjustRightInd w:val="0"/>
        <w:spacing w:after="100" w:afterAutospacing="1"/>
        <w:ind w:left="0" w:firstLine="720"/>
        <w:rPr>
          <w:rFonts w:ascii="TimesNewRoman,Italic" w:hAnsi="TimesNewRoman,Italic" w:cs="TimesNewRoman,Italic"/>
          <w:iCs/>
          <w:szCs w:val="24"/>
        </w:rPr>
      </w:pPr>
      <w:r w:rsidRPr="00530651">
        <w:rPr>
          <w:rFonts w:ascii="TimesNewRoman,Italic" w:hAnsi="TimesNewRoman,Italic" w:cs="TimesNewRoman,Italic"/>
          <w:iCs/>
          <w:szCs w:val="24"/>
        </w:rPr>
        <w:t xml:space="preserve">Saskaņā ar </w:t>
      </w:r>
      <w:r>
        <w:rPr>
          <w:rFonts w:ascii="TimesNewRoman,Italic" w:hAnsi="TimesNewRoman,Italic" w:cs="TimesNewRoman,Italic"/>
          <w:iCs/>
          <w:szCs w:val="24"/>
        </w:rPr>
        <w:t>NVA</w:t>
      </w:r>
      <w:r w:rsidRPr="00530651">
        <w:rPr>
          <w:rFonts w:ascii="TimesNewRoman,Italic" w:hAnsi="TimesNewRoman,Italic" w:cs="TimesNewRoman,Italic"/>
          <w:iCs/>
          <w:szCs w:val="24"/>
        </w:rPr>
        <w:t xml:space="preserve"> datiem uz 31.12.201</w:t>
      </w:r>
      <w:r>
        <w:rPr>
          <w:rFonts w:ascii="TimesNewRoman,Italic" w:hAnsi="TimesNewRoman,Italic" w:cs="TimesNewRoman,Italic"/>
          <w:iCs/>
          <w:szCs w:val="24"/>
        </w:rPr>
        <w:t>4</w:t>
      </w:r>
      <w:r w:rsidRPr="00530651">
        <w:rPr>
          <w:rFonts w:ascii="TimesNewRoman,Italic" w:hAnsi="TimesNewRoman,Italic" w:cs="TimesNewRoman,Italic"/>
          <w:iCs/>
          <w:szCs w:val="24"/>
        </w:rPr>
        <w:t>. augstāko izglītību ieguva, bet tajā pašā gadā nespēja atrast darbu</w:t>
      </w:r>
      <w:r>
        <w:rPr>
          <w:rFonts w:ascii="TimesNewRoman,Italic" w:hAnsi="TimesNewRoman,Italic" w:cs="TimesNewRoman,Italic"/>
          <w:iCs/>
          <w:szCs w:val="24"/>
        </w:rPr>
        <w:t>,</w:t>
      </w:r>
      <w:r w:rsidRPr="00530651">
        <w:rPr>
          <w:rFonts w:ascii="TimesNewRoman,Italic" w:hAnsi="TimesNewRoman,Italic" w:cs="TimesNewRoman,Italic"/>
          <w:iCs/>
          <w:szCs w:val="24"/>
        </w:rPr>
        <w:t xml:space="preserve"> un kā bezdarbnieki reģistrējās NVA </w:t>
      </w:r>
      <w:r>
        <w:rPr>
          <w:rFonts w:ascii="TimesNewRoman,Italic" w:hAnsi="TimesNewRoman,Italic" w:cs="TimesNewRoman,Italic"/>
          <w:iCs/>
          <w:szCs w:val="24"/>
        </w:rPr>
        <w:t xml:space="preserve">299 </w:t>
      </w:r>
      <w:r w:rsidRPr="00530651">
        <w:rPr>
          <w:rFonts w:ascii="TimesNewRoman,Italic" w:hAnsi="TimesNewRoman,Italic" w:cs="TimesNewRoman,Italic"/>
          <w:iCs/>
          <w:szCs w:val="24"/>
        </w:rPr>
        <w:t>personas</w:t>
      </w:r>
      <w:r>
        <w:rPr>
          <w:rFonts w:ascii="TimesNewRoman,Italic" w:hAnsi="TimesNewRoman,Italic" w:cs="TimesNewRoman,Italic"/>
          <w:iCs/>
          <w:szCs w:val="24"/>
        </w:rPr>
        <w:t xml:space="preserve"> (skat. 1.</w:t>
      </w:r>
      <w:r w:rsidR="000C7B95">
        <w:rPr>
          <w:rFonts w:ascii="TimesNewRoman,Italic" w:hAnsi="TimesNewRoman,Italic" w:cs="TimesNewRoman,Italic"/>
          <w:iCs/>
          <w:szCs w:val="24"/>
        </w:rPr>
        <w:t>6</w:t>
      </w:r>
      <w:r>
        <w:rPr>
          <w:rFonts w:ascii="TimesNewRoman,Italic" w:hAnsi="TimesNewRoman,Italic" w:cs="TimesNewRoman,Italic"/>
          <w:iCs/>
          <w:szCs w:val="24"/>
        </w:rPr>
        <w:t>.tabulu).</w:t>
      </w:r>
      <w:r w:rsidRPr="00530651">
        <w:rPr>
          <w:rFonts w:ascii="TimesNewRoman,Italic" w:hAnsi="TimesNewRoman,Italic" w:cs="TimesNewRoman,Italic"/>
          <w:iCs/>
          <w:szCs w:val="24"/>
        </w:rPr>
        <w:t xml:space="preserve"> Šādu bezdarbnieku vidū ar pirmā līmeņa profesionālo augstāko izglītību bija 5</w:t>
      </w:r>
      <w:r>
        <w:rPr>
          <w:rFonts w:ascii="TimesNewRoman,Italic" w:hAnsi="TimesNewRoman,Italic" w:cs="TimesNewRoman,Italic"/>
          <w:iCs/>
          <w:szCs w:val="24"/>
        </w:rPr>
        <w:t>8</w:t>
      </w:r>
      <w:r w:rsidRPr="00530651">
        <w:rPr>
          <w:rFonts w:ascii="TimesNewRoman,Italic" w:hAnsi="TimesNewRoman,Italic" w:cs="TimesNewRoman,Italic"/>
          <w:iCs/>
          <w:szCs w:val="24"/>
        </w:rPr>
        <w:t xml:space="preserve"> persona</w:t>
      </w:r>
      <w:r>
        <w:rPr>
          <w:rFonts w:ascii="TimesNewRoman,Italic" w:hAnsi="TimesNewRoman,Italic" w:cs="TimesNewRoman,Italic"/>
          <w:iCs/>
          <w:szCs w:val="24"/>
        </w:rPr>
        <w:t>s</w:t>
      </w:r>
      <w:r w:rsidRPr="00530651">
        <w:rPr>
          <w:rFonts w:ascii="TimesNewRoman,Italic" w:hAnsi="TimesNewRoman,Italic" w:cs="TimesNewRoman,Italic"/>
          <w:iCs/>
          <w:szCs w:val="24"/>
        </w:rPr>
        <w:t xml:space="preserve"> jeb 1</w:t>
      </w:r>
      <w:r>
        <w:rPr>
          <w:rFonts w:ascii="TimesNewRoman,Italic" w:hAnsi="TimesNewRoman,Italic" w:cs="TimesNewRoman,Italic"/>
          <w:iCs/>
          <w:szCs w:val="24"/>
        </w:rPr>
        <w:t>9,4</w:t>
      </w:r>
      <w:r w:rsidR="000003FD">
        <w:rPr>
          <w:rFonts w:ascii="TimesNewRoman,Italic" w:hAnsi="TimesNewRoman,Italic" w:cs="TimesNewRoman,Italic"/>
          <w:iCs/>
          <w:szCs w:val="24"/>
        </w:rPr>
        <w:t xml:space="preserve"> </w:t>
      </w:r>
      <w:r w:rsidRPr="00530651">
        <w:rPr>
          <w:rFonts w:ascii="TimesNewRoman,Italic" w:hAnsi="TimesNewRoman,Italic" w:cs="TimesNewRoman,Italic"/>
          <w:iCs/>
          <w:szCs w:val="24"/>
        </w:rPr>
        <w:t>%. To vidū pirmā līmeņa profesionālo augstāko izglītību ieguva tieši koledžās un tajā pašā gadā reģistrējās kā bezdarbnieki 3</w:t>
      </w:r>
      <w:r>
        <w:rPr>
          <w:rFonts w:ascii="TimesNewRoman,Italic" w:hAnsi="TimesNewRoman,Italic" w:cs="TimesNewRoman,Italic"/>
          <w:iCs/>
          <w:szCs w:val="24"/>
        </w:rPr>
        <w:t>5</w:t>
      </w:r>
      <w:r w:rsidRPr="00530651">
        <w:rPr>
          <w:rFonts w:ascii="TimesNewRoman,Italic" w:hAnsi="TimesNewRoman,Italic" w:cs="TimesNewRoman,Italic"/>
          <w:iCs/>
          <w:szCs w:val="24"/>
        </w:rPr>
        <w:t xml:space="preserve"> personas (pamatā sociālās jomas</w:t>
      </w:r>
      <w:r>
        <w:rPr>
          <w:rFonts w:ascii="TimesNewRoman,Italic" w:hAnsi="TimesNewRoman,Italic" w:cs="TimesNewRoman,Italic"/>
          <w:iCs/>
          <w:szCs w:val="24"/>
        </w:rPr>
        <w:t xml:space="preserve"> studiju programmu absolventi).</w:t>
      </w:r>
      <w:r w:rsidR="00E177B1">
        <w:rPr>
          <w:rFonts w:ascii="TimesNewRoman,Italic" w:hAnsi="TimesNewRoman,Italic" w:cs="TimesNewRoman,Italic"/>
          <w:iCs/>
          <w:szCs w:val="24"/>
        </w:rPr>
        <w:br w:type="page"/>
      </w:r>
    </w:p>
    <w:p w:rsidR="00D42476" w:rsidRDefault="00D42476" w:rsidP="00D42476">
      <w:pPr>
        <w:autoSpaceDE w:val="0"/>
        <w:autoSpaceDN w:val="0"/>
        <w:adjustRightInd w:val="0"/>
        <w:ind w:firstLine="567"/>
        <w:jc w:val="right"/>
      </w:pPr>
      <w:r>
        <w:lastRenderedPageBreak/>
        <w:t>1.</w:t>
      </w:r>
      <w:r w:rsidR="000C7B95">
        <w:t>6</w:t>
      </w:r>
      <w:r>
        <w:t>.tabula</w:t>
      </w:r>
    </w:p>
    <w:p w:rsidR="004779F6" w:rsidRPr="004779F6" w:rsidRDefault="00D42476" w:rsidP="00722156">
      <w:pPr>
        <w:pStyle w:val="ListParagraph"/>
        <w:numPr>
          <w:ilvl w:val="0"/>
          <w:numId w:val="1"/>
        </w:numPr>
        <w:jc w:val="center"/>
        <w:rPr>
          <w:sz w:val="28"/>
          <w:szCs w:val="28"/>
          <w:u w:val="single"/>
        </w:rPr>
      </w:pPr>
      <w:r w:rsidRPr="00530651">
        <w:rPr>
          <w:rFonts w:ascii="TimesNewRoman,Italic" w:hAnsi="TimesNewRoman,Italic" w:cs="TimesNewRoman,Italic"/>
          <w:b/>
          <w:iCs/>
          <w:szCs w:val="24"/>
        </w:rPr>
        <w:t xml:space="preserve">NVA reģistrēto absolventu – bezdarbnieku skaits </w:t>
      </w:r>
    </w:p>
    <w:p w:rsidR="00D42476" w:rsidRPr="00530651" w:rsidRDefault="00D42476" w:rsidP="00722156">
      <w:pPr>
        <w:pStyle w:val="ListParagraph"/>
        <w:numPr>
          <w:ilvl w:val="0"/>
          <w:numId w:val="1"/>
        </w:numPr>
        <w:jc w:val="center"/>
        <w:rPr>
          <w:sz w:val="28"/>
          <w:szCs w:val="28"/>
          <w:u w:val="single"/>
        </w:rPr>
      </w:pPr>
      <w:r w:rsidRPr="00530651">
        <w:rPr>
          <w:rFonts w:ascii="TimesNewRoman,Italic" w:hAnsi="TimesNewRoman,Italic" w:cs="TimesNewRoman,Italic"/>
          <w:b/>
          <w:iCs/>
          <w:szCs w:val="24"/>
        </w:rPr>
        <w:t>ar iegūtu pirmā līmeņa profesionālo augstāko izglītību 20</w:t>
      </w:r>
      <w:r>
        <w:rPr>
          <w:rFonts w:ascii="TimesNewRoman,Italic" w:hAnsi="TimesNewRoman,Italic" w:cs="TimesNewRoman,Italic"/>
          <w:b/>
          <w:iCs/>
          <w:szCs w:val="24"/>
        </w:rPr>
        <w:t>12</w:t>
      </w:r>
      <w:r w:rsidRPr="00530651">
        <w:rPr>
          <w:rFonts w:ascii="TimesNewRoman,Italic" w:hAnsi="TimesNewRoman,Italic" w:cs="TimesNewRoman,Italic"/>
          <w:b/>
          <w:iCs/>
          <w:szCs w:val="24"/>
        </w:rPr>
        <w:t>.-201</w:t>
      </w:r>
      <w:r>
        <w:rPr>
          <w:rFonts w:ascii="TimesNewRoman,Italic" w:hAnsi="TimesNewRoman,Italic" w:cs="TimesNewRoman,Italic"/>
          <w:b/>
          <w:iCs/>
          <w:szCs w:val="24"/>
        </w:rPr>
        <w:t>4</w:t>
      </w:r>
      <w:r w:rsidRPr="00530651">
        <w:rPr>
          <w:rFonts w:ascii="TimesNewRoman,Italic" w:hAnsi="TimesNewRoman,Italic" w:cs="TimesNewRoman,Italic"/>
          <w:b/>
          <w:iCs/>
          <w:szCs w:val="24"/>
        </w:rPr>
        <w:t>.gadā</w:t>
      </w:r>
      <w:r>
        <w:rPr>
          <w:rFonts w:ascii="TimesNewRoman,Italic" w:hAnsi="TimesNewRoman,Italic" w:cs="TimesNewRoman,Italic"/>
          <w:b/>
          <w:iCs/>
          <w:szCs w:val="24"/>
        </w:rPr>
        <w:t xml:space="preserve"> </w:t>
      </w:r>
    </w:p>
    <w:p w:rsidR="00D42476" w:rsidRPr="00530651" w:rsidRDefault="00D42476" w:rsidP="00722156">
      <w:pPr>
        <w:pStyle w:val="ListParagraph"/>
        <w:numPr>
          <w:ilvl w:val="0"/>
          <w:numId w:val="1"/>
        </w:numPr>
        <w:rPr>
          <w:sz w:val="28"/>
          <w:szCs w:val="28"/>
          <w:u w:val="single"/>
        </w:rPr>
      </w:pPr>
    </w:p>
    <w:tbl>
      <w:tblPr>
        <w:tblStyle w:val="TableGrid"/>
        <w:tblW w:w="9322" w:type="dxa"/>
        <w:tblLook w:val="04A0"/>
      </w:tblPr>
      <w:tblGrid>
        <w:gridCol w:w="4644"/>
        <w:gridCol w:w="1560"/>
        <w:gridCol w:w="1559"/>
        <w:gridCol w:w="1559"/>
      </w:tblGrid>
      <w:tr w:rsidR="00D42476" w:rsidTr="00D42476">
        <w:tc>
          <w:tcPr>
            <w:tcW w:w="4644" w:type="dxa"/>
            <w:vMerge w:val="restart"/>
            <w:vAlign w:val="center"/>
          </w:tcPr>
          <w:p w:rsidR="00D42476" w:rsidRDefault="00D42476" w:rsidP="00D42476">
            <w:pPr>
              <w:jc w:val="center"/>
            </w:pPr>
            <w:r w:rsidRPr="00FA1746">
              <w:rPr>
                <w:rFonts w:ascii="TimesNewRoman,Italic" w:hAnsi="TimesNewRoman,Italic" w:cs="TimesNewRoman,Italic"/>
                <w:iCs/>
                <w:szCs w:val="24"/>
              </w:rPr>
              <w:t>Rādītāji</w:t>
            </w:r>
          </w:p>
        </w:tc>
        <w:tc>
          <w:tcPr>
            <w:tcW w:w="4678" w:type="dxa"/>
            <w:gridSpan w:val="3"/>
            <w:vAlign w:val="center"/>
          </w:tcPr>
          <w:p w:rsidR="00D42476" w:rsidRDefault="00D42476" w:rsidP="00D42476">
            <w:pPr>
              <w:jc w:val="center"/>
            </w:pPr>
            <w:r w:rsidRPr="00FA1746">
              <w:rPr>
                <w:rFonts w:ascii="TimesNewRoman,Italic" w:hAnsi="TimesNewRoman,Italic" w:cs="TimesNewRoman,Italic"/>
                <w:iCs/>
                <w:szCs w:val="24"/>
              </w:rPr>
              <w:t>Absolventu – bezdarbnieku skaits (no konkrētajā gadā izglītības iestādi beigušo skaita)</w:t>
            </w:r>
          </w:p>
        </w:tc>
      </w:tr>
      <w:tr w:rsidR="00D42476" w:rsidTr="00D42476">
        <w:tc>
          <w:tcPr>
            <w:tcW w:w="4644" w:type="dxa"/>
            <w:vMerge/>
            <w:vAlign w:val="center"/>
          </w:tcPr>
          <w:p w:rsidR="00D42476" w:rsidRDefault="00D42476" w:rsidP="00D42476">
            <w:pPr>
              <w:jc w:val="center"/>
            </w:pPr>
          </w:p>
        </w:tc>
        <w:tc>
          <w:tcPr>
            <w:tcW w:w="1560" w:type="dxa"/>
            <w:vAlign w:val="center"/>
          </w:tcPr>
          <w:p w:rsidR="00D42476" w:rsidRPr="006C31BB" w:rsidRDefault="00D42476" w:rsidP="00D42476">
            <w:pPr>
              <w:jc w:val="center"/>
              <w:rPr>
                <w:sz w:val="22"/>
                <w:szCs w:val="22"/>
              </w:rPr>
            </w:pPr>
            <w:r w:rsidRPr="006C31BB">
              <w:rPr>
                <w:sz w:val="22"/>
                <w:szCs w:val="22"/>
              </w:rPr>
              <w:t>2012</w:t>
            </w:r>
          </w:p>
        </w:tc>
        <w:tc>
          <w:tcPr>
            <w:tcW w:w="1559" w:type="dxa"/>
            <w:vAlign w:val="center"/>
          </w:tcPr>
          <w:p w:rsidR="00D42476" w:rsidRPr="006C31BB" w:rsidRDefault="00D42476" w:rsidP="00D42476">
            <w:pPr>
              <w:jc w:val="center"/>
              <w:rPr>
                <w:sz w:val="22"/>
                <w:szCs w:val="22"/>
              </w:rPr>
            </w:pPr>
            <w:r w:rsidRPr="006C31BB">
              <w:rPr>
                <w:sz w:val="22"/>
                <w:szCs w:val="22"/>
              </w:rPr>
              <w:t>2013</w:t>
            </w:r>
          </w:p>
        </w:tc>
        <w:tc>
          <w:tcPr>
            <w:tcW w:w="1559" w:type="dxa"/>
            <w:vAlign w:val="center"/>
          </w:tcPr>
          <w:p w:rsidR="00D42476" w:rsidRPr="006C31BB" w:rsidRDefault="00D42476" w:rsidP="00D42476">
            <w:pPr>
              <w:jc w:val="center"/>
              <w:rPr>
                <w:sz w:val="22"/>
                <w:szCs w:val="22"/>
              </w:rPr>
            </w:pPr>
            <w:r w:rsidRPr="006C31BB">
              <w:rPr>
                <w:sz w:val="22"/>
                <w:szCs w:val="22"/>
              </w:rPr>
              <w:t>2014</w:t>
            </w:r>
          </w:p>
        </w:tc>
      </w:tr>
      <w:tr w:rsidR="00D42476" w:rsidTr="00D42476">
        <w:tc>
          <w:tcPr>
            <w:tcW w:w="4644" w:type="dxa"/>
          </w:tcPr>
          <w:p w:rsidR="00D42476" w:rsidRDefault="00D42476" w:rsidP="00D42476">
            <w:r w:rsidRPr="00FA1746">
              <w:rPr>
                <w:rFonts w:ascii="TimesNewRoman,Italic" w:hAnsi="TimesNewRoman,Italic" w:cs="TimesNewRoman,Italic"/>
                <w:iCs/>
                <w:szCs w:val="24"/>
              </w:rPr>
              <w:t>Augstākā izglītība, t.sk</w:t>
            </w:r>
            <w:r>
              <w:rPr>
                <w:rFonts w:ascii="TimesNewRoman,Italic" w:hAnsi="TimesNewRoman,Italic" w:cs="TimesNewRoman,Italic"/>
                <w:iCs/>
                <w:szCs w:val="24"/>
              </w:rPr>
              <w:t>.</w:t>
            </w:r>
          </w:p>
        </w:tc>
        <w:tc>
          <w:tcPr>
            <w:tcW w:w="1560" w:type="dxa"/>
          </w:tcPr>
          <w:p w:rsidR="00D42476" w:rsidRPr="006C31BB" w:rsidRDefault="00D42476" w:rsidP="00D42476">
            <w:pPr>
              <w:jc w:val="center"/>
              <w:rPr>
                <w:sz w:val="22"/>
                <w:szCs w:val="22"/>
              </w:rPr>
            </w:pPr>
            <w:r w:rsidRPr="006C31BB">
              <w:rPr>
                <w:sz w:val="22"/>
                <w:szCs w:val="22"/>
              </w:rPr>
              <w:t>482</w:t>
            </w:r>
          </w:p>
        </w:tc>
        <w:tc>
          <w:tcPr>
            <w:tcW w:w="1559" w:type="dxa"/>
          </w:tcPr>
          <w:p w:rsidR="00D42476" w:rsidRPr="006C31BB" w:rsidRDefault="00D42476" w:rsidP="00D42476">
            <w:pPr>
              <w:jc w:val="center"/>
              <w:rPr>
                <w:sz w:val="22"/>
                <w:szCs w:val="22"/>
              </w:rPr>
            </w:pPr>
            <w:r w:rsidRPr="006C31BB">
              <w:rPr>
                <w:sz w:val="22"/>
                <w:szCs w:val="22"/>
              </w:rPr>
              <w:t>405</w:t>
            </w:r>
          </w:p>
        </w:tc>
        <w:tc>
          <w:tcPr>
            <w:tcW w:w="1559" w:type="dxa"/>
          </w:tcPr>
          <w:p w:rsidR="00D42476" w:rsidRPr="006C31BB" w:rsidRDefault="00D42476" w:rsidP="00D42476">
            <w:pPr>
              <w:jc w:val="center"/>
              <w:rPr>
                <w:sz w:val="22"/>
                <w:szCs w:val="22"/>
              </w:rPr>
            </w:pPr>
            <w:r w:rsidRPr="006C31BB">
              <w:rPr>
                <w:sz w:val="22"/>
                <w:szCs w:val="22"/>
              </w:rPr>
              <w:t>299</w:t>
            </w:r>
          </w:p>
        </w:tc>
      </w:tr>
      <w:tr w:rsidR="00D42476" w:rsidTr="00D42476">
        <w:tc>
          <w:tcPr>
            <w:tcW w:w="4644" w:type="dxa"/>
          </w:tcPr>
          <w:p w:rsidR="00D42476" w:rsidRDefault="00D42476" w:rsidP="00D42476">
            <w:r w:rsidRPr="00FA1746">
              <w:rPr>
                <w:rFonts w:ascii="TimesNewRoman,Italic" w:hAnsi="TimesNewRoman,Italic" w:cs="TimesNewRoman,Italic"/>
                <w:iCs/>
                <w:szCs w:val="24"/>
              </w:rPr>
              <w:t>Pirmā līmeņa profesionālā augstākā izglītība</w:t>
            </w:r>
            <w:r>
              <w:rPr>
                <w:rFonts w:ascii="TimesNewRoman,Italic" w:hAnsi="TimesNewRoman,Italic" w:cs="TimesNewRoman,Italic"/>
                <w:iCs/>
                <w:szCs w:val="24"/>
              </w:rPr>
              <w:t xml:space="preserve"> kopā,</w:t>
            </w:r>
          </w:p>
        </w:tc>
        <w:tc>
          <w:tcPr>
            <w:tcW w:w="1560" w:type="dxa"/>
          </w:tcPr>
          <w:p w:rsidR="00D42476" w:rsidRPr="006C31BB" w:rsidRDefault="00D42476" w:rsidP="00D42476">
            <w:pPr>
              <w:jc w:val="center"/>
              <w:rPr>
                <w:sz w:val="22"/>
                <w:szCs w:val="22"/>
              </w:rPr>
            </w:pPr>
            <w:r w:rsidRPr="006C31BB">
              <w:rPr>
                <w:sz w:val="22"/>
                <w:szCs w:val="22"/>
              </w:rPr>
              <w:t>106</w:t>
            </w:r>
          </w:p>
        </w:tc>
        <w:tc>
          <w:tcPr>
            <w:tcW w:w="1559" w:type="dxa"/>
          </w:tcPr>
          <w:p w:rsidR="00D42476" w:rsidRPr="006C31BB" w:rsidRDefault="00D42476" w:rsidP="00D42476">
            <w:pPr>
              <w:jc w:val="center"/>
              <w:rPr>
                <w:sz w:val="22"/>
                <w:szCs w:val="22"/>
              </w:rPr>
            </w:pPr>
            <w:r w:rsidRPr="006C31BB">
              <w:rPr>
                <w:sz w:val="22"/>
                <w:szCs w:val="22"/>
              </w:rPr>
              <w:t>72</w:t>
            </w:r>
          </w:p>
        </w:tc>
        <w:tc>
          <w:tcPr>
            <w:tcW w:w="1559" w:type="dxa"/>
          </w:tcPr>
          <w:p w:rsidR="00D42476" w:rsidRPr="006C31BB" w:rsidRDefault="00D42476" w:rsidP="00D42476">
            <w:pPr>
              <w:jc w:val="center"/>
              <w:rPr>
                <w:sz w:val="22"/>
                <w:szCs w:val="22"/>
              </w:rPr>
            </w:pPr>
            <w:r w:rsidRPr="006C31BB">
              <w:rPr>
                <w:sz w:val="22"/>
                <w:szCs w:val="22"/>
              </w:rPr>
              <w:t>58</w:t>
            </w:r>
          </w:p>
        </w:tc>
      </w:tr>
      <w:tr w:rsidR="00D42476" w:rsidTr="00D42476">
        <w:tc>
          <w:tcPr>
            <w:tcW w:w="4644" w:type="dxa"/>
          </w:tcPr>
          <w:p w:rsidR="00D42476" w:rsidRPr="00ED4C9E" w:rsidRDefault="00D42476" w:rsidP="00D42476">
            <w:pPr>
              <w:jc w:val="right"/>
              <w:rPr>
                <w:rFonts w:ascii="TimesNewRoman,Italic" w:hAnsi="TimesNewRoman,Italic" w:cs="TimesNewRoman,Italic"/>
                <w:i/>
                <w:iCs/>
                <w:szCs w:val="24"/>
              </w:rPr>
            </w:pPr>
            <w:r w:rsidRPr="00ED4C9E">
              <w:rPr>
                <w:rFonts w:ascii="TimesNewRoman,Italic" w:hAnsi="TimesNewRoman,Italic" w:cs="TimesNewRoman,Italic"/>
                <w:i/>
                <w:iCs/>
                <w:szCs w:val="24"/>
              </w:rPr>
              <w:t>t.sk. koledžu absolventi</w:t>
            </w:r>
            <w:r>
              <w:rPr>
                <w:rFonts w:ascii="TimesNewRoman,Italic" w:hAnsi="TimesNewRoman,Italic" w:cs="TimesNewRoman,Italic"/>
                <w:i/>
                <w:iCs/>
                <w:szCs w:val="24"/>
              </w:rPr>
              <w:t xml:space="preserve"> (STEM, medicīna)</w:t>
            </w:r>
          </w:p>
        </w:tc>
        <w:tc>
          <w:tcPr>
            <w:tcW w:w="1560" w:type="dxa"/>
          </w:tcPr>
          <w:p w:rsidR="00D42476" w:rsidRPr="006C31BB" w:rsidRDefault="00D42476" w:rsidP="00D42476">
            <w:pPr>
              <w:jc w:val="center"/>
              <w:rPr>
                <w:b/>
                <w:sz w:val="22"/>
                <w:szCs w:val="22"/>
              </w:rPr>
            </w:pPr>
            <w:r w:rsidRPr="006C31BB">
              <w:rPr>
                <w:b/>
                <w:sz w:val="22"/>
                <w:szCs w:val="22"/>
              </w:rPr>
              <w:t>67 (20)</w:t>
            </w:r>
          </w:p>
        </w:tc>
        <w:tc>
          <w:tcPr>
            <w:tcW w:w="1559" w:type="dxa"/>
          </w:tcPr>
          <w:p w:rsidR="00D42476" w:rsidRPr="006C31BB" w:rsidRDefault="00D42476" w:rsidP="00D42476">
            <w:pPr>
              <w:jc w:val="center"/>
              <w:rPr>
                <w:b/>
                <w:sz w:val="22"/>
                <w:szCs w:val="22"/>
              </w:rPr>
            </w:pPr>
            <w:r w:rsidRPr="006C31BB">
              <w:rPr>
                <w:b/>
                <w:sz w:val="22"/>
                <w:szCs w:val="22"/>
              </w:rPr>
              <w:t xml:space="preserve">48 (18) </w:t>
            </w:r>
          </w:p>
        </w:tc>
        <w:tc>
          <w:tcPr>
            <w:tcW w:w="1559" w:type="dxa"/>
          </w:tcPr>
          <w:p w:rsidR="00D42476" w:rsidRPr="006C31BB" w:rsidRDefault="00D42476" w:rsidP="00D42476">
            <w:pPr>
              <w:jc w:val="center"/>
              <w:rPr>
                <w:b/>
                <w:sz w:val="22"/>
                <w:szCs w:val="22"/>
              </w:rPr>
            </w:pPr>
            <w:r w:rsidRPr="006C31BB">
              <w:rPr>
                <w:b/>
                <w:sz w:val="22"/>
                <w:szCs w:val="22"/>
              </w:rPr>
              <w:t xml:space="preserve">35 (10) </w:t>
            </w:r>
          </w:p>
        </w:tc>
      </w:tr>
      <w:tr w:rsidR="00D42476" w:rsidTr="00D42476">
        <w:tc>
          <w:tcPr>
            <w:tcW w:w="4644" w:type="dxa"/>
          </w:tcPr>
          <w:p w:rsidR="00D42476" w:rsidRDefault="00D42476" w:rsidP="00D42476">
            <w:r w:rsidRPr="00FA1746">
              <w:rPr>
                <w:rFonts w:ascii="TimesNewRoman,Italic" w:hAnsi="TimesNewRoman,Italic" w:cs="TimesNewRoman,Italic"/>
                <w:iCs/>
                <w:szCs w:val="24"/>
              </w:rPr>
              <w:t>Absolventu-bezdarbnieku īpatsvars ar pirmā līmeņa profesionālo augstāko izglītību absolventu-bezdarbnieku skaitā ar augstāko izglītību, %</w:t>
            </w:r>
          </w:p>
        </w:tc>
        <w:tc>
          <w:tcPr>
            <w:tcW w:w="1560" w:type="dxa"/>
          </w:tcPr>
          <w:p w:rsidR="00D42476" w:rsidRPr="006C31BB" w:rsidRDefault="00D42476" w:rsidP="00D42476">
            <w:pPr>
              <w:jc w:val="center"/>
              <w:rPr>
                <w:sz w:val="22"/>
                <w:szCs w:val="22"/>
              </w:rPr>
            </w:pPr>
            <w:r w:rsidRPr="006C31BB">
              <w:rPr>
                <w:sz w:val="22"/>
                <w:szCs w:val="22"/>
              </w:rPr>
              <w:t xml:space="preserve">22 </w:t>
            </w:r>
          </w:p>
        </w:tc>
        <w:tc>
          <w:tcPr>
            <w:tcW w:w="1559" w:type="dxa"/>
          </w:tcPr>
          <w:p w:rsidR="00D42476" w:rsidRPr="006C31BB" w:rsidRDefault="00D42476" w:rsidP="00D42476">
            <w:pPr>
              <w:jc w:val="center"/>
              <w:rPr>
                <w:sz w:val="22"/>
                <w:szCs w:val="22"/>
              </w:rPr>
            </w:pPr>
            <w:r w:rsidRPr="006C31BB">
              <w:rPr>
                <w:sz w:val="22"/>
                <w:szCs w:val="22"/>
              </w:rPr>
              <w:t>17,8</w:t>
            </w:r>
          </w:p>
        </w:tc>
        <w:tc>
          <w:tcPr>
            <w:tcW w:w="1559" w:type="dxa"/>
          </w:tcPr>
          <w:p w:rsidR="00D42476" w:rsidRPr="006C31BB" w:rsidRDefault="00D42476" w:rsidP="00D42476">
            <w:pPr>
              <w:jc w:val="center"/>
              <w:rPr>
                <w:sz w:val="22"/>
                <w:szCs w:val="22"/>
              </w:rPr>
            </w:pPr>
            <w:r w:rsidRPr="006C31BB">
              <w:rPr>
                <w:sz w:val="22"/>
                <w:szCs w:val="22"/>
              </w:rPr>
              <w:t>19,4</w:t>
            </w:r>
          </w:p>
        </w:tc>
      </w:tr>
      <w:tr w:rsidR="00D42476" w:rsidTr="00D42476">
        <w:tc>
          <w:tcPr>
            <w:tcW w:w="4644" w:type="dxa"/>
          </w:tcPr>
          <w:p w:rsidR="00D42476" w:rsidRDefault="00D42476" w:rsidP="00D42476">
            <w:r w:rsidRPr="00FA1746">
              <w:rPr>
                <w:rFonts w:ascii="TimesNewRoman,Italic" w:hAnsi="TimesNewRoman,Italic" w:cs="TimesNewRoman,Italic"/>
                <w:iCs/>
                <w:szCs w:val="24"/>
              </w:rPr>
              <w:t>Pirmā līmeņa profesionālo augstāko izglītību ieguvušo skaits attiecīgajā gadā</w:t>
            </w:r>
            <w:r>
              <w:rPr>
                <w:rFonts w:ascii="TimesNewRoman,Italic" w:hAnsi="TimesNewRoman,Italic" w:cs="TimesNewRoman,Italic"/>
                <w:iCs/>
                <w:szCs w:val="24"/>
              </w:rPr>
              <w:t xml:space="preserve"> kopā,</w:t>
            </w:r>
          </w:p>
        </w:tc>
        <w:tc>
          <w:tcPr>
            <w:tcW w:w="1560" w:type="dxa"/>
          </w:tcPr>
          <w:p w:rsidR="00D42476" w:rsidRPr="006C31BB" w:rsidRDefault="00D42476" w:rsidP="00D42476">
            <w:pPr>
              <w:jc w:val="center"/>
              <w:rPr>
                <w:sz w:val="22"/>
                <w:szCs w:val="22"/>
              </w:rPr>
            </w:pPr>
            <w:r w:rsidRPr="006C31BB">
              <w:rPr>
                <w:sz w:val="22"/>
                <w:szCs w:val="22"/>
              </w:rPr>
              <w:t>3460</w:t>
            </w:r>
          </w:p>
          <w:p w:rsidR="00D42476" w:rsidRPr="006C31BB" w:rsidRDefault="00D42476" w:rsidP="00D42476">
            <w:pPr>
              <w:jc w:val="center"/>
              <w:rPr>
                <w:sz w:val="22"/>
                <w:szCs w:val="22"/>
              </w:rPr>
            </w:pPr>
          </w:p>
        </w:tc>
        <w:tc>
          <w:tcPr>
            <w:tcW w:w="1559" w:type="dxa"/>
          </w:tcPr>
          <w:p w:rsidR="00D42476" w:rsidRPr="006C31BB" w:rsidRDefault="00D42476" w:rsidP="00D42476">
            <w:pPr>
              <w:jc w:val="center"/>
              <w:rPr>
                <w:sz w:val="22"/>
                <w:szCs w:val="22"/>
              </w:rPr>
            </w:pPr>
            <w:r w:rsidRPr="006C31BB">
              <w:rPr>
                <w:sz w:val="22"/>
                <w:szCs w:val="22"/>
              </w:rPr>
              <w:t>4194</w:t>
            </w:r>
          </w:p>
          <w:p w:rsidR="00D42476" w:rsidRPr="006C31BB" w:rsidRDefault="00D42476" w:rsidP="00D42476">
            <w:pPr>
              <w:jc w:val="center"/>
              <w:rPr>
                <w:sz w:val="22"/>
                <w:szCs w:val="22"/>
              </w:rPr>
            </w:pPr>
          </w:p>
        </w:tc>
        <w:tc>
          <w:tcPr>
            <w:tcW w:w="1559" w:type="dxa"/>
          </w:tcPr>
          <w:p w:rsidR="00D42476" w:rsidRPr="006C31BB" w:rsidRDefault="00D42476" w:rsidP="00D42476">
            <w:pPr>
              <w:jc w:val="center"/>
              <w:rPr>
                <w:sz w:val="22"/>
                <w:szCs w:val="22"/>
              </w:rPr>
            </w:pPr>
            <w:r w:rsidRPr="006C31BB">
              <w:rPr>
                <w:sz w:val="22"/>
                <w:szCs w:val="22"/>
              </w:rPr>
              <w:t>3570</w:t>
            </w:r>
          </w:p>
          <w:p w:rsidR="00D42476" w:rsidRPr="006C31BB" w:rsidRDefault="00D42476" w:rsidP="00D42476">
            <w:pPr>
              <w:jc w:val="center"/>
              <w:rPr>
                <w:sz w:val="22"/>
                <w:szCs w:val="22"/>
              </w:rPr>
            </w:pPr>
          </w:p>
        </w:tc>
      </w:tr>
      <w:tr w:rsidR="00D42476" w:rsidTr="00D42476">
        <w:tc>
          <w:tcPr>
            <w:tcW w:w="4644" w:type="dxa"/>
          </w:tcPr>
          <w:p w:rsidR="00D42476" w:rsidRPr="00FA1746" w:rsidRDefault="00D42476" w:rsidP="00D42476">
            <w:pPr>
              <w:jc w:val="right"/>
              <w:rPr>
                <w:rFonts w:ascii="TimesNewRoman,Italic" w:hAnsi="TimesNewRoman,Italic" w:cs="TimesNewRoman,Italic"/>
                <w:iCs/>
                <w:szCs w:val="24"/>
              </w:rPr>
            </w:pPr>
            <w:r w:rsidRPr="00ED4C9E">
              <w:rPr>
                <w:rFonts w:ascii="TimesNewRoman,Italic" w:hAnsi="TimesNewRoman,Italic" w:cs="TimesNewRoman,Italic"/>
                <w:i/>
                <w:iCs/>
                <w:szCs w:val="24"/>
              </w:rPr>
              <w:t>t.sk. koledžu absolventi</w:t>
            </w:r>
          </w:p>
        </w:tc>
        <w:tc>
          <w:tcPr>
            <w:tcW w:w="1560" w:type="dxa"/>
          </w:tcPr>
          <w:p w:rsidR="00D42476" w:rsidRPr="006C31BB" w:rsidRDefault="00D42476" w:rsidP="00D42476">
            <w:pPr>
              <w:jc w:val="center"/>
              <w:rPr>
                <w:sz w:val="22"/>
                <w:szCs w:val="22"/>
              </w:rPr>
            </w:pPr>
            <w:r w:rsidRPr="006C31BB">
              <w:rPr>
                <w:sz w:val="22"/>
                <w:szCs w:val="22"/>
              </w:rPr>
              <w:t>2404</w:t>
            </w:r>
          </w:p>
        </w:tc>
        <w:tc>
          <w:tcPr>
            <w:tcW w:w="1559" w:type="dxa"/>
          </w:tcPr>
          <w:p w:rsidR="00D42476" w:rsidRPr="006C31BB" w:rsidRDefault="00D42476" w:rsidP="00D42476">
            <w:pPr>
              <w:jc w:val="center"/>
              <w:rPr>
                <w:sz w:val="22"/>
                <w:szCs w:val="22"/>
              </w:rPr>
            </w:pPr>
            <w:r w:rsidRPr="006C31BB">
              <w:rPr>
                <w:sz w:val="22"/>
                <w:szCs w:val="22"/>
              </w:rPr>
              <w:t>2994</w:t>
            </w:r>
          </w:p>
        </w:tc>
        <w:tc>
          <w:tcPr>
            <w:tcW w:w="1559" w:type="dxa"/>
          </w:tcPr>
          <w:p w:rsidR="00D42476" w:rsidRPr="006C31BB" w:rsidRDefault="00D42476" w:rsidP="00D42476">
            <w:pPr>
              <w:jc w:val="center"/>
              <w:rPr>
                <w:sz w:val="22"/>
                <w:szCs w:val="22"/>
              </w:rPr>
            </w:pPr>
            <w:r w:rsidRPr="006C31BB">
              <w:rPr>
                <w:sz w:val="22"/>
                <w:szCs w:val="22"/>
              </w:rPr>
              <w:t>2534</w:t>
            </w:r>
          </w:p>
        </w:tc>
      </w:tr>
      <w:tr w:rsidR="00D42476" w:rsidTr="00D42476">
        <w:tc>
          <w:tcPr>
            <w:tcW w:w="4644" w:type="dxa"/>
          </w:tcPr>
          <w:p w:rsidR="00D42476" w:rsidRDefault="00D42476" w:rsidP="00D42476">
            <w:r w:rsidRPr="00FA1746">
              <w:rPr>
                <w:rFonts w:ascii="TimesNewRoman,Italic" w:hAnsi="TimesNewRoman,Italic" w:cs="TimesNewRoman,Italic"/>
                <w:iCs/>
                <w:szCs w:val="24"/>
              </w:rPr>
              <w:t>Absolventu-bezdarbnieku, kuri ieguvuši pirmā līmeņa profesionālo augstāko izglītību, īpatsvars kopējā pirmā līmeņa profesionālo augstāko izglītību ieguvušo skaitā attiecīgajā gadā, %</w:t>
            </w:r>
          </w:p>
        </w:tc>
        <w:tc>
          <w:tcPr>
            <w:tcW w:w="1560" w:type="dxa"/>
          </w:tcPr>
          <w:p w:rsidR="00D42476" w:rsidRPr="006C31BB" w:rsidRDefault="00D42476" w:rsidP="00D42476">
            <w:pPr>
              <w:jc w:val="center"/>
              <w:rPr>
                <w:sz w:val="22"/>
                <w:szCs w:val="22"/>
              </w:rPr>
            </w:pPr>
            <w:r w:rsidRPr="006C31BB">
              <w:rPr>
                <w:sz w:val="22"/>
                <w:szCs w:val="22"/>
              </w:rPr>
              <w:t>3</w:t>
            </w:r>
          </w:p>
        </w:tc>
        <w:tc>
          <w:tcPr>
            <w:tcW w:w="1559" w:type="dxa"/>
          </w:tcPr>
          <w:p w:rsidR="00D42476" w:rsidRPr="006C31BB" w:rsidRDefault="00D42476" w:rsidP="00D42476">
            <w:pPr>
              <w:jc w:val="center"/>
              <w:rPr>
                <w:sz w:val="22"/>
                <w:szCs w:val="22"/>
              </w:rPr>
            </w:pPr>
            <w:r w:rsidRPr="006C31BB">
              <w:rPr>
                <w:sz w:val="22"/>
                <w:szCs w:val="22"/>
              </w:rPr>
              <w:t>1,7</w:t>
            </w:r>
          </w:p>
        </w:tc>
        <w:tc>
          <w:tcPr>
            <w:tcW w:w="1559" w:type="dxa"/>
          </w:tcPr>
          <w:p w:rsidR="00D42476" w:rsidRPr="006C31BB" w:rsidRDefault="00D42476" w:rsidP="00D42476">
            <w:pPr>
              <w:jc w:val="center"/>
              <w:rPr>
                <w:sz w:val="22"/>
                <w:szCs w:val="22"/>
              </w:rPr>
            </w:pPr>
            <w:r w:rsidRPr="006C31BB">
              <w:rPr>
                <w:sz w:val="22"/>
                <w:szCs w:val="22"/>
              </w:rPr>
              <w:t>1,6</w:t>
            </w:r>
          </w:p>
        </w:tc>
      </w:tr>
      <w:tr w:rsidR="00D42476" w:rsidTr="00D42476">
        <w:tc>
          <w:tcPr>
            <w:tcW w:w="4644" w:type="dxa"/>
          </w:tcPr>
          <w:p w:rsidR="00D42476" w:rsidRPr="00FA1746" w:rsidRDefault="00D42476" w:rsidP="00D42476">
            <w:pPr>
              <w:rPr>
                <w:rFonts w:ascii="TimesNewRoman,Italic" w:hAnsi="TimesNewRoman,Italic" w:cs="TimesNewRoman,Italic"/>
                <w:iCs/>
                <w:szCs w:val="24"/>
              </w:rPr>
            </w:pPr>
            <w:r w:rsidRPr="00FA1746">
              <w:rPr>
                <w:rFonts w:ascii="TimesNewRoman,Italic" w:hAnsi="TimesNewRoman,Italic" w:cs="TimesNewRoman,Italic"/>
                <w:iCs/>
                <w:szCs w:val="24"/>
              </w:rPr>
              <w:t>Absolventu-bezdarbnieku, kuri ieguvuši pirmā līmeņa profesionālo augstāko izglītību</w:t>
            </w:r>
            <w:r>
              <w:rPr>
                <w:rFonts w:ascii="TimesNewRoman,Italic" w:hAnsi="TimesNewRoman,Italic" w:cs="TimesNewRoman,Italic"/>
                <w:iCs/>
                <w:szCs w:val="24"/>
              </w:rPr>
              <w:t xml:space="preserve"> koledžās</w:t>
            </w:r>
            <w:r w:rsidRPr="00FA1746">
              <w:rPr>
                <w:rFonts w:ascii="TimesNewRoman,Italic" w:hAnsi="TimesNewRoman,Italic" w:cs="TimesNewRoman,Italic"/>
                <w:iCs/>
                <w:szCs w:val="24"/>
              </w:rPr>
              <w:t xml:space="preserve">, īpatsvars kopējā </w:t>
            </w:r>
            <w:r>
              <w:rPr>
                <w:rFonts w:ascii="TimesNewRoman,Italic" w:hAnsi="TimesNewRoman,Italic" w:cs="TimesNewRoman,Italic"/>
                <w:iCs/>
                <w:szCs w:val="24"/>
              </w:rPr>
              <w:t>koledžu absolventu skaitā</w:t>
            </w:r>
            <w:r w:rsidRPr="00FA1746">
              <w:rPr>
                <w:rFonts w:ascii="TimesNewRoman,Italic" w:hAnsi="TimesNewRoman,Italic" w:cs="TimesNewRoman,Italic"/>
                <w:iCs/>
                <w:szCs w:val="24"/>
              </w:rPr>
              <w:t xml:space="preserve"> attiecīgajā gadā, %</w:t>
            </w:r>
          </w:p>
        </w:tc>
        <w:tc>
          <w:tcPr>
            <w:tcW w:w="1560" w:type="dxa"/>
          </w:tcPr>
          <w:p w:rsidR="00D42476" w:rsidRPr="006C31BB" w:rsidRDefault="00D42476" w:rsidP="00D42476">
            <w:pPr>
              <w:jc w:val="center"/>
              <w:rPr>
                <w:b/>
                <w:sz w:val="22"/>
                <w:szCs w:val="22"/>
              </w:rPr>
            </w:pPr>
            <w:r w:rsidRPr="006C31BB">
              <w:rPr>
                <w:b/>
                <w:sz w:val="22"/>
                <w:szCs w:val="22"/>
              </w:rPr>
              <w:t>2,8</w:t>
            </w:r>
          </w:p>
        </w:tc>
        <w:tc>
          <w:tcPr>
            <w:tcW w:w="1559" w:type="dxa"/>
          </w:tcPr>
          <w:p w:rsidR="00D42476" w:rsidRPr="006C31BB" w:rsidRDefault="00D42476" w:rsidP="00D42476">
            <w:pPr>
              <w:jc w:val="center"/>
              <w:rPr>
                <w:b/>
                <w:sz w:val="22"/>
                <w:szCs w:val="22"/>
              </w:rPr>
            </w:pPr>
            <w:r w:rsidRPr="006C31BB">
              <w:rPr>
                <w:b/>
                <w:sz w:val="22"/>
                <w:szCs w:val="22"/>
              </w:rPr>
              <w:t>1,6</w:t>
            </w:r>
          </w:p>
        </w:tc>
        <w:tc>
          <w:tcPr>
            <w:tcW w:w="1559" w:type="dxa"/>
          </w:tcPr>
          <w:p w:rsidR="00D42476" w:rsidRPr="006C31BB" w:rsidRDefault="00D42476" w:rsidP="00D42476">
            <w:pPr>
              <w:jc w:val="center"/>
              <w:rPr>
                <w:b/>
                <w:sz w:val="22"/>
                <w:szCs w:val="22"/>
              </w:rPr>
            </w:pPr>
            <w:r w:rsidRPr="006C31BB">
              <w:rPr>
                <w:b/>
                <w:sz w:val="22"/>
                <w:szCs w:val="22"/>
              </w:rPr>
              <w:t>1,4</w:t>
            </w:r>
          </w:p>
        </w:tc>
      </w:tr>
    </w:tbl>
    <w:p w:rsidR="00D42476" w:rsidRPr="006C31BB" w:rsidRDefault="00D42476" w:rsidP="00722156">
      <w:pPr>
        <w:pStyle w:val="ListParagraph"/>
        <w:numPr>
          <w:ilvl w:val="0"/>
          <w:numId w:val="1"/>
        </w:numPr>
        <w:rPr>
          <w:i/>
        </w:rPr>
      </w:pPr>
      <w:r w:rsidRPr="006C31BB">
        <w:rPr>
          <w:i/>
        </w:rPr>
        <w:t>Avots</w:t>
      </w:r>
      <w:r w:rsidR="00D92155">
        <w:rPr>
          <w:i/>
        </w:rPr>
        <w:t>:</w:t>
      </w:r>
      <w:r w:rsidRPr="006C31BB">
        <w:rPr>
          <w:i/>
        </w:rPr>
        <w:t xml:space="preserve"> NVA dati</w:t>
      </w:r>
    </w:p>
    <w:p w:rsidR="00D42476" w:rsidRDefault="00D42476" w:rsidP="00722156">
      <w:pPr>
        <w:pStyle w:val="ListParagraph"/>
        <w:numPr>
          <w:ilvl w:val="0"/>
          <w:numId w:val="1"/>
        </w:numPr>
      </w:pPr>
    </w:p>
    <w:p w:rsidR="00D42476" w:rsidRDefault="00D42476" w:rsidP="00605BE8">
      <w:pPr>
        <w:pStyle w:val="ListParagraph"/>
        <w:autoSpaceDE w:val="0"/>
        <w:autoSpaceDN w:val="0"/>
        <w:adjustRightInd w:val="0"/>
        <w:spacing w:after="100" w:afterAutospacing="1"/>
        <w:ind w:left="0" w:firstLine="720"/>
        <w:rPr>
          <w:rFonts w:ascii="TimesNewRoman,Italic" w:hAnsi="TimesNewRoman,Italic" w:cs="TimesNewRoman,Italic"/>
          <w:iCs/>
          <w:szCs w:val="24"/>
        </w:rPr>
      </w:pPr>
      <w:r>
        <w:rPr>
          <w:rFonts w:ascii="TimesNewRoman,Italic" w:hAnsi="TimesNewRoman,Italic" w:cs="TimesNewRoman,Italic"/>
          <w:iCs/>
          <w:szCs w:val="24"/>
        </w:rPr>
        <w:t>NVA</w:t>
      </w:r>
      <w:r w:rsidRPr="00530651">
        <w:rPr>
          <w:rFonts w:ascii="TimesNewRoman,Italic" w:hAnsi="TimesNewRoman,Italic" w:cs="TimesNewRoman,Italic"/>
          <w:iCs/>
          <w:szCs w:val="24"/>
        </w:rPr>
        <w:t xml:space="preserve"> dati liecina, ka tādu personu īpatsvars, kas ieguvuši pirmā līmeņa profesionālo augstāko izglītību un tajā pašā gadā reģistrējušies NVA kā bezdarbnieki, ir pavisam neliels – 1,</w:t>
      </w:r>
      <w:r>
        <w:rPr>
          <w:rFonts w:ascii="TimesNewRoman,Italic" w:hAnsi="TimesNewRoman,Italic" w:cs="TimesNewRoman,Italic"/>
          <w:iCs/>
          <w:szCs w:val="24"/>
        </w:rPr>
        <w:t>6</w:t>
      </w:r>
      <w:r w:rsidRPr="00530651">
        <w:rPr>
          <w:rFonts w:ascii="TimesNewRoman,Italic" w:hAnsi="TimesNewRoman,Italic" w:cs="TimesNewRoman,Italic"/>
          <w:iCs/>
          <w:szCs w:val="24"/>
        </w:rPr>
        <w:t xml:space="preserve"> % 201</w:t>
      </w:r>
      <w:r>
        <w:rPr>
          <w:rFonts w:ascii="TimesNewRoman,Italic" w:hAnsi="TimesNewRoman,Italic" w:cs="TimesNewRoman,Italic"/>
          <w:iCs/>
          <w:szCs w:val="24"/>
        </w:rPr>
        <w:t>4</w:t>
      </w:r>
      <w:r w:rsidRPr="00530651">
        <w:rPr>
          <w:rFonts w:ascii="TimesNewRoman,Italic" w:hAnsi="TimesNewRoman,Italic" w:cs="TimesNewRoman,Italic"/>
          <w:iCs/>
          <w:szCs w:val="24"/>
        </w:rPr>
        <w:t>.gadā</w:t>
      </w:r>
      <w:r w:rsidR="00D92155">
        <w:rPr>
          <w:rFonts w:ascii="TimesNewRoman,Italic" w:hAnsi="TimesNewRoman,Italic" w:cs="TimesNewRoman,Italic"/>
          <w:iCs/>
          <w:szCs w:val="24"/>
        </w:rPr>
        <w:t>,</w:t>
      </w:r>
      <w:r w:rsidRPr="00530651">
        <w:rPr>
          <w:rFonts w:ascii="TimesNewRoman,Italic" w:hAnsi="TimesNewRoman,Italic" w:cs="TimesNewRoman,Italic"/>
          <w:iCs/>
          <w:szCs w:val="24"/>
        </w:rPr>
        <w:t xml:space="preserve"> un salīdzinājumā ar iepriekšējiem gadiem ir samazinājies. </w:t>
      </w:r>
      <w:r>
        <w:rPr>
          <w:rFonts w:ascii="TimesNewRoman,Italic" w:hAnsi="TimesNewRoman,Italic" w:cs="TimesNewRoman,Italic"/>
          <w:iCs/>
          <w:szCs w:val="24"/>
        </w:rPr>
        <w:t>Savukārt to personu īpatsvars, kas absolvējuši koledžas 2014.gadā un tajā pašā gadā reģistrējušies NVA kā bezdarbnieki, ir vēl mazāks – tikai 1,4</w:t>
      </w:r>
      <w:r w:rsidR="000003FD">
        <w:rPr>
          <w:rFonts w:ascii="TimesNewRoman,Italic" w:hAnsi="TimesNewRoman,Italic" w:cs="TimesNewRoman,Italic"/>
          <w:iCs/>
          <w:szCs w:val="24"/>
        </w:rPr>
        <w:t xml:space="preserve"> </w:t>
      </w:r>
      <w:r>
        <w:rPr>
          <w:rFonts w:ascii="TimesNewRoman,Italic" w:hAnsi="TimesNewRoman,Italic" w:cs="TimesNewRoman,Italic"/>
          <w:iCs/>
          <w:szCs w:val="24"/>
        </w:rPr>
        <w:t>%, un arī šis rādītājs pēdējo gadu laikā ir samazinājies.</w:t>
      </w:r>
    </w:p>
    <w:p w:rsidR="00B846F9" w:rsidRDefault="00B846F9">
      <w:pPr>
        <w:jc w:val="left"/>
        <w:rPr>
          <w:rFonts w:ascii="TimesNewRoman,Italic" w:hAnsi="TimesNewRoman,Italic" w:cs="TimesNewRoman,Italic"/>
          <w:iCs/>
          <w:szCs w:val="24"/>
        </w:rPr>
      </w:pPr>
      <w:r>
        <w:rPr>
          <w:rFonts w:ascii="TimesNewRoman,Italic" w:hAnsi="TimesNewRoman,Italic" w:cs="TimesNewRoman,Italic"/>
          <w:iCs/>
          <w:szCs w:val="24"/>
        </w:rPr>
        <w:br w:type="page"/>
      </w:r>
    </w:p>
    <w:p w:rsidR="002B567E" w:rsidRPr="00A94D09" w:rsidRDefault="001D51D3" w:rsidP="00A94D09">
      <w:pPr>
        <w:pStyle w:val="Heading1"/>
        <w:spacing w:before="0" w:line="240" w:lineRule="auto"/>
        <w:jc w:val="center"/>
      </w:pPr>
      <w:bookmarkStart w:id="16" w:name="_Toc385413136"/>
      <w:bookmarkStart w:id="17" w:name="_Toc409448075"/>
      <w:bookmarkStart w:id="18" w:name="_Toc445290193"/>
      <w:r w:rsidRPr="00A94D09">
        <w:lastRenderedPageBreak/>
        <w:t xml:space="preserve">2. </w:t>
      </w:r>
      <w:r w:rsidR="002B567E" w:rsidRPr="00A94D09">
        <w:t xml:space="preserve">Apraksts un analīze par līdzīgiem </w:t>
      </w:r>
      <w:r w:rsidR="002B567E" w:rsidRPr="00D42476">
        <w:rPr>
          <w:color w:val="365F91" w:themeColor="accent1" w:themeShade="BF"/>
        </w:rPr>
        <w:t>investīciju ieviešanas</w:t>
      </w:r>
      <w:r w:rsidR="002B567E" w:rsidRPr="00A94D09">
        <w:t xml:space="preserve"> mehānismiem 2007. – 2013. gada plānošanas periodā</w:t>
      </w:r>
      <w:bookmarkEnd w:id="16"/>
      <w:bookmarkEnd w:id="17"/>
      <w:bookmarkEnd w:id="18"/>
    </w:p>
    <w:p w:rsidR="00904CF9" w:rsidRDefault="00904CF9" w:rsidP="00904CF9">
      <w:pPr>
        <w:pStyle w:val="abbreviationslist"/>
        <w:spacing w:before="0" w:after="0"/>
        <w:ind w:right="0" w:firstLine="720"/>
        <w:rPr>
          <w:b/>
          <w:bCs/>
          <w:sz w:val="24"/>
          <w:szCs w:val="24"/>
        </w:rPr>
      </w:pPr>
    </w:p>
    <w:p w:rsidR="002B567E" w:rsidRPr="0058230C" w:rsidRDefault="00904CF9" w:rsidP="00C92963">
      <w:pPr>
        <w:pStyle w:val="abbreviationslist"/>
        <w:spacing w:before="0" w:after="0"/>
        <w:ind w:right="0" w:firstLine="720"/>
        <w:rPr>
          <w:sz w:val="24"/>
          <w:szCs w:val="24"/>
        </w:rPr>
      </w:pPr>
      <w:r w:rsidRPr="007402CB">
        <w:rPr>
          <w:bCs/>
          <w:sz w:val="24"/>
          <w:szCs w:val="24"/>
        </w:rPr>
        <w:t>2007.</w:t>
      </w:r>
      <w:r w:rsidR="004779F6" w:rsidRPr="004779F6">
        <w:rPr>
          <w:sz w:val="24"/>
          <w:szCs w:val="24"/>
        </w:rPr>
        <w:t xml:space="preserve"> </w:t>
      </w:r>
      <w:r w:rsidR="004779F6" w:rsidRPr="007402CB">
        <w:rPr>
          <w:sz w:val="24"/>
          <w:szCs w:val="24"/>
        </w:rPr>
        <w:t>–</w:t>
      </w:r>
      <w:r w:rsidR="004779F6">
        <w:rPr>
          <w:sz w:val="24"/>
          <w:szCs w:val="24"/>
        </w:rPr>
        <w:t xml:space="preserve"> </w:t>
      </w:r>
      <w:r w:rsidRPr="007402CB">
        <w:rPr>
          <w:bCs/>
          <w:sz w:val="24"/>
          <w:szCs w:val="24"/>
        </w:rPr>
        <w:t>2013.gada plānošanas periodā investīcijas koledžu infrastruk</w:t>
      </w:r>
      <w:r w:rsidR="001A4E91" w:rsidRPr="007402CB">
        <w:rPr>
          <w:bCs/>
          <w:sz w:val="24"/>
          <w:szCs w:val="24"/>
        </w:rPr>
        <w:t xml:space="preserve">tūrā tika veiktas no </w:t>
      </w:r>
      <w:r w:rsidR="00EA0E48" w:rsidRPr="007402CB">
        <w:rPr>
          <w:bCs/>
          <w:sz w:val="24"/>
          <w:szCs w:val="24"/>
        </w:rPr>
        <w:t xml:space="preserve">Eiropas Reģionālās attīstības fonda </w:t>
      </w:r>
      <w:r w:rsidR="00EA0E48" w:rsidRPr="007402CB">
        <w:rPr>
          <w:sz w:val="24"/>
          <w:szCs w:val="24"/>
        </w:rPr>
        <w:t xml:space="preserve">(turpmāk – </w:t>
      </w:r>
      <w:r w:rsidR="001A4E91" w:rsidRPr="007402CB">
        <w:rPr>
          <w:bCs/>
          <w:sz w:val="24"/>
          <w:szCs w:val="24"/>
        </w:rPr>
        <w:t>ERAF</w:t>
      </w:r>
      <w:r w:rsidR="00EA0E48" w:rsidRPr="007402CB">
        <w:rPr>
          <w:bCs/>
          <w:sz w:val="24"/>
          <w:szCs w:val="24"/>
        </w:rPr>
        <w:t>)</w:t>
      </w:r>
      <w:r w:rsidR="001A4E91" w:rsidRPr="007402CB">
        <w:rPr>
          <w:bCs/>
          <w:sz w:val="24"/>
          <w:szCs w:val="24"/>
        </w:rPr>
        <w:t xml:space="preserve">, </w:t>
      </w:r>
      <w:r w:rsidR="001A4E91" w:rsidRPr="007402CB">
        <w:rPr>
          <w:sz w:val="24"/>
          <w:szCs w:val="24"/>
        </w:rPr>
        <w:t xml:space="preserve">Klimata pārmaiņu </w:t>
      </w:r>
      <w:r w:rsidR="001A4E91" w:rsidRPr="0094530D">
        <w:rPr>
          <w:sz w:val="24"/>
          <w:szCs w:val="24"/>
        </w:rPr>
        <w:t xml:space="preserve">finanšu instrumenta (turpmāk </w:t>
      </w:r>
      <w:r w:rsidR="007402CB" w:rsidRPr="0094530D">
        <w:rPr>
          <w:bCs/>
          <w:sz w:val="24"/>
          <w:szCs w:val="24"/>
        </w:rPr>
        <w:t>–</w:t>
      </w:r>
      <w:r w:rsidR="001A4E91" w:rsidRPr="0094530D">
        <w:rPr>
          <w:sz w:val="24"/>
          <w:szCs w:val="24"/>
        </w:rPr>
        <w:t xml:space="preserve"> KPFI) un citiem </w:t>
      </w:r>
      <w:r w:rsidR="00C92963">
        <w:rPr>
          <w:sz w:val="24"/>
          <w:szCs w:val="24"/>
        </w:rPr>
        <w:t>finanš</w:t>
      </w:r>
      <w:r w:rsidR="001A4E91" w:rsidRPr="0094530D">
        <w:rPr>
          <w:sz w:val="24"/>
          <w:szCs w:val="24"/>
        </w:rPr>
        <w:t>u instrumentiem. ERAF</w:t>
      </w:r>
      <w:r w:rsidR="001A4E91" w:rsidRPr="007402CB">
        <w:rPr>
          <w:sz w:val="24"/>
          <w:szCs w:val="24"/>
        </w:rPr>
        <w:t xml:space="preserve"> finansējumu koledžas varēja saņemt </w:t>
      </w:r>
      <w:r w:rsidRPr="007402CB">
        <w:rPr>
          <w:iCs/>
          <w:sz w:val="24"/>
          <w:szCs w:val="24"/>
          <w:lang w:eastAsia="en-US"/>
        </w:rPr>
        <w:t xml:space="preserve">darbības </w:t>
      </w:r>
      <w:r w:rsidRPr="007402CB">
        <w:rPr>
          <w:bCs/>
          <w:sz w:val="24"/>
          <w:szCs w:val="24"/>
        </w:rPr>
        <w:t xml:space="preserve">programmas „Infrastruktūra un pakalpojumi” papildinājuma </w:t>
      </w:r>
      <w:r w:rsidRPr="007402CB">
        <w:rPr>
          <w:sz w:val="24"/>
          <w:szCs w:val="24"/>
        </w:rPr>
        <w:t>3.1.prioritātes „Infrastruktūra cilvēku kapitāla nostiprināšanai” 3.1.2.pasākuma „Augstākās izglītības infrastruktūra” 3.1.2.1.aktivitātes „Augstākās izglītības iestāžu telpu un iekārtu modernizēšana, tajā skaitā nodrošinot izglītības programmu apgūšanas iespējas arī personām ar funkcionāliem traucējumiem”</w:t>
      </w:r>
      <w:r w:rsidR="008C0EB3">
        <w:rPr>
          <w:bCs/>
          <w:sz w:val="24"/>
          <w:szCs w:val="24"/>
        </w:rPr>
        <w:t xml:space="preserve"> 3.1.2.1.1.</w:t>
      </w:r>
      <w:r w:rsidRPr="007402CB">
        <w:rPr>
          <w:bCs/>
          <w:sz w:val="24"/>
          <w:szCs w:val="24"/>
        </w:rPr>
        <w:t xml:space="preserve">apakšaktivitātes „Augstākās izglītības iestāžu telpu un iekārtu modernizēšana studiju programmu kvalitātes uzlabošanai, tajā skaitā nodrošinot izglītības programmu </w:t>
      </w:r>
      <w:r w:rsidRPr="00CA1B61">
        <w:rPr>
          <w:bCs/>
          <w:sz w:val="24"/>
          <w:szCs w:val="24"/>
        </w:rPr>
        <w:t>apgūšanas iespējas arī personām</w:t>
      </w:r>
      <w:r w:rsidR="00801217">
        <w:rPr>
          <w:bCs/>
          <w:sz w:val="24"/>
          <w:szCs w:val="24"/>
        </w:rPr>
        <w:t xml:space="preserve"> ar funkcionāliem traucējumiem”</w:t>
      </w:r>
      <w:r w:rsidRPr="00CA1B61">
        <w:rPr>
          <w:bCs/>
          <w:sz w:val="24"/>
          <w:szCs w:val="24"/>
        </w:rPr>
        <w:t xml:space="preserve"> </w:t>
      </w:r>
      <w:r w:rsidR="00127404">
        <w:rPr>
          <w:bCs/>
          <w:sz w:val="24"/>
          <w:szCs w:val="24"/>
        </w:rPr>
        <w:t xml:space="preserve">(turpmāk </w:t>
      </w:r>
      <w:r w:rsidR="00127404" w:rsidRPr="007402CB">
        <w:rPr>
          <w:sz w:val="24"/>
          <w:szCs w:val="24"/>
        </w:rPr>
        <w:t>–</w:t>
      </w:r>
      <w:r w:rsidR="00127404">
        <w:rPr>
          <w:bCs/>
          <w:sz w:val="24"/>
          <w:szCs w:val="24"/>
        </w:rPr>
        <w:t>3.1.2.1.1.apakšaktivitāte)</w:t>
      </w:r>
      <w:r w:rsidR="003A26C6" w:rsidRPr="00CA1B61">
        <w:rPr>
          <w:rStyle w:val="FootnoteReference"/>
          <w:bCs/>
          <w:sz w:val="24"/>
          <w:szCs w:val="24"/>
        </w:rPr>
        <w:footnoteReference w:id="31"/>
      </w:r>
      <w:r w:rsidR="00127404" w:rsidRPr="00CA1B61">
        <w:rPr>
          <w:bCs/>
          <w:sz w:val="24"/>
          <w:szCs w:val="24"/>
        </w:rPr>
        <w:t xml:space="preserve"> </w:t>
      </w:r>
      <w:r w:rsidRPr="00CA1B61">
        <w:rPr>
          <w:bCs/>
          <w:sz w:val="24"/>
          <w:szCs w:val="24"/>
        </w:rPr>
        <w:t>ietvaros</w:t>
      </w:r>
      <w:r w:rsidR="001A4E91" w:rsidRPr="00CA1B61">
        <w:rPr>
          <w:bCs/>
          <w:sz w:val="24"/>
          <w:szCs w:val="24"/>
        </w:rPr>
        <w:t>, KPFI finansējumu</w:t>
      </w:r>
      <w:r w:rsidR="007402CB" w:rsidRPr="00CA1B61">
        <w:rPr>
          <w:bCs/>
          <w:sz w:val="24"/>
          <w:szCs w:val="24"/>
        </w:rPr>
        <w:t xml:space="preserve"> – </w:t>
      </w:r>
      <w:r w:rsidR="007402CB" w:rsidRPr="00CA1B61">
        <w:rPr>
          <w:sz w:val="24"/>
          <w:szCs w:val="24"/>
        </w:rPr>
        <w:t>projektu atklāt</w:t>
      </w:r>
      <w:r w:rsidR="00CA1B61">
        <w:rPr>
          <w:sz w:val="24"/>
          <w:szCs w:val="24"/>
        </w:rPr>
        <w:t>u</w:t>
      </w:r>
      <w:r w:rsidR="007402CB" w:rsidRPr="00CA1B61">
        <w:rPr>
          <w:sz w:val="24"/>
          <w:szCs w:val="24"/>
        </w:rPr>
        <w:t xml:space="preserve"> konkurs</w:t>
      </w:r>
      <w:r w:rsidR="00CA1B61">
        <w:rPr>
          <w:sz w:val="24"/>
          <w:szCs w:val="24"/>
        </w:rPr>
        <w:t>u</w:t>
      </w:r>
      <w:r w:rsidR="007402CB" w:rsidRPr="00CA1B61">
        <w:rPr>
          <w:sz w:val="24"/>
          <w:szCs w:val="24"/>
        </w:rPr>
        <w:t xml:space="preserve"> “Energoefektivitātes paaugstināšana augstākās izglītības iestāžu ēkās”</w:t>
      </w:r>
      <w:r w:rsidR="001A4E91" w:rsidRPr="00CA1B61">
        <w:rPr>
          <w:rStyle w:val="FootnoteReference"/>
          <w:bCs/>
          <w:sz w:val="24"/>
          <w:szCs w:val="24"/>
        </w:rPr>
        <w:footnoteReference w:id="32"/>
      </w:r>
      <w:r w:rsidR="004B0283">
        <w:rPr>
          <w:sz w:val="24"/>
          <w:szCs w:val="24"/>
        </w:rPr>
        <w:t>,</w:t>
      </w:r>
      <w:r w:rsidR="001A4E91" w:rsidRPr="00CA1B61">
        <w:rPr>
          <w:bCs/>
          <w:sz w:val="24"/>
          <w:szCs w:val="24"/>
        </w:rPr>
        <w:t xml:space="preserve"> </w:t>
      </w:r>
      <w:r w:rsidR="001A4E91" w:rsidRPr="00CA1B61">
        <w:rPr>
          <w:rStyle w:val="Strong"/>
          <w:b w:val="0"/>
          <w:sz w:val="24"/>
          <w:szCs w:val="24"/>
        </w:rPr>
        <w:t xml:space="preserve">„Atjaunojamo </w:t>
      </w:r>
      <w:r w:rsidR="001A4E91" w:rsidRPr="0058230C">
        <w:rPr>
          <w:rStyle w:val="Strong"/>
          <w:b w:val="0"/>
          <w:sz w:val="24"/>
          <w:szCs w:val="24"/>
        </w:rPr>
        <w:t>energoresursu izmantošana siltumnīcefekta gāzu emisiju samazināšanai”</w:t>
      </w:r>
      <w:r w:rsidR="001A4E91" w:rsidRPr="0058230C">
        <w:rPr>
          <w:rStyle w:val="FootnoteReference"/>
          <w:bCs/>
          <w:sz w:val="24"/>
          <w:szCs w:val="24"/>
        </w:rPr>
        <w:footnoteReference w:id="33"/>
      </w:r>
      <w:r w:rsidR="004F2012" w:rsidRPr="0058230C">
        <w:rPr>
          <w:rStyle w:val="Strong"/>
          <w:b w:val="0"/>
          <w:sz w:val="24"/>
          <w:szCs w:val="24"/>
        </w:rPr>
        <w:t>,</w:t>
      </w:r>
      <w:r w:rsidR="004B0283" w:rsidRPr="0058230C">
        <w:rPr>
          <w:rStyle w:val="Strong"/>
          <w:b w:val="0"/>
          <w:sz w:val="24"/>
          <w:szCs w:val="24"/>
        </w:rPr>
        <w:t xml:space="preserve"> „Kompleksi risinājumi siltumnīcefekta gāzu emisijas samazināšanai”</w:t>
      </w:r>
      <w:r w:rsidR="004B0283" w:rsidRPr="0058230C">
        <w:rPr>
          <w:rStyle w:val="FootnoteReference"/>
          <w:bCs/>
          <w:sz w:val="24"/>
          <w:szCs w:val="24"/>
        </w:rPr>
        <w:footnoteReference w:id="34"/>
      </w:r>
      <w:r w:rsidR="004B0283" w:rsidRPr="0058230C">
        <w:rPr>
          <w:rStyle w:val="Strong"/>
          <w:b w:val="0"/>
          <w:sz w:val="24"/>
          <w:szCs w:val="24"/>
        </w:rPr>
        <w:t xml:space="preserve"> </w:t>
      </w:r>
      <w:r w:rsidR="004F2012" w:rsidRPr="0058230C">
        <w:rPr>
          <w:rStyle w:val="Strong"/>
          <w:b w:val="0"/>
          <w:sz w:val="24"/>
          <w:szCs w:val="24"/>
        </w:rPr>
        <w:t>un “Kompleksi risinājumi siltumnīcefekta gāzu emisijas samazināšanai valsts un pašvaldību profesionālās izglītības iestāžu ēkās”</w:t>
      </w:r>
      <w:r w:rsidR="004F2012" w:rsidRPr="0058230C">
        <w:rPr>
          <w:rStyle w:val="FootnoteReference"/>
          <w:bCs/>
          <w:sz w:val="24"/>
          <w:szCs w:val="24"/>
        </w:rPr>
        <w:footnoteReference w:id="35"/>
      </w:r>
      <w:r w:rsidR="004F2012" w:rsidRPr="0058230C">
        <w:rPr>
          <w:rStyle w:val="Strong"/>
          <w:b w:val="0"/>
          <w:sz w:val="24"/>
          <w:szCs w:val="24"/>
        </w:rPr>
        <w:t xml:space="preserve"> </w:t>
      </w:r>
      <w:r w:rsidR="007402CB" w:rsidRPr="0058230C">
        <w:rPr>
          <w:rStyle w:val="Strong"/>
          <w:b w:val="0"/>
          <w:sz w:val="24"/>
          <w:szCs w:val="24"/>
        </w:rPr>
        <w:t>ietvaros</w:t>
      </w:r>
      <w:r w:rsidR="001A4E91" w:rsidRPr="0058230C">
        <w:rPr>
          <w:rStyle w:val="Strong"/>
          <w:b w:val="0"/>
          <w:sz w:val="24"/>
          <w:szCs w:val="24"/>
        </w:rPr>
        <w:t xml:space="preserve">. </w:t>
      </w:r>
      <w:r w:rsidR="00437F50" w:rsidRPr="0058230C">
        <w:rPr>
          <w:rStyle w:val="Strong"/>
          <w:b w:val="0"/>
          <w:sz w:val="24"/>
          <w:szCs w:val="24"/>
        </w:rPr>
        <w:t>Pārskata</w:t>
      </w:r>
      <w:r w:rsidR="00CA1B61" w:rsidRPr="0058230C">
        <w:rPr>
          <w:rStyle w:val="Strong"/>
          <w:b w:val="0"/>
          <w:sz w:val="24"/>
          <w:szCs w:val="24"/>
        </w:rPr>
        <w:t xml:space="preserve"> periodā</w:t>
      </w:r>
      <w:r w:rsidR="001A4E91" w:rsidRPr="0058230C">
        <w:rPr>
          <w:rStyle w:val="Strong"/>
          <w:b w:val="0"/>
          <w:sz w:val="24"/>
          <w:szCs w:val="24"/>
        </w:rPr>
        <w:t xml:space="preserve"> </w:t>
      </w:r>
      <w:r w:rsidR="00CA1B61" w:rsidRPr="0058230C">
        <w:rPr>
          <w:rStyle w:val="Strong"/>
          <w:b w:val="0"/>
          <w:sz w:val="24"/>
          <w:szCs w:val="24"/>
        </w:rPr>
        <w:t>koledžām bija pieejamas</w:t>
      </w:r>
      <w:r w:rsidR="001A4E91" w:rsidRPr="0058230C">
        <w:rPr>
          <w:rStyle w:val="Strong"/>
          <w:b w:val="0"/>
          <w:sz w:val="24"/>
          <w:szCs w:val="24"/>
        </w:rPr>
        <w:t xml:space="preserve"> </w:t>
      </w:r>
      <w:r w:rsidR="00CA1B61" w:rsidRPr="0058230C">
        <w:rPr>
          <w:rStyle w:val="Strong"/>
          <w:b w:val="0"/>
          <w:sz w:val="24"/>
          <w:szCs w:val="24"/>
        </w:rPr>
        <w:t xml:space="preserve">arī citas finanšu instrumentu </w:t>
      </w:r>
      <w:r w:rsidR="001A4E91" w:rsidRPr="0058230C">
        <w:rPr>
          <w:rStyle w:val="Strong"/>
          <w:b w:val="0"/>
          <w:sz w:val="24"/>
          <w:szCs w:val="24"/>
        </w:rPr>
        <w:t>programmas</w:t>
      </w:r>
      <w:r w:rsidR="00EE5762" w:rsidRPr="0058230C">
        <w:rPr>
          <w:rStyle w:val="Strong"/>
          <w:b w:val="0"/>
          <w:sz w:val="24"/>
          <w:szCs w:val="24"/>
        </w:rPr>
        <w:t>,</w:t>
      </w:r>
      <w:r w:rsidR="00CA1B61" w:rsidRPr="0058230C">
        <w:rPr>
          <w:rStyle w:val="Strong"/>
          <w:b w:val="0"/>
          <w:sz w:val="24"/>
          <w:szCs w:val="24"/>
        </w:rPr>
        <w:t xml:space="preserve"> piemēram,</w:t>
      </w:r>
      <w:r w:rsidR="00EE5762" w:rsidRPr="0058230C">
        <w:rPr>
          <w:rStyle w:val="Strong"/>
          <w:b w:val="0"/>
          <w:sz w:val="24"/>
          <w:szCs w:val="24"/>
        </w:rPr>
        <w:t xml:space="preserve"> </w:t>
      </w:r>
      <w:hyperlink r:id="rId29" w:tgtFrame="_self" w:history="1">
        <w:r w:rsidR="00EE5762" w:rsidRPr="0058230C">
          <w:rPr>
            <w:rStyle w:val="Strong"/>
            <w:b w:val="0"/>
            <w:bCs w:val="0"/>
            <w:sz w:val="24"/>
            <w:szCs w:val="24"/>
          </w:rPr>
          <w:t>Eiropas Savienības struktūrfondu 3. mērķa „Eiropas teritoriālā sadarbība” programm</w:t>
        </w:r>
      </w:hyperlink>
      <w:r w:rsidR="00EE5762" w:rsidRPr="0058230C">
        <w:rPr>
          <w:rStyle w:val="Strong"/>
          <w:b w:val="0"/>
          <w:sz w:val="24"/>
          <w:szCs w:val="24"/>
        </w:rPr>
        <w:t>as.</w:t>
      </w:r>
      <w:r w:rsidR="00EE5762" w:rsidRPr="0058230C">
        <w:rPr>
          <w:rStyle w:val="FootnoteReference"/>
          <w:bCs/>
          <w:sz w:val="24"/>
          <w:szCs w:val="24"/>
        </w:rPr>
        <w:footnoteReference w:id="36"/>
      </w:r>
      <w:r w:rsidR="00EE5762" w:rsidRPr="0058230C">
        <w:rPr>
          <w:rStyle w:val="Strong"/>
          <w:b w:val="0"/>
          <w:sz w:val="24"/>
          <w:szCs w:val="24"/>
        </w:rPr>
        <w:t xml:space="preserve"> </w:t>
      </w:r>
      <w:r w:rsidR="00C92963" w:rsidRPr="0058230C">
        <w:rPr>
          <w:sz w:val="24"/>
          <w:szCs w:val="24"/>
        </w:rPr>
        <w:t xml:space="preserve">Apkopojums par visiem ieguldījumiem koledžu infrastruktūrā ir atspoguļots sākotnējā novērtējuma </w:t>
      </w:r>
      <w:r w:rsidR="00B20859">
        <w:rPr>
          <w:sz w:val="24"/>
          <w:szCs w:val="24"/>
        </w:rPr>
        <w:t>3</w:t>
      </w:r>
      <w:r w:rsidR="00C92963" w:rsidRPr="0058230C">
        <w:rPr>
          <w:sz w:val="24"/>
          <w:szCs w:val="24"/>
        </w:rPr>
        <w:t>.pielikumā. Informācija ir sniegta par tām koledžām, kas īsteno STEM pirmā līmeņa profesionālās augstākās izglītības studiju programmas.</w:t>
      </w:r>
    </w:p>
    <w:p w:rsidR="00820F72" w:rsidRDefault="0070215B">
      <w:pPr>
        <w:pStyle w:val="abbreviationslist"/>
        <w:spacing w:before="0" w:after="0"/>
        <w:ind w:right="0" w:firstLine="720"/>
        <w:rPr>
          <w:rFonts w:eastAsia="Calibri"/>
          <w:bCs/>
          <w:iCs/>
          <w:color w:val="000000"/>
          <w:sz w:val="24"/>
          <w:szCs w:val="24"/>
        </w:rPr>
      </w:pPr>
      <w:r w:rsidRPr="0060481D">
        <w:rPr>
          <w:sz w:val="24"/>
          <w:szCs w:val="24"/>
        </w:rPr>
        <w:t>Savukārt</w:t>
      </w:r>
      <w:r w:rsidR="00CB1071" w:rsidRPr="0060481D">
        <w:rPr>
          <w:sz w:val="24"/>
          <w:szCs w:val="24"/>
        </w:rPr>
        <w:t xml:space="preserve"> </w:t>
      </w:r>
      <w:r w:rsidR="005A1E8A" w:rsidRPr="0060481D">
        <w:rPr>
          <w:sz w:val="24"/>
          <w:szCs w:val="24"/>
        </w:rPr>
        <w:t>2004.–2006.</w:t>
      </w:r>
      <w:r w:rsidR="00C92963" w:rsidRPr="0060481D">
        <w:rPr>
          <w:sz w:val="24"/>
          <w:szCs w:val="24"/>
        </w:rPr>
        <w:t xml:space="preserve">gada plānošanas periodā </w:t>
      </w:r>
      <w:r w:rsidR="005A1E8A" w:rsidRPr="0060481D">
        <w:rPr>
          <w:sz w:val="24"/>
          <w:szCs w:val="24"/>
        </w:rPr>
        <w:t>1.4.5. aktivitātes „</w:t>
      </w:r>
      <w:r w:rsidR="005A1E8A" w:rsidRPr="0060481D">
        <w:rPr>
          <w:rFonts w:eastAsia="Calibri"/>
          <w:bCs/>
          <w:iCs/>
          <w:color w:val="000000"/>
          <w:sz w:val="24"/>
          <w:szCs w:val="24"/>
        </w:rPr>
        <w:t xml:space="preserve">Augstākās izglītības iestāžu nodrošināšana ar mūsdienīgām apmācības iekārtām, tehniku un lieldatoru tīkliem, kā arī ēku renovācija (ieskaitot pielāgošanu personām ar īpašām vajadzībām)” ietvaros </w:t>
      </w:r>
      <w:r w:rsidR="00C92963" w:rsidRPr="0060481D">
        <w:rPr>
          <w:sz w:val="24"/>
          <w:szCs w:val="24"/>
        </w:rPr>
        <w:t>tika īstenota</w:t>
      </w:r>
      <w:r w:rsidR="005A1E8A" w:rsidRPr="0060481D">
        <w:rPr>
          <w:sz w:val="24"/>
          <w:szCs w:val="24"/>
        </w:rPr>
        <w:t xml:space="preserve"> nacionālā programma „</w:t>
      </w:r>
      <w:r w:rsidR="00CE2878" w:rsidRPr="0060481D">
        <w:rPr>
          <w:rFonts w:eastAsia="Calibri"/>
          <w:bCs/>
          <w:iCs/>
          <w:color w:val="000000"/>
          <w:sz w:val="24"/>
          <w:szCs w:val="24"/>
        </w:rPr>
        <w:t>Augstākās izglītības iestāžu telpu un iekārtu uzlabošana/modernizēšana</w:t>
      </w:r>
      <w:r w:rsidR="005A1E8A" w:rsidRPr="0060481D">
        <w:rPr>
          <w:rFonts w:eastAsia="Calibri"/>
          <w:bCs/>
          <w:iCs/>
          <w:color w:val="000000"/>
          <w:sz w:val="24"/>
          <w:szCs w:val="24"/>
        </w:rPr>
        <w:t>”</w:t>
      </w:r>
      <w:r w:rsidR="00CE2878" w:rsidRPr="0060481D">
        <w:rPr>
          <w:rFonts w:eastAsia="Calibri"/>
          <w:bCs/>
          <w:iCs/>
          <w:color w:val="000000"/>
          <w:sz w:val="24"/>
          <w:szCs w:val="24"/>
        </w:rPr>
        <w:t xml:space="preserve"> (ERAF)</w:t>
      </w:r>
      <w:r w:rsidR="00C92963" w:rsidRPr="0060481D">
        <w:rPr>
          <w:rFonts w:eastAsia="Calibri"/>
          <w:bCs/>
          <w:iCs/>
          <w:color w:val="000000"/>
          <w:sz w:val="24"/>
          <w:szCs w:val="24"/>
        </w:rPr>
        <w:t xml:space="preserve">, taču </w:t>
      </w:r>
      <w:r w:rsidR="00CE2878" w:rsidRPr="0060481D">
        <w:rPr>
          <w:rFonts w:eastAsia="Calibri"/>
          <w:bCs/>
          <w:iCs/>
          <w:color w:val="000000"/>
          <w:sz w:val="24"/>
          <w:szCs w:val="24"/>
        </w:rPr>
        <w:t>šī n</w:t>
      </w:r>
      <w:r w:rsidR="00C92963" w:rsidRPr="0060481D">
        <w:rPr>
          <w:rFonts w:eastAsia="Calibri"/>
          <w:bCs/>
          <w:iCs/>
          <w:color w:val="000000"/>
          <w:sz w:val="24"/>
          <w:szCs w:val="24"/>
        </w:rPr>
        <w:t>acionālā programma paredzēja tikai augstskolu infrastruktūras attīstību. Koledžām atbalsts netika sniegts.</w:t>
      </w:r>
    </w:p>
    <w:p w:rsidR="00E177B1" w:rsidRPr="0060481D" w:rsidRDefault="00E177B1">
      <w:pPr>
        <w:pStyle w:val="abbreviationslist"/>
        <w:spacing w:before="0" w:after="0"/>
        <w:ind w:right="0" w:firstLine="720"/>
        <w:rPr>
          <w:rFonts w:eastAsia="Calibri"/>
          <w:bCs/>
          <w:iCs/>
          <w:color w:val="000000"/>
          <w:sz w:val="24"/>
          <w:szCs w:val="24"/>
        </w:rPr>
      </w:pPr>
    </w:p>
    <w:p w:rsidR="00B06725" w:rsidRPr="001D51D3" w:rsidRDefault="00665830" w:rsidP="003F34D8">
      <w:pPr>
        <w:pStyle w:val="Heading2"/>
      </w:pPr>
      <w:bookmarkStart w:id="19" w:name="_Toc445290194"/>
      <w:r w:rsidRPr="001D51D3">
        <w:t xml:space="preserve">2.1. </w:t>
      </w:r>
      <w:r w:rsidR="00B06725" w:rsidRPr="001D51D3">
        <w:t>ERAF investīcijas koledžu infrastruktūrā</w:t>
      </w:r>
      <w:r w:rsidR="001D51D3">
        <w:t xml:space="preserve"> </w:t>
      </w:r>
      <w:r w:rsidR="00FC005B" w:rsidRPr="001D51D3">
        <w:t>2007.-2013.gada plānošanas periodā</w:t>
      </w:r>
      <w:bookmarkEnd w:id="19"/>
    </w:p>
    <w:p w:rsidR="00127404" w:rsidRPr="00B06725" w:rsidRDefault="00127404" w:rsidP="00127404">
      <w:pPr>
        <w:pStyle w:val="abbreviationslist"/>
        <w:spacing w:before="0" w:after="0"/>
        <w:ind w:right="0" w:firstLine="720"/>
        <w:rPr>
          <w:b/>
          <w:iCs/>
          <w:sz w:val="24"/>
          <w:szCs w:val="24"/>
          <w:lang w:eastAsia="en-US"/>
        </w:rPr>
      </w:pPr>
    </w:p>
    <w:p w:rsidR="00371FBA" w:rsidRPr="0008469B" w:rsidRDefault="00C9038C" w:rsidP="0008469B">
      <w:pPr>
        <w:pStyle w:val="abbreviationslist"/>
        <w:spacing w:before="0" w:after="0"/>
        <w:ind w:right="0" w:firstLine="720"/>
        <w:rPr>
          <w:bCs/>
          <w:sz w:val="24"/>
          <w:szCs w:val="24"/>
        </w:rPr>
      </w:pPr>
      <w:r>
        <w:rPr>
          <w:bCs/>
          <w:sz w:val="24"/>
          <w:szCs w:val="24"/>
        </w:rPr>
        <w:lastRenderedPageBreak/>
        <w:t xml:space="preserve">2007.-2013.gada plānošanas periodā būtiskākie ieguldījumi koledžu infrastruktūrā tika veikti </w:t>
      </w:r>
      <w:r w:rsidR="0008469B" w:rsidRPr="00B06725">
        <w:rPr>
          <w:bCs/>
          <w:sz w:val="24"/>
          <w:szCs w:val="24"/>
        </w:rPr>
        <w:t>3.1.2.1.1.</w:t>
      </w:r>
      <w:r w:rsidR="0008469B" w:rsidRPr="00B06725">
        <w:rPr>
          <w:sz w:val="24"/>
          <w:szCs w:val="24"/>
        </w:rPr>
        <w:t>apakšaktivitātes</w:t>
      </w:r>
      <w:r w:rsidR="0008469B">
        <w:rPr>
          <w:sz w:val="24"/>
          <w:szCs w:val="24"/>
        </w:rPr>
        <w:t xml:space="preserve"> ietvaros.</w:t>
      </w:r>
      <w:r>
        <w:rPr>
          <w:bCs/>
          <w:sz w:val="24"/>
          <w:szCs w:val="24"/>
        </w:rPr>
        <w:t xml:space="preserve"> </w:t>
      </w:r>
      <w:r w:rsidR="002D23B1" w:rsidRPr="00B06725">
        <w:rPr>
          <w:bCs/>
          <w:sz w:val="24"/>
          <w:szCs w:val="24"/>
        </w:rPr>
        <w:t>3.1.2.1.1.</w:t>
      </w:r>
      <w:r w:rsidR="002D23B1" w:rsidRPr="00B06725">
        <w:rPr>
          <w:sz w:val="24"/>
          <w:szCs w:val="24"/>
        </w:rPr>
        <w:t xml:space="preserve">apakšaktivitātes </w:t>
      </w:r>
      <w:r w:rsidR="002D23B1" w:rsidRPr="001D2B1F">
        <w:rPr>
          <w:b/>
          <w:sz w:val="24"/>
          <w:szCs w:val="24"/>
        </w:rPr>
        <w:t>mērķis</w:t>
      </w:r>
      <w:r w:rsidR="002D23B1" w:rsidRPr="00B06725">
        <w:rPr>
          <w:sz w:val="24"/>
          <w:szCs w:val="24"/>
        </w:rPr>
        <w:t xml:space="preserve"> </w:t>
      </w:r>
      <w:r w:rsidR="00D32B77">
        <w:rPr>
          <w:sz w:val="24"/>
          <w:szCs w:val="24"/>
        </w:rPr>
        <w:t>ir</w:t>
      </w:r>
      <w:r w:rsidR="002D23B1" w:rsidRPr="00B06725">
        <w:rPr>
          <w:sz w:val="24"/>
          <w:szCs w:val="24"/>
        </w:rPr>
        <w:t xml:space="preserve"> uzlabot augstākās izglītības kvalitāti un pieejamību, modernizējot augstākās izglītības institūciju infrastruktūru, tajā skaitā pielāgojot personām ar funkcionāliem traucējumiem, un nodrošinājumu ar iekārtām, aprīkojumu un tehnoloģijām.</w:t>
      </w:r>
      <w:r w:rsidR="00127404">
        <w:rPr>
          <w:sz w:val="24"/>
          <w:szCs w:val="24"/>
        </w:rPr>
        <w:t xml:space="preserve"> </w:t>
      </w:r>
    </w:p>
    <w:p w:rsidR="00AB1F74" w:rsidRDefault="00AB1F74" w:rsidP="00127404">
      <w:pPr>
        <w:pStyle w:val="abbreviationslist"/>
        <w:spacing w:before="0" w:after="0"/>
        <w:ind w:right="0" w:firstLine="720"/>
        <w:rPr>
          <w:sz w:val="24"/>
          <w:szCs w:val="24"/>
        </w:rPr>
      </w:pPr>
      <w:r>
        <w:rPr>
          <w:sz w:val="24"/>
          <w:szCs w:val="24"/>
        </w:rPr>
        <w:t xml:space="preserve">Plānotais </w:t>
      </w:r>
      <w:r w:rsidRPr="001D2B1F">
        <w:rPr>
          <w:b/>
          <w:sz w:val="24"/>
          <w:szCs w:val="24"/>
        </w:rPr>
        <w:t>iznākuma rādītājs</w:t>
      </w:r>
      <w:r w:rsidRPr="00AB1F74">
        <w:rPr>
          <w:sz w:val="24"/>
          <w:szCs w:val="24"/>
        </w:rPr>
        <w:t xml:space="preserve"> – 31 augstākās izglītības institūcija, kurā līdz 2013.gada 31.decembrim modernizēta infrastruktūra un mācību aprīkojums.</w:t>
      </w:r>
      <w:r w:rsidR="00050766">
        <w:rPr>
          <w:sz w:val="24"/>
          <w:szCs w:val="24"/>
        </w:rPr>
        <w:t xml:space="preserve"> Jāatzīmē, ka </w:t>
      </w:r>
      <w:r w:rsidR="00050766" w:rsidRPr="00B06725">
        <w:rPr>
          <w:bCs/>
          <w:sz w:val="24"/>
          <w:szCs w:val="24"/>
        </w:rPr>
        <w:t>3.1.2.1.1.</w:t>
      </w:r>
      <w:r w:rsidR="00050766" w:rsidRPr="00B06725">
        <w:rPr>
          <w:sz w:val="24"/>
          <w:szCs w:val="24"/>
        </w:rPr>
        <w:t xml:space="preserve">apakšaktivitātes </w:t>
      </w:r>
      <w:r w:rsidR="00050766">
        <w:rPr>
          <w:sz w:val="24"/>
          <w:szCs w:val="24"/>
        </w:rPr>
        <w:t>īstenošanas nosacījumi tika izstrādāti kopīgi augstākās izglītības institūcijām</w:t>
      </w:r>
      <w:r w:rsidR="00437F50">
        <w:rPr>
          <w:sz w:val="24"/>
          <w:szCs w:val="24"/>
        </w:rPr>
        <w:t xml:space="preserve"> – augstskolām un koledžām</w:t>
      </w:r>
      <w:r w:rsidR="00050766">
        <w:rPr>
          <w:sz w:val="24"/>
          <w:szCs w:val="24"/>
        </w:rPr>
        <w:t>, tai skaitā pieejamo finansējumu un uzraudzības rādītājus</w:t>
      </w:r>
      <w:r w:rsidR="00437F50">
        <w:rPr>
          <w:sz w:val="24"/>
          <w:szCs w:val="24"/>
        </w:rPr>
        <w:t xml:space="preserve"> atsevišķi koledžām neizdalot</w:t>
      </w:r>
      <w:r w:rsidR="00050766">
        <w:rPr>
          <w:sz w:val="24"/>
          <w:szCs w:val="24"/>
        </w:rPr>
        <w:t xml:space="preserve">. </w:t>
      </w:r>
      <w:r w:rsidR="00213958">
        <w:rPr>
          <w:sz w:val="24"/>
          <w:szCs w:val="24"/>
        </w:rPr>
        <w:t xml:space="preserve">No kopējā sasniedzamā iznākuma rādītāja koledžas veido 11 </w:t>
      </w:r>
      <w:r w:rsidR="00213958" w:rsidRPr="00AB1F74">
        <w:rPr>
          <w:sz w:val="24"/>
          <w:szCs w:val="24"/>
        </w:rPr>
        <w:t>augstākās izglītības institūcija</w:t>
      </w:r>
      <w:r w:rsidR="00213958">
        <w:rPr>
          <w:sz w:val="24"/>
          <w:szCs w:val="24"/>
        </w:rPr>
        <w:t>s</w:t>
      </w:r>
      <w:r w:rsidR="00213958" w:rsidRPr="00AB1F74">
        <w:rPr>
          <w:sz w:val="24"/>
          <w:szCs w:val="24"/>
        </w:rPr>
        <w:t>, kurā</w:t>
      </w:r>
      <w:r w:rsidR="00213958">
        <w:rPr>
          <w:sz w:val="24"/>
          <w:szCs w:val="24"/>
        </w:rPr>
        <w:t>s</w:t>
      </w:r>
      <w:r w:rsidR="00213958" w:rsidRPr="00AB1F74">
        <w:rPr>
          <w:sz w:val="24"/>
          <w:szCs w:val="24"/>
        </w:rPr>
        <w:t xml:space="preserve"> modernizēta infrastruktūra un mācību aprīkojums</w:t>
      </w:r>
      <w:r w:rsidR="00213958">
        <w:rPr>
          <w:sz w:val="24"/>
          <w:szCs w:val="24"/>
        </w:rPr>
        <w:t>. Jāpiebilst, ka, ņemot vērā ierobežoto koledžām pieejamo finansējumu 3</w:t>
      </w:r>
      <w:r w:rsidR="00213958" w:rsidRPr="00B06725">
        <w:rPr>
          <w:bCs/>
          <w:sz w:val="24"/>
          <w:szCs w:val="24"/>
        </w:rPr>
        <w:t>.1.2.1.1.</w:t>
      </w:r>
      <w:r w:rsidR="00213958" w:rsidRPr="00B06725">
        <w:rPr>
          <w:sz w:val="24"/>
          <w:szCs w:val="24"/>
        </w:rPr>
        <w:t>apakšaktivitātes</w:t>
      </w:r>
      <w:r w:rsidR="00213958">
        <w:rPr>
          <w:sz w:val="24"/>
          <w:szCs w:val="24"/>
        </w:rPr>
        <w:t xml:space="preserve"> ietvaros, infrastruktūra un aprīkojums </w:t>
      </w:r>
      <w:r w:rsidR="00253637">
        <w:rPr>
          <w:sz w:val="24"/>
          <w:szCs w:val="24"/>
        </w:rPr>
        <w:t>Liepājas Jūrniecības koledžai</w:t>
      </w:r>
      <w:r w:rsidR="007265C5" w:rsidRPr="007265C5">
        <w:rPr>
          <w:sz w:val="24"/>
          <w:szCs w:val="24"/>
        </w:rPr>
        <w:t xml:space="preserve">, </w:t>
      </w:r>
      <w:r w:rsidR="00253637">
        <w:rPr>
          <w:sz w:val="24"/>
          <w:szCs w:val="24"/>
        </w:rPr>
        <w:t>Malnavas koledžai</w:t>
      </w:r>
      <w:r w:rsidR="007265C5" w:rsidRPr="007265C5">
        <w:rPr>
          <w:sz w:val="24"/>
          <w:szCs w:val="24"/>
        </w:rPr>
        <w:t xml:space="preserve">, </w:t>
      </w:r>
      <w:r w:rsidR="00253637">
        <w:rPr>
          <w:sz w:val="24"/>
          <w:szCs w:val="24"/>
        </w:rPr>
        <w:t>Olaines Mehānikas un tehnoloģijas koledžai</w:t>
      </w:r>
      <w:r w:rsidR="007265C5" w:rsidRPr="007265C5">
        <w:rPr>
          <w:sz w:val="24"/>
          <w:szCs w:val="24"/>
        </w:rPr>
        <w:t xml:space="preserve">, </w:t>
      </w:r>
      <w:r w:rsidR="00253637">
        <w:rPr>
          <w:sz w:val="24"/>
          <w:szCs w:val="24"/>
        </w:rPr>
        <w:t>Rīgas Celtniecības koledžai</w:t>
      </w:r>
      <w:r w:rsidR="007265C5" w:rsidRPr="007265C5">
        <w:rPr>
          <w:sz w:val="24"/>
          <w:szCs w:val="24"/>
        </w:rPr>
        <w:t xml:space="preserve"> un </w:t>
      </w:r>
      <w:r w:rsidR="00253637">
        <w:rPr>
          <w:sz w:val="24"/>
          <w:szCs w:val="24"/>
        </w:rPr>
        <w:t>profesionālās izglītības kompetences centram „Rīgas tehniskā koledža”</w:t>
      </w:r>
      <w:r w:rsidR="00253637" w:rsidDel="00253637">
        <w:rPr>
          <w:sz w:val="24"/>
          <w:szCs w:val="24"/>
        </w:rPr>
        <w:t xml:space="preserve"> </w:t>
      </w:r>
      <w:r w:rsidR="00213958">
        <w:rPr>
          <w:sz w:val="24"/>
          <w:szCs w:val="24"/>
        </w:rPr>
        <w:t>tika modernizēts daļēji</w:t>
      </w:r>
      <w:r w:rsidR="00371FBA">
        <w:rPr>
          <w:sz w:val="24"/>
          <w:szCs w:val="24"/>
        </w:rPr>
        <w:t xml:space="preserve"> nevis pilnībā</w:t>
      </w:r>
      <w:r w:rsidR="00213958">
        <w:rPr>
          <w:sz w:val="24"/>
          <w:szCs w:val="24"/>
        </w:rPr>
        <w:t>.</w:t>
      </w:r>
    </w:p>
    <w:p w:rsidR="00371FBA" w:rsidRDefault="00371FBA" w:rsidP="00127404">
      <w:pPr>
        <w:pStyle w:val="abbreviationslist"/>
        <w:spacing w:before="0" w:after="0"/>
        <w:ind w:right="0" w:firstLine="720"/>
        <w:rPr>
          <w:sz w:val="24"/>
          <w:szCs w:val="24"/>
        </w:rPr>
      </w:pPr>
      <w:r>
        <w:rPr>
          <w:sz w:val="24"/>
          <w:szCs w:val="24"/>
        </w:rPr>
        <w:t xml:space="preserve">Plānotais </w:t>
      </w:r>
      <w:r>
        <w:rPr>
          <w:b/>
          <w:sz w:val="24"/>
          <w:szCs w:val="24"/>
        </w:rPr>
        <w:t>rezultāta</w:t>
      </w:r>
      <w:r w:rsidRPr="001D2B1F">
        <w:rPr>
          <w:b/>
          <w:sz w:val="24"/>
          <w:szCs w:val="24"/>
        </w:rPr>
        <w:t xml:space="preserve"> rādītājs</w:t>
      </w:r>
      <w:r w:rsidRPr="00AB1F74">
        <w:rPr>
          <w:sz w:val="24"/>
          <w:szCs w:val="24"/>
        </w:rPr>
        <w:t xml:space="preserve"> –</w:t>
      </w:r>
      <w:r>
        <w:rPr>
          <w:sz w:val="24"/>
          <w:szCs w:val="24"/>
        </w:rPr>
        <w:t xml:space="preserve"> a</w:t>
      </w:r>
      <w:r w:rsidRPr="00371FBA">
        <w:rPr>
          <w:sz w:val="24"/>
          <w:szCs w:val="24"/>
        </w:rPr>
        <w:t>ugstākajā izglītībā tautsaimniecības attīstībai prioritārajās jomās studējošo īpatsvars, kam nodrošināta moderna un mūsdienu prasībām atbilstoša izglītības infrastruktūra un mācību aprīkojums (% no kopējā studējošo skaita attiecīgajās studiju programmās)</w:t>
      </w:r>
      <w:r>
        <w:rPr>
          <w:sz w:val="24"/>
          <w:szCs w:val="24"/>
        </w:rPr>
        <w:t xml:space="preserve"> </w:t>
      </w:r>
      <w:r w:rsidRPr="00AB1F74">
        <w:rPr>
          <w:sz w:val="24"/>
          <w:szCs w:val="24"/>
        </w:rPr>
        <w:t>–</w:t>
      </w:r>
      <w:r>
        <w:rPr>
          <w:sz w:val="24"/>
          <w:szCs w:val="24"/>
        </w:rPr>
        <w:t xml:space="preserve"> </w:t>
      </w:r>
      <w:r w:rsidRPr="00371FBA">
        <w:rPr>
          <w:sz w:val="24"/>
          <w:szCs w:val="24"/>
        </w:rPr>
        <w:t>90</w:t>
      </w:r>
      <w:r w:rsidR="000003FD">
        <w:rPr>
          <w:sz w:val="24"/>
          <w:szCs w:val="24"/>
        </w:rPr>
        <w:t xml:space="preserve"> </w:t>
      </w:r>
      <w:r w:rsidRPr="0053391E">
        <w:rPr>
          <w:sz w:val="24"/>
          <w:szCs w:val="24"/>
        </w:rPr>
        <w:t xml:space="preserve">%. Analizējot rezultāta rādītāja sasniegšanu attiecībā uz koledžām jāmin, ka kopējais rezultāta rādītājs ir </w:t>
      </w:r>
      <w:r w:rsidR="00991BC9">
        <w:rPr>
          <w:sz w:val="24"/>
          <w:szCs w:val="24"/>
        </w:rPr>
        <w:t>tuvu plānotajam</w:t>
      </w:r>
      <w:r w:rsidRPr="0053391E">
        <w:rPr>
          <w:sz w:val="24"/>
          <w:szCs w:val="24"/>
        </w:rPr>
        <w:t xml:space="preserve"> </w:t>
      </w:r>
      <w:r w:rsidR="00FC5DA6" w:rsidRPr="00991BC9">
        <w:rPr>
          <w:sz w:val="24"/>
          <w:szCs w:val="24"/>
        </w:rPr>
        <w:t>–</w:t>
      </w:r>
      <w:r w:rsidRPr="00991BC9">
        <w:rPr>
          <w:sz w:val="24"/>
          <w:szCs w:val="24"/>
        </w:rPr>
        <w:t xml:space="preserve"> </w:t>
      </w:r>
      <w:r w:rsidR="001350B8" w:rsidRPr="00991BC9">
        <w:rPr>
          <w:sz w:val="24"/>
          <w:szCs w:val="24"/>
        </w:rPr>
        <w:t>201</w:t>
      </w:r>
      <w:r w:rsidR="00991BC9" w:rsidRPr="00991BC9">
        <w:rPr>
          <w:sz w:val="24"/>
          <w:szCs w:val="24"/>
        </w:rPr>
        <w:t>5</w:t>
      </w:r>
      <w:r w:rsidR="001350B8" w:rsidRPr="00991BC9">
        <w:rPr>
          <w:sz w:val="24"/>
          <w:szCs w:val="24"/>
        </w:rPr>
        <w:t>.gadā</w:t>
      </w:r>
      <w:r w:rsidR="0063183B" w:rsidRPr="00991BC9">
        <w:rPr>
          <w:sz w:val="24"/>
          <w:szCs w:val="24"/>
        </w:rPr>
        <w:t xml:space="preserve"> </w:t>
      </w:r>
      <w:r w:rsidRPr="00991BC9">
        <w:rPr>
          <w:sz w:val="24"/>
          <w:szCs w:val="24"/>
        </w:rPr>
        <w:t>no</w:t>
      </w:r>
      <w:r w:rsidRPr="0053391E">
        <w:rPr>
          <w:sz w:val="24"/>
          <w:szCs w:val="24"/>
        </w:rPr>
        <w:t xml:space="preserve"> kopējā </w:t>
      </w:r>
      <w:r w:rsidR="004C085F" w:rsidRPr="0053391E">
        <w:rPr>
          <w:sz w:val="24"/>
          <w:szCs w:val="24"/>
        </w:rPr>
        <w:t>prioritārajās</w:t>
      </w:r>
      <w:r w:rsidR="00D71733" w:rsidRPr="0053391E">
        <w:rPr>
          <w:sz w:val="24"/>
          <w:szCs w:val="24"/>
        </w:rPr>
        <w:t xml:space="preserve"> </w:t>
      </w:r>
      <w:r w:rsidRPr="0053391E">
        <w:rPr>
          <w:sz w:val="24"/>
          <w:szCs w:val="24"/>
        </w:rPr>
        <w:t>jom</w:t>
      </w:r>
      <w:r w:rsidR="0063183B" w:rsidRPr="0053391E">
        <w:rPr>
          <w:sz w:val="24"/>
          <w:szCs w:val="24"/>
        </w:rPr>
        <w:t>ās koledžās studējošo kopskaita</w:t>
      </w:r>
      <w:r w:rsidRPr="0053391E">
        <w:rPr>
          <w:sz w:val="24"/>
          <w:szCs w:val="24"/>
        </w:rPr>
        <w:t xml:space="preserve"> </w:t>
      </w:r>
      <w:r w:rsidR="00D71733" w:rsidRPr="0053391E">
        <w:rPr>
          <w:sz w:val="24"/>
          <w:szCs w:val="24"/>
        </w:rPr>
        <w:t>8</w:t>
      </w:r>
      <w:r w:rsidR="00991BC9">
        <w:rPr>
          <w:sz w:val="24"/>
          <w:szCs w:val="24"/>
        </w:rPr>
        <w:t>4</w:t>
      </w:r>
      <w:r w:rsidRPr="0053391E">
        <w:rPr>
          <w:sz w:val="24"/>
          <w:szCs w:val="24"/>
        </w:rPr>
        <w:t xml:space="preserve"> %</w:t>
      </w:r>
      <w:r w:rsidR="0063183B" w:rsidRPr="0053391E">
        <w:rPr>
          <w:sz w:val="24"/>
          <w:szCs w:val="24"/>
        </w:rPr>
        <w:t xml:space="preserve"> studējošo </w:t>
      </w:r>
      <w:r w:rsidRPr="0053391E">
        <w:rPr>
          <w:sz w:val="24"/>
          <w:szCs w:val="24"/>
        </w:rPr>
        <w:t>studē</w:t>
      </w:r>
      <w:r w:rsidR="002B6373" w:rsidRPr="0053391E">
        <w:rPr>
          <w:sz w:val="24"/>
          <w:szCs w:val="24"/>
        </w:rPr>
        <w:t>ja</w:t>
      </w:r>
      <w:r w:rsidRPr="0053391E">
        <w:rPr>
          <w:sz w:val="24"/>
          <w:szCs w:val="24"/>
        </w:rPr>
        <w:t xml:space="preserve"> koledžās, kuru i</w:t>
      </w:r>
      <w:r w:rsidR="0063183B" w:rsidRPr="0053391E">
        <w:rPr>
          <w:sz w:val="24"/>
          <w:szCs w:val="24"/>
        </w:rPr>
        <w:t>nfrastruktūra</w:t>
      </w:r>
      <w:r w:rsidR="00991BC9">
        <w:rPr>
          <w:sz w:val="24"/>
          <w:szCs w:val="24"/>
        </w:rPr>
        <w:t>s</w:t>
      </w:r>
      <w:r w:rsidR="0063183B" w:rsidRPr="0053391E">
        <w:rPr>
          <w:sz w:val="24"/>
          <w:szCs w:val="24"/>
        </w:rPr>
        <w:t xml:space="preserve"> moderniz</w:t>
      </w:r>
      <w:r w:rsidR="00991BC9">
        <w:rPr>
          <w:sz w:val="24"/>
          <w:szCs w:val="24"/>
        </w:rPr>
        <w:t>ācijai</w:t>
      </w:r>
      <w:r w:rsidR="0063183B" w:rsidRPr="0053391E">
        <w:rPr>
          <w:sz w:val="24"/>
          <w:szCs w:val="24"/>
        </w:rPr>
        <w:t xml:space="preserve"> </w:t>
      </w:r>
      <w:r w:rsidRPr="0053391E">
        <w:rPr>
          <w:sz w:val="24"/>
          <w:szCs w:val="24"/>
        </w:rPr>
        <w:t>3</w:t>
      </w:r>
      <w:r w:rsidRPr="0053391E">
        <w:rPr>
          <w:bCs/>
          <w:sz w:val="24"/>
          <w:szCs w:val="24"/>
        </w:rPr>
        <w:t>.1.2.1.1.</w:t>
      </w:r>
      <w:r w:rsidRPr="0053391E">
        <w:rPr>
          <w:sz w:val="24"/>
          <w:szCs w:val="24"/>
        </w:rPr>
        <w:t>apakšaktivitātes</w:t>
      </w:r>
      <w:r w:rsidR="0063183B" w:rsidRPr="0053391E">
        <w:rPr>
          <w:sz w:val="24"/>
          <w:szCs w:val="24"/>
        </w:rPr>
        <w:t xml:space="preserve"> ietvaros </w:t>
      </w:r>
      <w:r w:rsidR="00991BC9">
        <w:rPr>
          <w:sz w:val="24"/>
          <w:szCs w:val="24"/>
        </w:rPr>
        <w:t xml:space="preserve">tika piešķirts atbalsts </w:t>
      </w:r>
      <w:r w:rsidR="0063183B" w:rsidRPr="0053391E">
        <w:rPr>
          <w:sz w:val="24"/>
          <w:szCs w:val="24"/>
        </w:rPr>
        <w:t>(201</w:t>
      </w:r>
      <w:r w:rsidR="00991BC9">
        <w:rPr>
          <w:sz w:val="24"/>
          <w:szCs w:val="24"/>
        </w:rPr>
        <w:t>5</w:t>
      </w:r>
      <w:r w:rsidR="0063183B" w:rsidRPr="0053391E">
        <w:rPr>
          <w:sz w:val="24"/>
          <w:szCs w:val="24"/>
        </w:rPr>
        <w:t xml:space="preserve">.gadā kopējais </w:t>
      </w:r>
      <w:r w:rsidR="004C085F" w:rsidRPr="0053391E">
        <w:rPr>
          <w:sz w:val="24"/>
          <w:szCs w:val="24"/>
        </w:rPr>
        <w:t>prioritārajās studiju</w:t>
      </w:r>
      <w:r w:rsidR="00D71733" w:rsidRPr="0053391E">
        <w:rPr>
          <w:sz w:val="24"/>
          <w:szCs w:val="24"/>
        </w:rPr>
        <w:t xml:space="preserve"> programmās</w:t>
      </w:r>
      <w:r w:rsidR="0063183B" w:rsidRPr="0053391E">
        <w:rPr>
          <w:sz w:val="24"/>
          <w:szCs w:val="24"/>
        </w:rPr>
        <w:t xml:space="preserve"> studējošo skaits valsts un </w:t>
      </w:r>
      <w:r w:rsidR="00991BC9">
        <w:rPr>
          <w:sz w:val="24"/>
          <w:szCs w:val="24"/>
        </w:rPr>
        <w:t>privātajās</w:t>
      </w:r>
      <w:r w:rsidR="0063183B" w:rsidRPr="0053391E">
        <w:rPr>
          <w:sz w:val="24"/>
          <w:szCs w:val="24"/>
        </w:rPr>
        <w:t xml:space="preserve"> </w:t>
      </w:r>
      <w:r w:rsidR="0063183B" w:rsidRPr="00991BC9">
        <w:rPr>
          <w:sz w:val="24"/>
          <w:szCs w:val="24"/>
        </w:rPr>
        <w:t xml:space="preserve">koledžās </w:t>
      </w:r>
      <w:r w:rsidR="00991BC9">
        <w:rPr>
          <w:sz w:val="24"/>
          <w:szCs w:val="24"/>
        </w:rPr>
        <w:t>–</w:t>
      </w:r>
      <w:r w:rsidR="0063183B" w:rsidRPr="00991BC9">
        <w:rPr>
          <w:sz w:val="24"/>
          <w:szCs w:val="24"/>
        </w:rPr>
        <w:t xml:space="preserve"> </w:t>
      </w:r>
      <w:r w:rsidR="001350B8" w:rsidRPr="00991BC9">
        <w:rPr>
          <w:sz w:val="24"/>
          <w:szCs w:val="24"/>
        </w:rPr>
        <w:t>44</w:t>
      </w:r>
      <w:r w:rsidR="00991BC9" w:rsidRPr="00991BC9">
        <w:rPr>
          <w:sz w:val="24"/>
          <w:szCs w:val="24"/>
        </w:rPr>
        <w:t>55</w:t>
      </w:r>
      <w:r w:rsidR="00991BC9">
        <w:rPr>
          <w:sz w:val="24"/>
          <w:szCs w:val="24"/>
        </w:rPr>
        <w:t xml:space="preserve"> </w:t>
      </w:r>
      <w:r w:rsidR="0063183B" w:rsidRPr="00991BC9">
        <w:rPr>
          <w:sz w:val="24"/>
          <w:szCs w:val="24"/>
        </w:rPr>
        <w:t xml:space="preserve">studējošie, </w:t>
      </w:r>
      <w:r w:rsidR="00D71733" w:rsidRPr="00991BC9">
        <w:rPr>
          <w:sz w:val="24"/>
          <w:szCs w:val="24"/>
        </w:rPr>
        <w:t xml:space="preserve">savukārt </w:t>
      </w:r>
      <w:r w:rsidR="0063183B" w:rsidRPr="00991BC9">
        <w:rPr>
          <w:sz w:val="24"/>
          <w:szCs w:val="24"/>
        </w:rPr>
        <w:t xml:space="preserve">studējošo skaits atbalstītajās </w:t>
      </w:r>
      <w:r w:rsidR="004C085F" w:rsidRPr="00991BC9">
        <w:rPr>
          <w:sz w:val="24"/>
          <w:szCs w:val="24"/>
        </w:rPr>
        <w:t xml:space="preserve">prioritārajās studiju </w:t>
      </w:r>
      <w:r w:rsidR="0063183B" w:rsidRPr="00991BC9">
        <w:rPr>
          <w:sz w:val="24"/>
          <w:szCs w:val="24"/>
        </w:rPr>
        <w:t>programmās</w:t>
      </w:r>
      <w:r w:rsidR="00D71733" w:rsidRPr="00991BC9">
        <w:rPr>
          <w:sz w:val="24"/>
          <w:szCs w:val="24"/>
        </w:rPr>
        <w:t xml:space="preserve"> </w:t>
      </w:r>
      <w:r w:rsidR="00991BC9">
        <w:rPr>
          <w:sz w:val="24"/>
          <w:szCs w:val="24"/>
        </w:rPr>
        <w:t>–</w:t>
      </w:r>
      <w:r w:rsidR="0063183B" w:rsidRPr="00991BC9">
        <w:rPr>
          <w:sz w:val="24"/>
          <w:szCs w:val="24"/>
        </w:rPr>
        <w:t xml:space="preserve"> </w:t>
      </w:r>
      <w:r w:rsidR="001350B8" w:rsidRPr="00991BC9">
        <w:rPr>
          <w:sz w:val="24"/>
          <w:szCs w:val="24"/>
        </w:rPr>
        <w:t>3</w:t>
      </w:r>
      <w:r w:rsidR="00991BC9" w:rsidRPr="00991BC9">
        <w:rPr>
          <w:sz w:val="24"/>
          <w:szCs w:val="24"/>
        </w:rPr>
        <w:t>750</w:t>
      </w:r>
      <w:r w:rsidR="0063183B" w:rsidRPr="00991BC9">
        <w:rPr>
          <w:sz w:val="24"/>
          <w:szCs w:val="24"/>
        </w:rPr>
        <w:t xml:space="preserve"> studējošie</w:t>
      </w:r>
      <w:r w:rsidR="0063183B">
        <w:rPr>
          <w:sz w:val="24"/>
          <w:szCs w:val="24"/>
        </w:rPr>
        <w:t>).</w:t>
      </w:r>
      <w:r>
        <w:rPr>
          <w:sz w:val="24"/>
          <w:szCs w:val="24"/>
        </w:rPr>
        <w:t xml:space="preserve"> Vienīgi atkārtoti jāpiebilst, ka vairākos gadījum</w:t>
      </w:r>
      <w:r w:rsidR="0063183B">
        <w:rPr>
          <w:sz w:val="24"/>
          <w:szCs w:val="24"/>
        </w:rPr>
        <w:t xml:space="preserve">os koledžu infrastruktūra tika </w:t>
      </w:r>
      <w:r>
        <w:rPr>
          <w:sz w:val="24"/>
          <w:szCs w:val="24"/>
        </w:rPr>
        <w:t>modernizēta daļēji nevis pilnībā.</w:t>
      </w:r>
    </w:p>
    <w:p w:rsidR="00320C44" w:rsidRDefault="002D23B1" w:rsidP="00127404">
      <w:pPr>
        <w:pStyle w:val="abbreviationslist"/>
        <w:spacing w:before="0" w:after="0"/>
        <w:ind w:right="0" w:firstLine="720"/>
        <w:rPr>
          <w:sz w:val="24"/>
          <w:szCs w:val="24"/>
        </w:rPr>
      </w:pPr>
      <w:r w:rsidRPr="001D2B1F">
        <w:rPr>
          <w:b/>
          <w:sz w:val="24"/>
          <w:szCs w:val="24"/>
        </w:rPr>
        <w:t>Finansējuma saņēmēji</w:t>
      </w:r>
      <w:r w:rsidRPr="00B06725">
        <w:rPr>
          <w:sz w:val="24"/>
          <w:szCs w:val="24"/>
        </w:rPr>
        <w:t xml:space="preserve"> </w:t>
      </w:r>
      <w:r w:rsidR="001D2B1F">
        <w:rPr>
          <w:sz w:val="24"/>
          <w:szCs w:val="24"/>
        </w:rPr>
        <w:t>varēja būt</w:t>
      </w:r>
      <w:r w:rsidRPr="00B06725">
        <w:rPr>
          <w:sz w:val="24"/>
          <w:szCs w:val="24"/>
        </w:rPr>
        <w:t xml:space="preserve"> </w:t>
      </w:r>
      <w:r w:rsidR="001D2B1F">
        <w:rPr>
          <w:sz w:val="24"/>
          <w:szCs w:val="24"/>
        </w:rPr>
        <w:t>valsts un citu juridisko personu dibinātās</w:t>
      </w:r>
      <w:r w:rsidR="001D2B1F" w:rsidRPr="00B06725">
        <w:rPr>
          <w:sz w:val="24"/>
          <w:szCs w:val="24"/>
        </w:rPr>
        <w:t xml:space="preserve"> </w:t>
      </w:r>
      <w:r w:rsidRPr="00B06725">
        <w:rPr>
          <w:sz w:val="24"/>
          <w:szCs w:val="24"/>
        </w:rPr>
        <w:t>augstākās izglītības</w:t>
      </w:r>
      <w:r w:rsidR="00127404">
        <w:rPr>
          <w:sz w:val="24"/>
          <w:szCs w:val="24"/>
        </w:rPr>
        <w:t xml:space="preserve"> institūcijas</w:t>
      </w:r>
      <w:r w:rsidR="00AB1F74">
        <w:rPr>
          <w:sz w:val="24"/>
          <w:szCs w:val="24"/>
        </w:rPr>
        <w:t xml:space="preserve"> </w:t>
      </w:r>
      <w:r w:rsidR="00AB1F74" w:rsidRPr="00AB1F74">
        <w:rPr>
          <w:sz w:val="24"/>
          <w:szCs w:val="24"/>
        </w:rPr>
        <w:t>–</w:t>
      </w:r>
      <w:r w:rsidR="00AB1F74">
        <w:rPr>
          <w:sz w:val="24"/>
          <w:szCs w:val="24"/>
        </w:rPr>
        <w:t xml:space="preserve"> augstskolas un </w:t>
      </w:r>
      <w:r w:rsidR="00127404">
        <w:rPr>
          <w:sz w:val="24"/>
          <w:szCs w:val="24"/>
        </w:rPr>
        <w:t>koledžas.</w:t>
      </w:r>
      <w:r w:rsidRPr="00B06725">
        <w:rPr>
          <w:sz w:val="24"/>
          <w:szCs w:val="24"/>
        </w:rPr>
        <w:t xml:space="preserve"> </w:t>
      </w:r>
      <w:r w:rsidR="00127404" w:rsidRPr="00B06725">
        <w:rPr>
          <w:bCs/>
          <w:sz w:val="24"/>
          <w:szCs w:val="24"/>
        </w:rPr>
        <w:t>3.1.2.1.1.</w:t>
      </w:r>
      <w:r w:rsidR="00127404" w:rsidRPr="00B06725">
        <w:rPr>
          <w:sz w:val="24"/>
          <w:szCs w:val="24"/>
        </w:rPr>
        <w:t>apakšaktivitātes</w:t>
      </w:r>
      <w:r w:rsidR="00320C44" w:rsidRPr="00D643EC">
        <w:rPr>
          <w:sz w:val="24"/>
          <w:szCs w:val="24"/>
        </w:rPr>
        <w:t xml:space="preserve"> </w:t>
      </w:r>
      <w:r w:rsidR="00AB1F74">
        <w:rPr>
          <w:sz w:val="24"/>
          <w:szCs w:val="24"/>
        </w:rPr>
        <w:t xml:space="preserve">ietvaros </w:t>
      </w:r>
      <w:r w:rsidR="00F920B5">
        <w:rPr>
          <w:sz w:val="24"/>
          <w:szCs w:val="24"/>
        </w:rPr>
        <w:t xml:space="preserve">apgūtais </w:t>
      </w:r>
      <w:r w:rsidR="00320C44" w:rsidRPr="001D2B1F">
        <w:rPr>
          <w:b/>
          <w:sz w:val="24"/>
          <w:szCs w:val="24"/>
        </w:rPr>
        <w:t>kopējais finansējums</w:t>
      </w:r>
      <w:r w:rsidR="00320C44" w:rsidRPr="00D643EC">
        <w:rPr>
          <w:sz w:val="24"/>
          <w:szCs w:val="24"/>
        </w:rPr>
        <w:t xml:space="preserve"> bija </w:t>
      </w:r>
      <w:r w:rsidR="00284E93">
        <w:rPr>
          <w:sz w:val="24"/>
          <w:szCs w:val="24"/>
        </w:rPr>
        <w:t> </w:t>
      </w:r>
      <w:r w:rsidR="00F920B5" w:rsidRPr="00D643EC">
        <w:rPr>
          <w:sz w:val="24"/>
          <w:szCs w:val="24"/>
        </w:rPr>
        <w:t>14</w:t>
      </w:r>
      <w:r w:rsidR="00F920B5">
        <w:rPr>
          <w:sz w:val="24"/>
          <w:szCs w:val="24"/>
        </w:rPr>
        <w:t>0</w:t>
      </w:r>
      <w:r w:rsidR="00284E93">
        <w:rPr>
          <w:sz w:val="24"/>
          <w:szCs w:val="24"/>
        </w:rPr>
        <w:t> </w:t>
      </w:r>
      <w:r w:rsidR="00F920B5">
        <w:rPr>
          <w:sz w:val="24"/>
          <w:szCs w:val="24"/>
        </w:rPr>
        <w:t>815</w:t>
      </w:r>
      <w:r w:rsidR="00284E93">
        <w:rPr>
          <w:sz w:val="24"/>
          <w:szCs w:val="24"/>
        </w:rPr>
        <w:t> </w:t>
      </w:r>
      <w:r w:rsidR="00F920B5">
        <w:rPr>
          <w:sz w:val="24"/>
          <w:szCs w:val="24"/>
        </w:rPr>
        <w:t>959,40</w:t>
      </w:r>
      <w:r w:rsidR="00F920B5" w:rsidRPr="00D643EC">
        <w:rPr>
          <w:sz w:val="24"/>
          <w:szCs w:val="24"/>
        </w:rPr>
        <w:t xml:space="preserve"> </w:t>
      </w:r>
      <w:proofErr w:type="spellStart"/>
      <w:r w:rsidR="00320C44" w:rsidRPr="00D643EC">
        <w:rPr>
          <w:i/>
          <w:iCs/>
          <w:sz w:val="24"/>
          <w:szCs w:val="24"/>
        </w:rPr>
        <w:t>euro</w:t>
      </w:r>
      <w:proofErr w:type="spellEnd"/>
      <w:r w:rsidR="00320C44" w:rsidRPr="00D643EC">
        <w:rPr>
          <w:sz w:val="24"/>
          <w:szCs w:val="24"/>
        </w:rPr>
        <w:t xml:space="preserve">, tajā skaitā </w:t>
      </w:r>
      <w:r w:rsidR="00127404">
        <w:rPr>
          <w:sz w:val="24"/>
          <w:szCs w:val="24"/>
        </w:rPr>
        <w:t>ERAF</w:t>
      </w:r>
      <w:r w:rsidR="00320C44" w:rsidRPr="00D643EC">
        <w:rPr>
          <w:sz w:val="24"/>
          <w:szCs w:val="24"/>
        </w:rPr>
        <w:t xml:space="preserve"> finansējums – </w:t>
      </w:r>
      <w:r w:rsidR="00F920B5">
        <w:rPr>
          <w:sz w:val="24"/>
          <w:szCs w:val="24"/>
        </w:rPr>
        <w:t> </w:t>
      </w:r>
      <w:r w:rsidR="00F920B5" w:rsidRPr="00D643EC">
        <w:rPr>
          <w:sz w:val="24"/>
          <w:szCs w:val="24"/>
        </w:rPr>
        <w:t>1</w:t>
      </w:r>
      <w:r w:rsidR="00F920B5">
        <w:rPr>
          <w:sz w:val="24"/>
          <w:szCs w:val="24"/>
        </w:rPr>
        <w:t>19 693 561,55</w:t>
      </w:r>
      <w:r w:rsidR="00F920B5" w:rsidRPr="00D643EC">
        <w:rPr>
          <w:sz w:val="24"/>
          <w:szCs w:val="24"/>
        </w:rPr>
        <w:t xml:space="preserve"> </w:t>
      </w:r>
      <w:proofErr w:type="spellStart"/>
      <w:r w:rsidR="00320C44" w:rsidRPr="00D643EC">
        <w:rPr>
          <w:i/>
          <w:iCs/>
          <w:sz w:val="24"/>
          <w:szCs w:val="24"/>
        </w:rPr>
        <w:t>euro</w:t>
      </w:r>
      <w:proofErr w:type="spellEnd"/>
      <w:r w:rsidR="00320C44" w:rsidRPr="00D643EC">
        <w:rPr>
          <w:sz w:val="24"/>
          <w:szCs w:val="24"/>
        </w:rPr>
        <w:t xml:space="preserve"> un nacionālais līdzfinansējums – </w:t>
      </w:r>
      <w:r w:rsidR="00F920B5">
        <w:rPr>
          <w:sz w:val="24"/>
          <w:szCs w:val="24"/>
        </w:rPr>
        <w:t>21</w:t>
      </w:r>
      <w:r w:rsidR="00284E93">
        <w:rPr>
          <w:sz w:val="24"/>
          <w:szCs w:val="24"/>
        </w:rPr>
        <w:t> </w:t>
      </w:r>
      <w:r w:rsidR="00F920B5">
        <w:rPr>
          <w:sz w:val="24"/>
          <w:szCs w:val="24"/>
        </w:rPr>
        <w:t>122</w:t>
      </w:r>
      <w:r w:rsidR="00284E93">
        <w:rPr>
          <w:sz w:val="24"/>
          <w:szCs w:val="24"/>
        </w:rPr>
        <w:t> </w:t>
      </w:r>
      <w:r w:rsidR="00F920B5" w:rsidRPr="00D643EC">
        <w:rPr>
          <w:sz w:val="24"/>
          <w:szCs w:val="24"/>
        </w:rPr>
        <w:t>3</w:t>
      </w:r>
      <w:r w:rsidR="00F920B5">
        <w:rPr>
          <w:sz w:val="24"/>
          <w:szCs w:val="24"/>
        </w:rPr>
        <w:t>97,85</w:t>
      </w:r>
      <w:r w:rsidR="00F920B5" w:rsidRPr="00D643EC">
        <w:rPr>
          <w:sz w:val="24"/>
          <w:szCs w:val="24"/>
        </w:rPr>
        <w:t xml:space="preserve"> </w:t>
      </w:r>
      <w:proofErr w:type="spellStart"/>
      <w:r w:rsidR="00320C44" w:rsidRPr="00D643EC">
        <w:rPr>
          <w:i/>
          <w:iCs/>
          <w:sz w:val="24"/>
          <w:szCs w:val="24"/>
        </w:rPr>
        <w:t>euro</w:t>
      </w:r>
      <w:proofErr w:type="spellEnd"/>
      <w:r w:rsidR="00320C44" w:rsidRPr="00D643EC">
        <w:rPr>
          <w:sz w:val="24"/>
          <w:szCs w:val="24"/>
        </w:rPr>
        <w:t xml:space="preserve">, ko veido </w:t>
      </w:r>
      <w:r w:rsidR="00127404">
        <w:rPr>
          <w:sz w:val="24"/>
          <w:szCs w:val="24"/>
        </w:rPr>
        <w:t>ERAF</w:t>
      </w:r>
      <w:r w:rsidR="00320C44" w:rsidRPr="00D643EC">
        <w:rPr>
          <w:sz w:val="24"/>
          <w:szCs w:val="24"/>
        </w:rPr>
        <w:t xml:space="preserve"> projektu līdzfinansēšanai paredzētais valsts budžeta finansējums</w:t>
      </w:r>
      <w:r w:rsidR="00F920B5">
        <w:rPr>
          <w:sz w:val="24"/>
          <w:szCs w:val="24"/>
        </w:rPr>
        <w:t xml:space="preserve"> </w:t>
      </w:r>
      <w:r w:rsidR="00F920B5" w:rsidRPr="00F920B5">
        <w:rPr>
          <w:sz w:val="24"/>
          <w:szCs w:val="24"/>
        </w:rPr>
        <w:t>10</w:t>
      </w:r>
      <w:r w:rsidR="00284E93">
        <w:rPr>
          <w:sz w:val="24"/>
          <w:szCs w:val="24"/>
        </w:rPr>
        <w:t> </w:t>
      </w:r>
      <w:r w:rsidR="00F920B5" w:rsidRPr="00F920B5">
        <w:rPr>
          <w:sz w:val="24"/>
          <w:szCs w:val="24"/>
        </w:rPr>
        <w:t>154</w:t>
      </w:r>
      <w:r w:rsidR="00284E93">
        <w:rPr>
          <w:sz w:val="24"/>
          <w:szCs w:val="24"/>
        </w:rPr>
        <w:t> </w:t>
      </w:r>
      <w:r w:rsidR="00F920B5" w:rsidRPr="00F920B5">
        <w:rPr>
          <w:sz w:val="24"/>
          <w:szCs w:val="24"/>
        </w:rPr>
        <w:t>489,57</w:t>
      </w:r>
      <w:r w:rsidR="00F920B5" w:rsidRPr="00F920B5">
        <w:rPr>
          <w:i/>
          <w:iCs/>
          <w:sz w:val="24"/>
          <w:szCs w:val="24"/>
        </w:rPr>
        <w:t xml:space="preserve"> </w:t>
      </w:r>
      <w:proofErr w:type="spellStart"/>
      <w:r w:rsidR="00F920B5" w:rsidRPr="00D643EC">
        <w:rPr>
          <w:i/>
          <w:iCs/>
          <w:sz w:val="24"/>
          <w:szCs w:val="24"/>
        </w:rPr>
        <w:t>euro</w:t>
      </w:r>
      <w:proofErr w:type="spellEnd"/>
      <w:r w:rsidR="00320C44" w:rsidRPr="00D643EC">
        <w:rPr>
          <w:sz w:val="24"/>
          <w:szCs w:val="24"/>
        </w:rPr>
        <w:t>, un privātais līdzfinansējums – 10</w:t>
      </w:r>
      <w:r w:rsidR="00284E93">
        <w:rPr>
          <w:sz w:val="24"/>
          <w:szCs w:val="24"/>
        </w:rPr>
        <w:t> </w:t>
      </w:r>
      <w:r w:rsidR="00F920B5" w:rsidRPr="00D643EC">
        <w:rPr>
          <w:sz w:val="24"/>
          <w:szCs w:val="24"/>
        </w:rPr>
        <w:t>9</w:t>
      </w:r>
      <w:r w:rsidR="00F920B5">
        <w:rPr>
          <w:sz w:val="24"/>
          <w:szCs w:val="24"/>
        </w:rPr>
        <w:t>6</w:t>
      </w:r>
      <w:r w:rsidR="00F920B5" w:rsidRPr="00D643EC">
        <w:rPr>
          <w:sz w:val="24"/>
          <w:szCs w:val="24"/>
        </w:rPr>
        <w:t>7</w:t>
      </w:r>
      <w:r w:rsidR="00284E93">
        <w:rPr>
          <w:sz w:val="24"/>
          <w:szCs w:val="24"/>
        </w:rPr>
        <w:t> </w:t>
      </w:r>
      <w:r w:rsidR="00F920B5">
        <w:rPr>
          <w:sz w:val="24"/>
          <w:szCs w:val="24"/>
        </w:rPr>
        <w:t>908,28</w:t>
      </w:r>
      <w:r w:rsidR="00F920B5" w:rsidRPr="00D643EC">
        <w:rPr>
          <w:sz w:val="24"/>
          <w:szCs w:val="24"/>
        </w:rPr>
        <w:t xml:space="preserve"> </w:t>
      </w:r>
      <w:proofErr w:type="spellStart"/>
      <w:r w:rsidR="00320C44" w:rsidRPr="00D643EC">
        <w:rPr>
          <w:i/>
          <w:iCs/>
          <w:sz w:val="24"/>
          <w:szCs w:val="24"/>
        </w:rPr>
        <w:t>euro</w:t>
      </w:r>
      <w:proofErr w:type="spellEnd"/>
      <w:r w:rsidR="00AB1F74">
        <w:rPr>
          <w:sz w:val="24"/>
          <w:szCs w:val="24"/>
        </w:rPr>
        <w:t>.</w:t>
      </w:r>
      <w:r w:rsidR="00320C44" w:rsidRPr="00D643EC">
        <w:rPr>
          <w:sz w:val="24"/>
          <w:szCs w:val="24"/>
        </w:rPr>
        <w:t xml:space="preserve"> </w:t>
      </w:r>
      <w:r w:rsidR="00D35747">
        <w:rPr>
          <w:sz w:val="24"/>
          <w:szCs w:val="24"/>
        </w:rPr>
        <w:t xml:space="preserve">Jāuzsver, ka </w:t>
      </w:r>
      <w:r w:rsidR="00D35747" w:rsidRPr="00B06725">
        <w:rPr>
          <w:bCs/>
          <w:sz w:val="24"/>
          <w:szCs w:val="24"/>
        </w:rPr>
        <w:t>3.1.2.1.1.</w:t>
      </w:r>
      <w:r w:rsidR="00D35747" w:rsidRPr="00B06725">
        <w:rPr>
          <w:sz w:val="24"/>
          <w:szCs w:val="24"/>
        </w:rPr>
        <w:t>apakšaktivitātes</w:t>
      </w:r>
      <w:r w:rsidR="00D35747" w:rsidRPr="00D643EC">
        <w:rPr>
          <w:sz w:val="24"/>
          <w:szCs w:val="24"/>
        </w:rPr>
        <w:t xml:space="preserve"> </w:t>
      </w:r>
      <w:r w:rsidR="00D35747">
        <w:rPr>
          <w:sz w:val="24"/>
          <w:szCs w:val="24"/>
        </w:rPr>
        <w:t xml:space="preserve">ietvaros ieguldījumi koledžu infrastruktūrā no kopējā </w:t>
      </w:r>
      <w:r w:rsidR="00D35747" w:rsidRPr="00B06725">
        <w:rPr>
          <w:bCs/>
          <w:sz w:val="24"/>
          <w:szCs w:val="24"/>
        </w:rPr>
        <w:t>3.1.2.1.1.</w:t>
      </w:r>
      <w:r w:rsidR="00D35747" w:rsidRPr="00B06725">
        <w:rPr>
          <w:sz w:val="24"/>
          <w:szCs w:val="24"/>
        </w:rPr>
        <w:t>apakšaktivitātes</w:t>
      </w:r>
      <w:r w:rsidR="00D35747">
        <w:rPr>
          <w:sz w:val="24"/>
          <w:szCs w:val="24"/>
        </w:rPr>
        <w:t xml:space="preserve"> ietvaros pieejamā finansējuma veido tikai </w:t>
      </w:r>
      <w:r w:rsidR="00C36236">
        <w:rPr>
          <w:sz w:val="24"/>
          <w:szCs w:val="24"/>
        </w:rPr>
        <w:t>3,6 %</w:t>
      </w:r>
      <w:r w:rsidR="00D32B77">
        <w:rPr>
          <w:sz w:val="24"/>
          <w:szCs w:val="24"/>
        </w:rPr>
        <w:t xml:space="preserve"> (5 </w:t>
      </w:r>
      <w:r w:rsidR="00F920B5">
        <w:rPr>
          <w:sz w:val="24"/>
          <w:szCs w:val="24"/>
        </w:rPr>
        <w:t>076</w:t>
      </w:r>
      <w:r w:rsidR="00D32B77">
        <w:rPr>
          <w:sz w:val="24"/>
          <w:szCs w:val="24"/>
        </w:rPr>
        <w:t> </w:t>
      </w:r>
      <w:r w:rsidR="00F920B5">
        <w:rPr>
          <w:sz w:val="24"/>
          <w:szCs w:val="24"/>
        </w:rPr>
        <w:t>041</w:t>
      </w:r>
      <w:r w:rsidR="00D32B77">
        <w:rPr>
          <w:sz w:val="24"/>
          <w:szCs w:val="24"/>
        </w:rPr>
        <w:t>,</w:t>
      </w:r>
      <w:r w:rsidR="00F920B5">
        <w:rPr>
          <w:sz w:val="24"/>
          <w:szCs w:val="24"/>
        </w:rPr>
        <w:t xml:space="preserve">71 </w:t>
      </w:r>
      <w:proofErr w:type="spellStart"/>
      <w:r w:rsidR="00D32B77" w:rsidRPr="00D32B77">
        <w:rPr>
          <w:i/>
          <w:sz w:val="24"/>
          <w:szCs w:val="24"/>
        </w:rPr>
        <w:t>euro</w:t>
      </w:r>
      <w:proofErr w:type="spellEnd"/>
      <w:r w:rsidR="00D32B77">
        <w:rPr>
          <w:sz w:val="24"/>
          <w:szCs w:val="24"/>
        </w:rPr>
        <w:t xml:space="preserve"> no </w:t>
      </w:r>
      <w:r w:rsidR="00F920B5" w:rsidRPr="00D643EC">
        <w:rPr>
          <w:sz w:val="24"/>
          <w:szCs w:val="24"/>
        </w:rPr>
        <w:t>14</w:t>
      </w:r>
      <w:r w:rsidR="00F920B5">
        <w:rPr>
          <w:sz w:val="24"/>
          <w:szCs w:val="24"/>
        </w:rPr>
        <w:t>0</w:t>
      </w:r>
      <w:r w:rsidR="00F920B5" w:rsidRPr="00D643EC">
        <w:rPr>
          <w:sz w:val="24"/>
          <w:szCs w:val="24"/>
        </w:rPr>
        <w:t xml:space="preserve"> </w:t>
      </w:r>
      <w:r w:rsidR="00F920B5">
        <w:rPr>
          <w:sz w:val="24"/>
          <w:szCs w:val="24"/>
        </w:rPr>
        <w:t xml:space="preserve">815 959,40 </w:t>
      </w:r>
      <w:proofErr w:type="spellStart"/>
      <w:r w:rsidR="00D32B77" w:rsidRPr="00D643EC">
        <w:rPr>
          <w:i/>
          <w:iCs/>
          <w:sz w:val="24"/>
          <w:szCs w:val="24"/>
        </w:rPr>
        <w:t>euro</w:t>
      </w:r>
      <w:proofErr w:type="spellEnd"/>
      <w:r w:rsidR="00D32B77">
        <w:rPr>
          <w:sz w:val="24"/>
          <w:szCs w:val="24"/>
        </w:rPr>
        <w:t>)</w:t>
      </w:r>
      <w:r w:rsidR="00C36236">
        <w:rPr>
          <w:sz w:val="24"/>
          <w:szCs w:val="24"/>
        </w:rPr>
        <w:t>.</w:t>
      </w:r>
    </w:p>
    <w:p w:rsidR="00AC5A89" w:rsidRDefault="00AC5A89" w:rsidP="00127404">
      <w:pPr>
        <w:pStyle w:val="abbreviationslist"/>
        <w:spacing w:before="0" w:after="0"/>
        <w:ind w:right="0" w:firstLine="720"/>
        <w:rPr>
          <w:i/>
          <w:sz w:val="24"/>
          <w:szCs w:val="24"/>
        </w:rPr>
      </w:pPr>
      <w:r w:rsidRPr="00AC5A89">
        <w:rPr>
          <w:b/>
          <w:sz w:val="24"/>
          <w:szCs w:val="24"/>
        </w:rPr>
        <w:t>Minimālais un maksimālais projekta finansējuma apjoms</w:t>
      </w:r>
      <w:r>
        <w:rPr>
          <w:b/>
          <w:sz w:val="24"/>
          <w:szCs w:val="24"/>
        </w:rPr>
        <w:t xml:space="preserve"> </w:t>
      </w:r>
      <w:r w:rsidRPr="00D643EC">
        <w:rPr>
          <w:sz w:val="24"/>
          <w:szCs w:val="24"/>
        </w:rPr>
        <w:t>–</w:t>
      </w:r>
      <w:r>
        <w:rPr>
          <w:sz w:val="24"/>
          <w:szCs w:val="24"/>
        </w:rPr>
        <w:t xml:space="preserve"> n</w:t>
      </w:r>
      <w:r w:rsidRPr="00AC5A89">
        <w:rPr>
          <w:sz w:val="24"/>
          <w:szCs w:val="24"/>
        </w:rPr>
        <w:t xml:space="preserve">o 100 000 </w:t>
      </w:r>
      <w:proofErr w:type="spellStart"/>
      <w:r w:rsidRPr="00AC5A89">
        <w:rPr>
          <w:i/>
          <w:sz w:val="24"/>
          <w:szCs w:val="24"/>
        </w:rPr>
        <w:t>euro</w:t>
      </w:r>
      <w:proofErr w:type="spellEnd"/>
      <w:r w:rsidRPr="00AC5A89">
        <w:rPr>
          <w:sz w:val="24"/>
          <w:szCs w:val="24"/>
        </w:rPr>
        <w:t xml:space="preserve"> līdz 38 000 000 </w:t>
      </w:r>
      <w:proofErr w:type="spellStart"/>
      <w:r w:rsidRPr="00AC5A89">
        <w:rPr>
          <w:i/>
          <w:sz w:val="24"/>
          <w:szCs w:val="24"/>
        </w:rPr>
        <w:t>euro</w:t>
      </w:r>
      <w:proofErr w:type="spellEnd"/>
      <w:r w:rsidRPr="00AC5A89">
        <w:rPr>
          <w:sz w:val="24"/>
          <w:szCs w:val="24"/>
        </w:rPr>
        <w:t>. Projekta maksimālo attiecināmo finansējumu no</w:t>
      </w:r>
      <w:r>
        <w:rPr>
          <w:sz w:val="24"/>
          <w:szCs w:val="24"/>
        </w:rPr>
        <w:t>teica</w:t>
      </w:r>
      <w:r w:rsidRPr="00AC5A89">
        <w:rPr>
          <w:sz w:val="24"/>
          <w:szCs w:val="24"/>
        </w:rPr>
        <w:t xml:space="preserve"> individuāli</w:t>
      </w:r>
      <w:r>
        <w:rPr>
          <w:sz w:val="24"/>
          <w:szCs w:val="24"/>
        </w:rPr>
        <w:t>,</w:t>
      </w:r>
      <w:r w:rsidRPr="00AC5A89">
        <w:rPr>
          <w:sz w:val="24"/>
          <w:szCs w:val="24"/>
        </w:rPr>
        <w:t xml:space="preserve"> katrai augstākās izglītības </w:t>
      </w:r>
      <w:r>
        <w:rPr>
          <w:sz w:val="24"/>
          <w:szCs w:val="24"/>
        </w:rPr>
        <w:t>institūcijai</w:t>
      </w:r>
      <w:r w:rsidRPr="00AC5A89">
        <w:rPr>
          <w:sz w:val="24"/>
          <w:szCs w:val="24"/>
        </w:rPr>
        <w:t xml:space="preserve"> aprēķinot pieejamo maksimālo</w:t>
      </w:r>
      <w:r>
        <w:rPr>
          <w:sz w:val="24"/>
          <w:szCs w:val="24"/>
        </w:rPr>
        <w:t xml:space="preserve"> finansējuma apjomu atbilstoši </w:t>
      </w:r>
      <w:r w:rsidRPr="00AC5A89">
        <w:rPr>
          <w:sz w:val="24"/>
          <w:szCs w:val="24"/>
        </w:rPr>
        <w:t>vērtēšanas rezultātā projekta iesniegumam piešķirtajam punktu skaitam un ņemot vērā noteikto finanšu resursu apjoma procentuālo sadalījumu starp reģioniem.</w:t>
      </w:r>
      <w:r w:rsidR="00941809">
        <w:rPr>
          <w:sz w:val="24"/>
          <w:szCs w:val="24"/>
        </w:rPr>
        <w:t xml:space="preserve"> Jāatzīmē, ka koledžu īstenotajos projektos </w:t>
      </w:r>
      <w:r w:rsidR="00050766">
        <w:rPr>
          <w:sz w:val="24"/>
          <w:szCs w:val="24"/>
        </w:rPr>
        <w:t>lielākā</w:t>
      </w:r>
      <w:r w:rsidR="00941809">
        <w:rPr>
          <w:sz w:val="24"/>
          <w:szCs w:val="24"/>
        </w:rPr>
        <w:t xml:space="preserve"> projekta summa ir</w:t>
      </w:r>
      <w:r w:rsidR="00941809" w:rsidRPr="00941809">
        <w:t xml:space="preserve"> </w:t>
      </w:r>
      <w:r w:rsidR="00941809" w:rsidRPr="00941809">
        <w:rPr>
          <w:sz w:val="24"/>
          <w:szCs w:val="24"/>
        </w:rPr>
        <w:t>1</w:t>
      </w:r>
      <w:r w:rsidR="00941809">
        <w:rPr>
          <w:sz w:val="24"/>
          <w:szCs w:val="24"/>
        </w:rPr>
        <w:t xml:space="preserve"> </w:t>
      </w:r>
      <w:r w:rsidR="00941809" w:rsidRPr="00941809">
        <w:rPr>
          <w:sz w:val="24"/>
          <w:szCs w:val="24"/>
        </w:rPr>
        <w:t>004</w:t>
      </w:r>
      <w:r w:rsidR="00941809">
        <w:rPr>
          <w:sz w:val="24"/>
          <w:szCs w:val="24"/>
        </w:rPr>
        <w:t xml:space="preserve"> </w:t>
      </w:r>
      <w:r w:rsidR="00941809" w:rsidRPr="00941809">
        <w:rPr>
          <w:sz w:val="24"/>
          <w:szCs w:val="24"/>
        </w:rPr>
        <w:t>854,1</w:t>
      </w:r>
      <w:r w:rsidR="00941809">
        <w:rPr>
          <w:sz w:val="24"/>
          <w:szCs w:val="24"/>
        </w:rPr>
        <w:t xml:space="preserve"> </w:t>
      </w:r>
      <w:proofErr w:type="spellStart"/>
      <w:r w:rsidR="00941809" w:rsidRPr="00941809">
        <w:rPr>
          <w:i/>
          <w:sz w:val="24"/>
          <w:szCs w:val="24"/>
        </w:rPr>
        <w:t>euro</w:t>
      </w:r>
      <w:proofErr w:type="spellEnd"/>
      <w:r w:rsidR="00050766">
        <w:rPr>
          <w:sz w:val="24"/>
          <w:szCs w:val="24"/>
        </w:rPr>
        <w:t xml:space="preserve">, </w:t>
      </w:r>
      <w:r w:rsidR="00A02FDC">
        <w:rPr>
          <w:sz w:val="24"/>
          <w:szCs w:val="24"/>
        </w:rPr>
        <w:t xml:space="preserve">savukārt </w:t>
      </w:r>
      <w:r w:rsidR="00050766">
        <w:rPr>
          <w:sz w:val="24"/>
          <w:szCs w:val="24"/>
        </w:rPr>
        <w:t xml:space="preserve">vidējā </w:t>
      </w:r>
      <w:r w:rsidR="00A02FDC">
        <w:rPr>
          <w:sz w:val="24"/>
          <w:szCs w:val="24"/>
        </w:rPr>
        <w:t xml:space="preserve">11 īstenoto </w:t>
      </w:r>
      <w:r w:rsidR="00050766">
        <w:rPr>
          <w:sz w:val="24"/>
          <w:szCs w:val="24"/>
        </w:rPr>
        <w:t>projekt</w:t>
      </w:r>
      <w:r w:rsidR="00A02FDC">
        <w:rPr>
          <w:sz w:val="24"/>
          <w:szCs w:val="24"/>
        </w:rPr>
        <w:t>u</w:t>
      </w:r>
      <w:r w:rsidR="00050766">
        <w:rPr>
          <w:sz w:val="24"/>
          <w:szCs w:val="24"/>
        </w:rPr>
        <w:t xml:space="preserve"> summa – 46</w:t>
      </w:r>
      <w:r w:rsidR="00F920B5">
        <w:rPr>
          <w:sz w:val="24"/>
          <w:szCs w:val="24"/>
        </w:rPr>
        <w:t>1</w:t>
      </w:r>
      <w:r w:rsidR="00050766">
        <w:rPr>
          <w:sz w:val="24"/>
          <w:szCs w:val="24"/>
        </w:rPr>
        <w:t> </w:t>
      </w:r>
      <w:r w:rsidR="00F920B5">
        <w:rPr>
          <w:sz w:val="24"/>
          <w:szCs w:val="24"/>
        </w:rPr>
        <w:t xml:space="preserve">458 </w:t>
      </w:r>
      <w:proofErr w:type="spellStart"/>
      <w:r w:rsidR="00050766" w:rsidRPr="00941809">
        <w:rPr>
          <w:i/>
          <w:sz w:val="24"/>
          <w:szCs w:val="24"/>
        </w:rPr>
        <w:t>euro</w:t>
      </w:r>
      <w:proofErr w:type="spellEnd"/>
      <w:r w:rsidR="00050766">
        <w:rPr>
          <w:i/>
          <w:sz w:val="24"/>
          <w:szCs w:val="24"/>
        </w:rPr>
        <w:t>.</w:t>
      </w:r>
      <w:r w:rsidR="00E40BE8">
        <w:rPr>
          <w:rStyle w:val="FootnoteReference"/>
          <w:i/>
          <w:sz w:val="24"/>
          <w:szCs w:val="24"/>
        </w:rPr>
        <w:footnoteReference w:id="37"/>
      </w:r>
    </w:p>
    <w:p w:rsidR="00B83C53" w:rsidRPr="00127404" w:rsidRDefault="00B83C53" w:rsidP="00B83C53">
      <w:pPr>
        <w:ind w:firstLine="720"/>
      </w:pPr>
      <w:r w:rsidRPr="00D643EC">
        <w:t xml:space="preserve">Maksimāli pieļaujamais </w:t>
      </w:r>
      <w:r w:rsidRPr="00B83C53">
        <w:rPr>
          <w:b/>
        </w:rPr>
        <w:t>ERAF finansējuma apmērs</w:t>
      </w:r>
      <w:r w:rsidRPr="00D643EC">
        <w:t xml:space="preserve"> bija 85 % no kopējās projekta attiecināmo izmaksu summas.</w:t>
      </w:r>
      <w:r>
        <w:t xml:space="preserve"> </w:t>
      </w:r>
      <w:r w:rsidRPr="00EB3D70">
        <w:t xml:space="preserve">Savukārt </w:t>
      </w:r>
      <w:r w:rsidRPr="00EB3D70">
        <w:rPr>
          <w:szCs w:val="24"/>
          <w:lang w:eastAsia="lv-LV"/>
        </w:rPr>
        <w:t xml:space="preserve">projekta īstenošanai paredzētā nacionālā </w:t>
      </w:r>
      <w:r w:rsidRPr="00B83C53">
        <w:rPr>
          <w:b/>
          <w:szCs w:val="24"/>
          <w:lang w:eastAsia="lv-LV"/>
        </w:rPr>
        <w:t>līdzfinansējuma</w:t>
      </w:r>
      <w:r w:rsidRPr="00EB3D70">
        <w:rPr>
          <w:szCs w:val="24"/>
          <w:lang w:eastAsia="lv-LV"/>
        </w:rPr>
        <w:t xml:space="preserve"> nodrošināšanas kārtība un apmērs bija sekojošs:</w:t>
      </w:r>
    </w:p>
    <w:p w:rsidR="00B83C53" w:rsidRPr="00EB3D70" w:rsidRDefault="00B83C53" w:rsidP="00722156">
      <w:pPr>
        <w:numPr>
          <w:ilvl w:val="0"/>
          <w:numId w:val="8"/>
        </w:numPr>
        <w:ind w:left="714" w:hanging="357"/>
        <w:rPr>
          <w:szCs w:val="24"/>
          <w:lang w:eastAsia="lv-LV"/>
        </w:rPr>
      </w:pPr>
      <w:r w:rsidRPr="00EB3D70">
        <w:rPr>
          <w:szCs w:val="24"/>
          <w:lang w:eastAsia="lv-LV"/>
        </w:rPr>
        <w:t>valsts dibinātajām koledžām līdzfinansējums 15</w:t>
      </w:r>
      <w:r>
        <w:rPr>
          <w:szCs w:val="24"/>
          <w:lang w:eastAsia="lv-LV"/>
        </w:rPr>
        <w:t xml:space="preserve"> </w:t>
      </w:r>
      <w:r w:rsidRPr="00EB3D70">
        <w:rPr>
          <w:szCs w:val="24"/>
          <w:lang w:eastAsia="lv-LV"/>
        </w:rPr>
        <w:t>% apmērā no projekta attiecināmo izmaksu kopsummas, kuru nodrošina no valsts budžeta līdzekļiem;</w:t>
      </w:r>
    </w:p>
    <w:p w:rsidR="00B83C53" w:rsidRPr="00EB3D70" w:rsidRDefault="00B83C53" w:rsidP="00722156">
      <w:pPr>
        <w:numPr>
          <w:ilvl w:val="0"/>
          <w:numId w:val="8"/>
        </w:numPr>
        <w:ind w:left="714" w:hanging="357"/>
        <w:rPr>
          <w:szCs w:val="24"/>
          <w:lang w:eastAsia="lv-LV"/>
        </w:rPr>
      </w:pPr>
      <w:r w:rsidRPr="00EB3D70">
        <w:rPr>
          <w:szCs w:val="24"/>
          <w:lang w:eastAsia="lv-LV"/>
        </w:rPr>
        <w:t>valsts dibinātām aug</w:t>
      </w:r>
      <w:r>
        <w:rPr>
          <w:szCs w:val="24"/>
          <w:lang w:eastAsia="lv-LV"/>
        </w:rPr>
        <w:t xml:space="preserve">stskolām līdzfinansējumu 7,17 % </w:t>
      </w:r>
      <w:r w:rsidRPr="00EB3D70">
        <w:rPr>
          <w:szCs w:val="24"/>
          <w:lang w:eastAsia="lv-LV"/>
        </w:rPr>
        <w:t xml:space="preserve">apmērā no projekta attiecināmo izmaksu kopsummas nodrošina no Eiropas Savienības fondu projektu līdzfinansēšanai paredzētajiem valsts budžeta līdzekļiem. Pārējo līdzfinansējumu valsts dibinātām </w:t>
      </w:r>
      <w:r w:rsidRPr="00EB3D70">
        <w:rPr>
          <w:szCs w:val="24"/>
          <w:lang w:eastAsia="lv-LV"/>
        </w:rPr>
        <w:lastRenderedPageBreak/>
        <w:t>augstskolām 7,83</w:t>
      </w:r>
      <w:r>
        <w:rPr>
          <w:szCs w:val="24"/>
          <w:lang w:eastAsia="lv-LV"/>
        </w:rPr>
        <w:t xml:space="preserve"> </w:t>
      </w:r>
      <w:r w:rsidRPr="00EB3D70">
        <w:rPr>
          <w:szCs w:val="24"/>
          <w:lang w:eastAsia="lv-LV"/>
        </w:rPr>
        <w:t>% apmērā no projekta attiecināmo izmaksu kopsummas nodrošina valsts dibināta augstskola;</w:t>
      </w:r>
    </w:p>
    <w:p w:rsidR="00B83C53" w:rsidRPr="00EB3D70" w:rsidRDefault="00B83C53" w:rsidP="00722156">
      <w:pPr>
        <w:numPr>
          <w:ilvl w:val="0"/>
          <w:numId w:val="8"/>
        </w:numPr>
        <w:ind w:left="714" w:hanging="357"/>
        <w:rPr>
          <w:szCs w:val="24"/>
          <w:lang w:eastAsia="lv-LV"/>
        </w:rPr>
      </w:pPr>
      <w:r w:rsidRPr="00EB3D70">
        <w:rPr>
          <w:szCs w:val="24"/>
          <w:lang w:eastAsia="lv-LV"/>
        </w:rPr>
        <w:t>citu juridisko personu dibinātām augstākās izglītības iestādēm projekta īstenošanai līdzfinansējumu 15</w:t>
      </w:r>
      <w:r>
        <w:rPr>
          <w:szCs w:val="24"/>
          <w:lang w:eastAsia="lv-LV"/>
        </w:rPr>
        <w:t xml:space="preserve"> </w:t>
      </w:r>
      <w:r w:rsidRPr="00EB3D70">
        <w:rPr>
          <w:szCs w:val="24"/>
          <w:lang w:eastAsia="lv-LV"/>
        </w:rPr>
        <w:t>% apmērā no projekta attiecināmo izmaksu kopsummas nodrošina citu juridisko personu dibināta augstākās izglītības iestāde vai tās dibinātāji.</w:t>
      </w:r>
    </w:p>
    <w:p w:rsidR="00911960" w:rsidRDefault="00911960" w:rsidP="0005245B">
      <w:pPr>
        <w:pStyle w:val="tv2132"/>
        <w:spacing w:line="240" w:lineRule="auto"/>
        <w:ind w:firstLine="720"/>
        <w:jc w:val="both"/>
        <w:rPr>
          <w:color w:val="auto"/>
          <w:sz w:val="24"/>
          <w:szCs w:val="24"/>
        </w:rPr>
      </w:pPr>
    </w:p>
    <w:p w:rsidR="0005245B" w:rsidRPr="00D643EC" w:rsidRDefault="0005245B" w:rsidP="0005245B">
      <w:pPr>
        <w:pStyle w:val="tv2132"/>
        <w:spacing w:line="240" w:lineRule="auto"/>
        <w:ind w:firstLine="720"/>
        <w:jc w:val="both"/>
        <w:rPr>
          <w:color w:val="auto"/>
          <w:sz w:val="24"/>
          <w:szCs w:val="24"/>
        </w:rPr>
      </w:pPr>
      <w:r w:rsidRPr="00D643EC">
        <w:rPr>
          <w:color w:val="auto"/>
          <w:sz w:val="24"/>
          <w:szCs w:val="24"/>
        </w:rPr>
        <w:t>Atbalst</w:t>
      </w:r>
      <w:r w:rsidR="00220907">
        <w:rPr>
          <w:color w:val="auto"/>
          <w:sz w:val="24"/>
          <w:szCs w:val="24"/>
        </w:rPr>
        <w:t>u</w:t>
      </w:r>
      <w:r w:rsidRPr="00D643EC">
        <w:rPr>
          <w:color w:val="auto"/>
          <w:sz w:val="24"/>
          <w:szCs w:val="24"/>
        </w:rPr>
        <w:t xml:space="preserve"> </w:t>
      </w:r>
      <w:r w:rsidR="00220907">
        <w:rPr>
          <w:color w:val="auto"/>
          <w:sz w:val="24"/>
          <w:szCs w:val="24"/>
        </w:rPr>
        <w:t>varēja saņemt</w:t>
      </w:r>
      <w:r w:rsidRPr="00D643EC">
        <w:rPr>
          <w:color w:val="auto"/>
          <w:sz w:val="24"/>
          <w:szCs w:val="24"/>
        </w:rPr>
        <w:t xml:space="preserve"> </w:t>
      </w:r>
      <w:r>
        <w:rPr>
          <w:color w:val="auto"/>
          <w:sz w:val="24"/>
          <w:szCs w:val="24"/>
        </w:rPr>
        <w:t>tikai</w:t>
      </w:r>
      <w:r w:rsidRPr="00D643EC">
        <w:rPr>
          <w:color w:val="auto"/>
          <w:sz w:val="24"/>
          <w:szCs w:val="24"/>
        </w:rPr>
        <w:t xml:space="preserve"> </w:t>
      </w:r>
      <w:r w:rsidRPr="00D32B77">
        <w:rPr>
          <w:b/>
          <w:color w:val="auto"/>
          <w:sz w:val="24"/>
          <w:szCs w:val="24"/>
        </w:rPr>
        <w:t>prioritāro virzienu</w:t>
      </w:r>
      <w:r w:rsidRPr="00D643EC">
        <w:rPr>
          <w:color w:val="auto"/>
          <w:sz w:val="24"/>
          <w:szCs w:val="24"/>
        </w:rPr>
        <w:t xml:space="preserve"> pilna laika augstākās izglītības programmām</w:t>
      </w:r>
      <w:r w:rsidR="001D2B1F">
        <w:rPr>
          <w:rStyle w:val="FootnoteReference"/>
          <w:color w:val="auto"/>
          <w:sz w:val="24"/>
          <w:szCs w:val="24"/>
        </w:rPr>
        <w:footnoteReference w:id="38"/>
      </w:r>
      <w:r w:rsidR="00B351EC">
        <w:rPr>
          <w:color w:val="auto"/>
          <w:sz w:val="24"/>
          <w:szCs w:val="24"/>
        </w:rPr>
        <w:t xml:space="preserve">, </w:t>
      </w:r>
      <w:r w:rsidR="00B351EC" w:rsidRPr="00220907">
        <w:rPr>
          <w:color w:val="auto"/>
          <w:sz w:val="24"/>
          <w:szCs w:val="24"/>
        </w:rPr>
        <w:t>kuras jau tika īstenotas vai kuras tika plānots uzsākt īstenot</w:t>
      </w:r>
      <w:r w:rsidRPr="00220907">
        <w:rPr>
          <w:color w:val="auto"/>
          <w:sz w:val="24"/>
          <w:szCs w:val="24"/>
        </w:rPr>
        <w:t>:</w:t>
      </w:r>
    </w:p>
    <w:p w:rsidR="0005245B" w:rsidRPr="00D643EC" w:rsidRDefault="0005245B" w:rsidP="00722156">
      <w:pPr>
        <w:pStyle w:val="tv2132"/>
        <w:numPr>
          <w:ilvl w:val="0"/>
          <w:numId w:val="4"/>
        </w:numPr>
        <w:spacing w:line="240" w:lineRule="auto"/>
        <w:ind w:left="714" w:hanging="357"/>
        <w:jc w:val="both"/>
        <w:rPr>
          <w:color w:val="auto"/>
          <w:sz w:val="24"/>
          <w:szCs w:val="24"/>
        </w:rPr>
      </w:pPr>
      <w:r w:rsidRPr="00D643EC">
        <w:rPr>
          <w:color w:val="auto"/>
          <w:sz w:val="24"/>
          <w:szCs w:val="24"/>
        </w:rPr>
        <w:t>augstākās izglītības tematiskajā grupā: dabaszinātnes, matemātika un informācijas tehnoloģijas vai inženierzinātnes, ražošana un būvniecība;</w:t>
      </w:r>
    </w:p>
    <w:p w:rsidR="0005245B" w:rsidRPr="00D643EC" w:rsidRDefault="0005245B" w:rsidP="00722156">
      <w:pPr>
        <w:pStyle w:val="tv2132"/>
        <w:numPr>
          <w:ilvl w:val="0"/>
          <w:numId w:val="4"/>
        </w:numPr>
        <w:spacing w:line="240" w:lineRule="auto"/>
        <w:ind w:left="714" w:hanging="357"/>
        <w:jc w:val="both"/>
        <w:rPr>
          <w:color w:val="auto"/>
          <w:sz w:val="24"/>
          <w:szCs w:val="24"/>
        </w:rPr>
      </w:pPr>
      <w:r w:rsidRPr="00D643EC">
        <w:rPr>
          <w:color w:val="auto"/>
          <w:sz w:val="24"/>
          <w:szCs w:val="24"/>
        </w:rPr>
        <w:t>augstākās izglītības tematiskajā jomā: veselības aprūpe (izņemot kosmetoloģijas izglītības programmu kopu), vides aizsardzība vai māksla (radošās industrijas) (izņemot dizaina izglītības programmu kopu);</w:t>
      </w:r>
    </w:p>
    <w:p w:rsidR="0005245B" w:rsidRDefault="0005245B" w:rsidP="00722156">
      <w:pPr>
        <w:pStyle w:val="tv2132"/>
        <w:numPr>
          <w:ilvl w:val="0"/>
          <w:numId w:val="4"/>
        </w:numPr>
        <w:spacing w:line="240" w:lineRule="auto"/>
        <w:ind w:left="714" w:hanging="357"/>
        <w:jc w:val="both"/>
        <w:rPr>
          <w:color w:val="auto"/>
          <w:sz w:val="24"/>
          <w:szCs w:val="24"/>
        </w:rPr>
      </w:pPr>
      <w:r w:rsidRPr="00D643EC">
        <w:rPr>
          <w:color w:val="auto"/>
          <w:sz w:val="24"/>
          <w:szCs w:val="24"/>
        </w:rPr>
        <w:t>augstākās izglītības programmu grupā:</w:t>
      </w:r>
    </w:p>
    <w:p w:rsidR="0005245B" w:rsidRDefault="0005245B" w:rsidP="00722156">
      <w:pPr>
        <w:pStyle w:val="tv2132"/>
        <w:numPr>
          <w:ilvl w:val="1"/>
          <w:numId w:val="4"/>
        </w:numPr>
        <w:spacing w:line="240" w:lineRule="auto"/>
        <w:ind w:left="1418" w:hanging="567"/>
        <w:jc w:val="both"/>
        <w:rPr>
          <w:color w:val="auto"/>
          <w:sz w:val="24"/>
          <w:szCs w:val="24"/>
        </w:rPr>
      </w:pPr>
      <w:r w:rsidRPr="0005245B">
        <w:rPr>
          <w:color w:val="auto"/>
          <w:sz w:val="24"/>
          <w:szCs w:val="24"/>
        </w:rPr>
        <w:t xml:space="preserve">pedagogu izglītība, ja attiecīgajā grupā īsteno augstākās izglītības programmu kopu, kas ir saistīta ar prioritārajām izglītības tematiskajām grupām vai jomām, tai skaitā dabaszinātņu skolotājs, matemātikas skolotājs, informātikas skolotājs, speciālās izglītības skolotājs, </w:t>
      </w:r>
      <w:proofErr w:type="spellStart"/>
      <w:r w:rsidRPr="0005245B">
        <w:rPr>
          <w:color w:val="auto"/>
          <w:sz w:val="24"/>
          <w:szCs w:val="24"/>
        </w:rPr>
        <w:t>surdopedagogs</w:t>
      </w:r>
      <w:proofErr w:type="spellEnd"/>
      <w:r w:rsidRPr="0005245B">
        <w:rPr>
          <w:color w:val="auto"/>
          <w:sz w:val="24"/>
          <w:szCs w:val="24"/>
        </w:rPr>
        <w:t xml:space="preserve"> (</w:t>
      </w:r>
      <w:proofErr w:type="spellStart"/>
      <w:r w:rsidRPr="0005245B">
        <w:rPr>
          <w:color w:val="auto"/>
          <w:sz w:val="24"/>
          <w:szCs w:val="24"/>
        </w:rPr>
        <w:t>surdotulks</w:t>
      </w:r>
      <w:proofErr w:type="spellEnd"/>
      <w:r w:rsidRPr="0005245B">
        <w:rPr>
          <w:color w:val="auto"/>
          <w:sz w:val="24"/>
          <w:szCs w:val="24"/>
        </w:rPr>
        <w:t>);</w:t>
      </w:r>
    </w:p>
    <w:p w:rsidR="0005245B" w:rsidRDefault="0005245B" w:rsidP="00722156">
      <w:pPr>
        <w:pStyle w:val="tv2132"/>
        <w:numPr>
          <w:ilvl w:val="1"/>
          <w:numId w:val="4"/>
        </w:numPr>
        <w:spacing w:line="240" w:lineRule="auto"/>
        <w:ind w:left="1418" w:hanging="567"/>
        <w:jc w:val="both"/>
        <w:rPr>
          <w:color w:val="auto"/>
          <w:sz w:val="24"/>
          <w:szCs w:val="24"/>
        </w:rPr>
      </w:pPr>
      <w:r w:rsidRPr="0005245B">
        <w:rPr>
          <w:color w:val="auto"/>
          <w:sz w:val="24"/>
          <w:szCs w:val="24"/>
        </w:rPr>
        <w:t>lauksaimniecība, mežsaimniecība, zivsaimniecība vai veterinārija;</w:t>
      </w:r>
    </w:p>
    <w:p w:rsidR="0005245B" w:rsidRPr="0005245B" w:rsidRDefault="0005245B" w:rsidP="00722156">
      <w:pPr>
        <w:pStyle w:val="tv2132"/>
        <w:numPr>
          <w:ilvl w:val="1"/>
          <w:numId w:val="4"/>
        </w:numPr>
        <w:spacing w:line="240" w:lineRule="auto"/>
        <w:ind w:left="1418" w:hanging="567"/>
        <w:jc w:val="both"/>
        <w:rPr>
          <w:color w:val="auto"/>
          <w:sz w:val="24"/>
          <w:szCs w:val="24"/>
        </w:rPr>
      </w:pPr>
      <w:r w:rsidRPr="0005245B">
        <w:rPr>
          <w:color w:val="auto"/>
          <w:sz w:val="24"/>
          <w:szCs w:val="24"/>
        </w:rPr>
        <w:t>sociālie pakalpojumi, ja attiecīgajā grupā no 2007.gada 1.oktobra studē personas ar funkcionāliem traucējumiem;</w:t>
      </w:r>
    </w:p>
    <w:p w:rsidR="0005245B" w:rsidRDefault="0005245B" w:rsidP="0024209B">
      <w:pPr>
        <w:ind w:left="714" w:hanging="357"/>
        <w:rPr>
          <w:szCs w:val="24"/>
        </w:rPr>
      </w:pPr>
      <w:r w:rsidRPr="00D643EC">
        <w:rPr>
          <w:szCs w:val="24"/>
        </w:rPr>
        <w:t>4. pirmā līmeņa profesionālās augstākās izglītības programmās, ja attiecīgajā programmā no 2007.gad</w:t>
      </w:r>
      <w:r w:rsidR="00CE229B">
        <w:rPr>
          <w:szCs w:val="24"/>
        </w:rPr>
        <w:t>a</w:t>
      </w:r>
      <w:r w:rsidRPr="00D643EC">
        <w:rPr>
          <w:szCs w:val="24"/>
        </w:rPr>
        <w:t xml:space="preserve"> 1.oktobra studē personas ar funkcionāliem traucējumiem.</w:t>
      </w:r>
    </w:p>
    <w:p w:rsidR="0005245B" w:rsidRDefault="0005245B" w:rsidP="00127404">
      <w:pPr>
        <w:ind w:firstLine="720"/>
        <w:rPr>
          <w:szCs w:val="24"/>
        </w:rPr>
      </w:pPr>
    </w:p>
    <w:p w:rsidR="00320C44" w:rsidRPr="00D643EC" w:rsidRDefault="0005245B" w:rsidP="00127404">
      <w:pPr>
        <w:ind w:firstLine="720"/>
        <w:rPr>
          <w:szCs w:val="24"/>
        </w:rPr>
      </w:pPr>
      <w:r w:rsidRPr="00D643EC">
        <w:rPr>
          <w:bCs/>
          <w:szCs w:val="24"/>
          <w:lang w:eastAsia="lv-LV"/>
        </w:rPr>
        <w:t>3.1.2.1.1.</w:t>
      </w:r>
      <w:r w:rsidRPr="00D643EC">
        <w:rPr>
          <w:szCs w:val="24"/>
        </w:rPr>
        <w:t>apakšaktivitāte</w:t>
      </w:r>
      <w:r>
        <w:rPr>
          <w:szCs w:val="24"/>
        </w:rPr>
        <w:t>s</w:t>
      </w:r>
      <w:r w:rsidRPr="00D643EC">
        <w:rPr>
          <w:szCs w:val="24"/>
        </w:rPr>
        <w:t xml:space="preserve"> </w:t>
      </w:r>
      <w:r w:rsidR="00320C44" w:rsidRPr="00D643EC">
        <w:t xml:space="preserve">ietvaros tika </w:t>
      </w:r>
      <w:r w:rsidR="001D2B1F">
        <w:t xml:space="preserve">noteiktas </w:t>
      </w:r>
      <w:r w:rsidR="00320C44" w:rsidRPr="00D643EC">
        <w:t xml:space="preserve">šādas </w:t>
      </w:r>
      <w:r w:rsidR="001D2B1F" w:rsidRPr="001D2B1F">
        <w:rPr>
          <w:b/>
        </w:rPr>
        <w:t xml:space="preserve">atbalstāmās </w:t>
      </w:r>
      <w:r w:rsidR="00320C44" w:rsidRPr="001D2B1F">
        <w:rPr>
          <w:b/>
        </w:rPr>
        <w:t>darbības</w:t>
      </w:r>
      <w:r w:rsidR="00320C44" w:rsidRPr="00D643EC">
        <w:t xml:space="preserve">: </w:t>
      </w:r>
    </w:p>
    <w:p w:rsidR="00B524B2" w:rsidRPr="00D643EC" w:rsidRDefault="00B524B2" w:rsidP="00722156">
      <w:pPr>
        <w:pStyle w:val="tv213"/>
        <w:numPr>
          <w:ilvl w:val="0"/>
          <w:numId w:val="6"/>
        </w:numPr>
        <w:spacing w:before="0" w:beforeAutospacing="0" w:after="0" w:afterAutospacing="0"/>
        <w:ind w:left="714" w:hanging="357"/>
        <w:jc w:val="both"/>
        <w:rPr>
          <w:lang w:eastAsia="en-US"/>
        </w:rPr>
      </w:pPr>
      <w:r w:rsidRPr="00D643EC">
        <w:t>augstākās izglītības institūciju ēku, būvju, telpu un infrastruktūras rekonstrukcija un renovācija, ja nepieciešams, jaunu būvju būvniecība, iekārtu, aprīkojuma un tehnoloģiju nodrošināšana, lai modernizētu vai uzsāktu īstenot studiju programmas kādā no prioritārajiem virzieniem;</w:t>
      </w:r>
    </w:p>
    <w:p w:rsidR="00B524B2" w:rsidRPr="00D643EC" w:rsidRDefault="00B524B2" w:rsidP="00722156">
      <w:pPr>
        <w:pStyle w:val="tv213"/>
        <w:numPr>
          <w:ilvl w:val="0"/>
          <w:numId w:val="6"/>
        </w:numPr>
        <w:spacing w:before="0" w:beforeAutospacing="0" w:after="0" w:afterAutospacing="0"/>
        <w:ind w:left="714" w:hanging="357"/>
        <w:jc w:val="both"/>
        <w:rPr>
          <w:lang w:eastAsia="en-US"/>
        </w:rPr>
      </w:pPr>
      <w:r w:rsidRPr="00D643EC">
        <w:t>augstākās izglītības institūciju bibliotēku modernizēšana, ja augstākās izglītības institūcija modernizē vai uzsāk īstenot studiju programmas kādā no prioritārajiem virzieniem;</w:t>
      </w:r>
    </w:p>
    <w:p w:rsidR="00BC5E09" w:rsidRPr="00D643EC" w:rsidRDefault="00B524B2" w:rsidP="00722156">
      <w:pPr>
        <w:pStyle w:val="tv213"/>
        <w:numPr>
          <w:ilvl w:val="0"/>
          <w:numId w:val="6"/>
        </w:numPr>
        <w:spacing w:before="0" w:beforeAutospacing="0" w:after="0" w:afterAutospacing="0"/>
        <w:ind w:left="714" w:hanging="357"/>
        <w:jc w:val="both"/>
        <w:rPr>
          <w:lang w:eastAsia="en-US"/>
        </w:rPr>
      </w:pPr>
      <w:r w:rsidRPr="00D643EC">
        <w:t>augstākās izglītības institūcijas pielāgošana personām ar funkcionāliem traucējumiem, ja augstākās izglītības institūcija modernizē vai uzsāk īstenot studiju programmas kādā no prioritārajiem virzieniem.</w:t>
      </w:r>
    </w:p>
    <w:p w:rsidR="008C0EB3" w:rsidRDefault="008C0EB3" w:rsidP="00127404">
      <w:pPr>
        <w:pStyle w:val="tv2132"/>
        <w:spacing w:line="240" w:lineRule="auto"/>
        <w:ind w:firstLine="720"/>
        <w:jc w:val="both"/>
      </w:pPr>
    </w:p>
    <w:p w:rsidR="003D2C5E" w:rsidRDefault="004C62D6" w:rsidP="00DD6A3D">
      <w:pPr>
        <w:pStyle w:val="tv2132"/>
        <w:spacing w:line="240" w:lineRule="auto"/>
        <w:ind w:firstLine="720"/>
        <w:jc w:val="both"/>
        <w:rPr>
          <w:color w:val="auto"/>
          <w:sz w:val="24"/>
          <w:szCs w:val="24"/>
        </w:rPr>
      </w:pPr>
      <w:r w:rsidRPr="00911960">
        <w:rPr>
          <w:color w:val="auto"/>
          <w:sz w:val="24"/>
          <w:szCs w:val="24"/>
        </w:rPr>
        <w:t xml:space="preserve">Attiecībā uz investīciju veikšanu </w:t>
      </w:r>
      <w:r w:rsidRPr="00911960">
        <w:rPr>
          <w:b/>
          <w:color w:val="auto"/>
          <w:sz w:val="24"/>
          <w:szCs w:val="24"/>
        </w:rPr>
        <w:t>reģionālā aspektā</w:t>
      </w:r>
      <w:r w:rsidRPr="00911960">
        <w:rPr>
          <w:color w:val="auto"/>
          <w:sz w:val="24"/>
          <w:szCs w:val="24"/>
        </w:rPr>
        <w:t xml:space="preserve">, jāatzīmē, ka </w:t>
      </w:r>
      <w:r w:rsidR="008C0EB3" w:rsidRPr="00911960">
        <w:rPr>
          <w:color w:val="auto"/>
          <w:sz w:val="24"/>
          <w:szCs w:val="24"/>
        </w:rPr>
        <w:t>atbalsts tik</w:t>
      </w:r>
      <w:r w:rsidRPr="00911960">
        <w:rPr>
          <w:color w:val="auto"/>
          <w:sz w:val="24"/>
          <w:szCs w:val="24"/>
        </w:rPr>
        <w:t>a</w:t>
      </w:r>
      <w:r w:rsidR="008C0EB3" w:rsidRPr="00911960">
        <w:rPr>
          <w:color w:val="auto"/>
          <w:sz w:val="24"/>
          <w:szCs w:val="24"/>
        </w:rPr>
        <w:t xml:space="preserve"> sniegts konkurētspējīgām augstākās izglītības iestādēm (universitātēm, augstskolām, koledžām) visos plānošanas reģionos, kā arī, nosakot reģionam pieejamo finansējuma kvotu, ievērojot studējošo skaitu prioritārajās studiju jomās, teritoriju attīstības indeksu un modernizējamo vai jaunu studiju programmu atbilstību reģiona ekonomiskās attīstības tendencēm.</w:t>
      </w:r>
      <w:r w:rsidRPr="00911960">
        <w:rPr>
          <w:color w:val="auto"/>
          <w:sz w:val="24"/>
          <w:szCs w:val="24"/>
        </w:rPr>
        <w:t xml:space="preserve"> </w:t>
      </w:r>
      <w:r w:rsidR="008C0EB3" w:rsidRPr="00911960">
        <w:rPr>
          <w:color w:val="auto"/>
          <w:sz w:val="24"/>
          <w:szCs w:val="24"/>
        </w:rPr>
        <w:t>Finansējuma reģionālais sadalījums (kvota) tika noteikta, ņemot vērā šādus faktorus – studējošo skaitu</w:t>
      </w:r>
      <w:r w:rsidR="008C0EB3" w:rsidRPr="00911960">
        <w:rPr>
          <w:color w:val="auto"/>
          <w:sz w:val="24"/>
          <w:szCs w:val="24"/>
          <w:vertAlign w:val="superscript"/>
        </w:rPr>
        <w:footnoteReference w:id="39"/>
      </w:r>
      <w:r w:rsidR="008C0EB3" w:rsidRPr="00911960">
        <w:rPr>
          <w:color w:val="auto"/>
          <w:sz w:val="24"/>
          <w:szCs w:val="24"/>
        </w:rPr>
        <w:t>, augstākās izglītības iestāžu absolventu skaitu</w:t>
      </w:r>
      <w:r w:rsidR="008C0EB3" w:rsidRPr="00911960">
        <w:rPr>
          <w:color w:val="auto"/>
          <w:sz w:val="24"/>
          <w:szCs w:val="24"/>
          <w:vertAlign w:val="superscript"/>
        </w:rPr>
        <w:footnoteReference w:id="40"/>
      </w:r>
      <w:r w:rsidR="008C0EB3" w:rsidRPr="00911960">
        <w:rPr>
          <w:color w:val="auto"/>
          <w:sz w:val="24"/>
          <w:szCs w:val="24"/>
        </w:rPr>
        <w:t>, akadēmiskā personāla skaitu</w:t>
      </w:r>
      <w:r w:rsidR="008C0EB3" w:rsidRPr="00911960">
        <w:rPr>
          <w:color w:val="auto"/>
          <w:sz w:val="24"/>
          <w:szCs w:val="24"/>
          <w:vertAlign w:val="superscript"/>
        </w:rPr>
        <w:footnoteReference w:id="41"/>
      </w:r>
      <w:r w:rsidR="008C0EB3" w:rsidRPr="00911960">
        <w:rPr>
          <w:color w:val="auto"/>
          <w:sz w:val="24"/>
          <w:szCs w:val="24"/>
        </w:rPr>
        <w:t xml:space="preserve">, reģionālās </w:t>
      </w:r>
      <w:r w:rsidR="008C0EB3" w:rsidRPr="00911960">
        <w:rPr>
          <w:color w:val="auto"/>
          <w:sz w:val="24"/>
          <w:szCs w:val="24"/>
        </w:rPr>
        <w:lastRenderedPageBreak/>
        <w:t>attīstības indeksu, kā arī augstskolas stratēģiskās attīstības indeksu teritoriālās attīstības veicināšanai.</w:t>
      </w:r>
      <w:r w:rsidR="003D2C5E" w:rsidRPr="00911960">
        <w:rPr>
          <w:color w:val="auto"/>
          <w:sz w:val="24"/>
          <w:szCs w:val="24"/>
        </w:rPr>
        <w:t xml:space="preserve"> 2.1.tabulā atspoguļots finansējuma procentuālais sadalījums pa reģioniem, ņemot vērā atbalstāmo augstākās izglītības institūciju skaitu 3.1.2.1.1.apakšaktivitātes ietvaros</w:t>
      </w:r>
      <w:r w:rsidR="003D2C5E" w:rsidRPr="00911960">
        <w:rPr>
          <w:rStyle w:val="FootnoteReference"/>
          <w:color w:val="auto"/>
          <w:sz w:val="24"/>
          <w:szCs w:val="24"/>
        </w:rPr>
        <w:footnoteReference w:id="42"/>
      </w:r>
      <w:r w:rsidR="003D2C5E" w:rsidRPr="00911960">
        <w:rPr>
          <w:color w:val="auto"/>
          <w:sz w:val="24"/>
          <w:szCs w:val="24"/>
        </w:rPr>
        <w:t>.</w:t>
      </w:r>
    </w:p>
    <w:p w:rsidR="005672EE" w:rsidRDefault="005672EE" w:rsidP="00EB15F2">
      <w:pPr>
        <w:pStyle w:val="EE-normls"/>
        <w:jc w:val="right"/>
        <w:rPr>
          <w:rFonts w:ascii="Times New Roman" w:hAnsi="Times New Roman"/>
          <w:b w:val="0"/>
          <w:bCs w:val="0"/>
          <w:noProof w:val="0"/>
        </w:rPr>
      </w:pPr>
    </w:p>
    <w:p w:rsidR="00EB15F2" w:rsidRPr="00911960" w:rsidRDefault="00EB15F2" w:rsidP="00EB15F2">
      <w:pPr>
        <w:pStyle w:val="EE-normls"/>
        <w:jc w:val="right"/>
        <w:rPr>
          <w:rFonts w:ascii="Times New Roman" w:hAnsi="Times New Roman"/>
          <w:b w:val="0"/>
          <w:bCs w:val="0"/>
          <w:noProof w:val="0"/>
        </w:rPr>
      </w:pPr>
      <w:r w:rsidRPr="00911960">
        <w:rPr>
          <w:rFonts w:ascii="Times New Roman" w:hAnsi="Times New Roman"/>
          <w:b w:val="0"/>
          <w:bCs w:val="0"/>
          <w:noProof w:val="0"/>
        </w:rPr>
        <w:t>2.</w:t>
      </w:r>
      <w:r>
        <w:rPr>
          <w:rFonts w:ascii="Times New Roman" w:hAnsi="Times New Roman"/>
          <w:b w:val="0"/>
          <w:bCs w:val="0"/>
          <w:noProof w:val="0"/>
        </w:rPr>
        <w:t>1</w:t>
      </w:r>
      <w:r w:rsidRPr="00911960">
        <w:rPr>
          <w:rFonts w:ascii="Times New Roman" w:hAnsi="Times New Roman"/>
          <w:b w:val="0"/>
          <w:bCs w:val="0"/>
          <w:noProof w:val="0"/>
        </w:rPr>
        <w:t>.tabula</w:t>
      </w:r>
    </w:p>
    <w:p w:rsidR="00EB15F2" w:rsidRPr="00EB15F2" w:rsidRDefault="00EB15F2" w:rsidP="00EB15F2">
      <w:pPr>
        <w:pStyle w:val="tv2132"/>
        <w:spacing w:line="240" w:lineRule="auto"/>
        <w:ind w:firstLine="720"/>
        <w:jc w:val="center"/>
        <w:rPr>
          <w:b/>
          <w:color w:val="auto"/>
          <w:sz w:val="24"/>
          <w:szCs w:val="24"/>
        </w:rPr>
      </w:pPr>
      <w:r w:rsidRPr="00EB15F2">
        <w:rPr>
          <w:b/>
          <w:color w:val="auto"/>
          <w:sz w:val="24"/>
          <w:szCs w:val="24"/>
        </w:rPr>
        <w:t>Finanšu resursu apjoma procentuālais sadalījums reģionos 3.1.2.1.1.apakšaktivitātes ietvaros</w:t>
      </w:r>
    </w:p>
    <w:tbl>
      <w:tblPr>
        <w:tblpPr w:leftFromText="180" w:rightFromText="180" w:vertAnchor="text" w:horzAnchor="page" w:tblpX="2835" w:tblpY="634"/>
        <w:tblW w:w="6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283"/>
        <w:gridCol w:w="3231"/>
      </w:tblGrid>
      <w:tr w:rsidR="003D2C5E" w:rsidRPr="00911960" w:rsidTr="00EB15F2">
        <w:trPr>
          <w:trHeight w:val="675"/>
        </w:trPr>
        <w:tc>
          <w:tcPr>
            <w:tcW w:w="2088" w:type="dxa"/>
            <w:vAlign w:val="center"/>
          </w:tcPr>
          <w:p w:rsidR="003D2C5E" w:rsidRPr="00911960" w:rsidRDefault="003D2C5E" w:rsidP="00EB15F2">
            <w:pPr>
              <w:spacing w:before="20" w:after="20"/>
              <w:jc w:val="center"/>
              <w:rPr>
                <w:b/>
                <w:szCs w:val="24"/>
              </w:rPr>
            </w:pPr>
            <w:r w:rsidRPr="00911960">
              <w:rPr>
                <w:szCs w:val="24"/>
              </w:rPr>
              <w:br w:type="page"/>
            </w:r>
            <w:r w:rsidRPr="00911960">
              <w:rPr>
                <w:b/>
                <w:szCs w:val="24"/>
              </w:rPr>
              <w:t>Reģions</w:t>
            </w:r>
          </w:p>
        </w:tc>
        <w:tc>
          <w:tcPr>
            <w:tcW w:w="1283" w:type="dxa"/>
            <w:vAlign w:val="center"/>
          </w:tcPr>
          <w:p w:rsidR="003D2C5E" w:rsidRPr="00911960" w:rsidRDefault="003D2C5E" w:rsidP="00EB15F2">
            <w:pPr>
              <w:spacing w:before="20" w:after="20"/>
              <w:jc w:val="center"/>
              <w:rPr>
                <w:b/>
                <w:szCs w:val="24"/>
              </w:rPr>
            </w:pPr>
            <w:r w:rsidRPr="00911960">
              <w:rPr>
                <w:b/>
                <w:szCs w:val="24"/>
              </w:rPr>
              <w:t>Institūciju</w:t>
            </w:r>
          </w:p>
          <w:p w:rsidR="003D2C5E" w:rsidRPr="00911960" w:rsidRDefault="003D2C5E" w:rsidP="00EB15F2">
            <w:pPr>
              <w:spacing w:before="20" w:after="20"/>
              <w:jc w:val="center"/>
              <w:rPr>
                <w:b/>
                <w:szCs w:val="24"/>
              </w:rPr>
            </w:pPr>
            <w:r w:rsidRPr="00911960">
              <w:rPr>
                <w:b/>
                <w:szCs w:val="24"/>
              </w:rPr>
              <w:t>skaits</w:t>
            </w:r>
          </w:p>
        </w:tc>
        <w:tc>
          <w:tcPr>
            <w:tcW w:w="3231" w:type="dxa"/>
            <w:vAlign w:val="center"/>
          </w:tcPr>
          <w:p w:rsidR="003D2C5E" w:rsidRPr="00911960" w:rsidRDefault="003D2C5E" w:rsidP="00EB15F2">
            <w:pPr>
              <w:spacing w:before="20" w:after="20"/>
              <w:jc w:val="center"/>
              <w:rPr>
                <w:b/>
                <w:szCs w:val="24"/>
              </w:rPr>
            </w:pPr>
            <w:r w:rsidRPr="00911960">
              <w:rPr>
                <w:b/>
                <w:szCs w:val="24"/>
              </w:rPr>
              <w:t>Finanšu resursu apjoma procentuālais sadalījums reģionos</w:t>
            </w:r>
          </w:p>
        </w:tc>
      </w:tr>
      <w:tr w:rsidR="003D2C5E" w:rsidRPr="00911960" w:rsidTr="00EB15F2">
        <w:trPr>
          <w:trHeight w:val="315"/>
        </w:trPr>
        <w:tc>
          <w:tcPr>
            <w:tcW w:w="2088" w:type="dxa"/>
            <w:noWrap/>
            <w:vAlign w:val="center"/>
          </w:tcPr>
          <w:p w:rsidR="003D2C5E" w:rsidRPr="00911960" w:rsidRDefault="003D2C5E" w:rsidP="00EB15F2">
            <w:pPr>
              <w:spacing w:before="20" w:after="20"/>
              <w:rPr>
                <w:bCs/>
                <w:szCs w:val="24"/>
              </w:rPr>
            </w:pPr>
            <w:r w:rsidRPr="00911960">
              <w:rPr>
                <w:bCs/>
                <w:szCs w:val="24"/>
              </w:rPr>
              <w:t>Rīga</w:t>
            </w:r>
          </w:p>
        </w:tc>
        <w:tc>
          <w:tcPr>
            <w:tcW w:w="1283" w:type="dxa"/>
            <w:noWrap/>
            <w:vAlign w:val="center"/>
          </w:tcPr>
          <w:p w:rsidR="003D2C5E" w:rsidRPr="00911960" w:rsidRDefault="003D2C5E" w:rsidP="00EB15F2">
            <w:pPr>
              <w:spacing w:before="20" w:after="20"/>
              <w:jc w:val="center"/>
              <w:rPr>
                <w:szCs w:val="24"/>
              </w:rPr>
            </w:pPr>
            <w:r w:rsidRPr="00911960">
              <w:rPr>
                <w:szCs w:val="24"/>
              </w:rPr>
              <w:t>20</w:t>
            </w:r>
          </w:p>
        </w:tc>
        <w:tc>
          <w:tcPr>
            <w:tcW w:w="3231" w:type="dxa"/>
            <w:vAlign w:val="center"/>
          </w:tcPr>
          <w:p w:rsidR="003D2C5E" w:rsidRPr="00911960" w:rsidRDefault="003D2C5E" w:rsidP="00EB15F2">
            <w:pPr>
              <w:spacing w:before="20" w:after="20"/>
              <w:jc w:val="center"/>
              <w:rPr>
                <w:szCs w:val="24"/>
              </w:rPr>
            </w:pPr>
            <w:r w:rsidRPr="00911960">
              <w:rPr>
                <w:szCs w:val="24"/>
              </w:rPr>
              <w:t xml:space="preserve">56 % </w:t>
            </w:r>
          </w:p>
        </w:tc>
      </w:tr>
      <w:tr w:rsidR="003D2C5E" w:rsidRPr="00911960" w:rsidTr="00EB15F2">
        <w:trPr>
          <w:trHeight w:val="315"/>
        </w:trPr>
        <w:tc>
          <w:tcPr>
            <w:tcW w:w="2088" w:type="dxa"/>
            <w:noWrap/>
            <w:vAlign w:val="center"/>
          </w:tcPr>
          <w:p w:rsidR="003D2C5E" w:rsidRPr="00911960" w:rsidRDefault="003D2C5E" w:rsidP="00EB15F2">
            <w:pPr>
              <w:spacing w:before="20" w:after="20"/>
              <w:rPr>
                <w:bCs/>
                <w:szCs w:val="24"/>
              </w:rPr>
            </w:pPr>
            <w:r w:rsidRPr="00911960">
              <w:rPr>
                <w:bCs/>
                <w:szCs w:val="24"/>
              </w:rPr>
              <w:t>Reģioni (Kurzeme, Latgale, Vidzeme, Zemgale)</w:t>
            </w:r>
          </w:p>
        </w:tc>
        <w:tc>
          <w:tcPr>
            <w:tcW w:w="1283" w:type="dxa"/>
            <w:noWrap/>
            <w:vAlign w:val="center"/>
          </w:tcPr>
          <w:p w:rsidR="003D2C5E" w:rsidRPr="00911960" w:rsidRDefault="003D2C5E" w:rsidP="00EB15F2">
            <w:pPr>
              <w:spacing w:before="20" w:after="20"/>
              <w:jc w:val="center"/>
              <w:rPr>
                <w:bCs/>
                <w:szCs w:val="24"/>
              </w:rPr>
            </w:pPr>
            <w:r w:rsidRPr="00911960">
              <w:rPr>
                <w:bCs/>
                <w:szCs w:val="24"/>
              </w:rPr>
              <w:t>11</w:t>
            </w:r>
          </w:p>
        </w:tc>
        <w:tc>
          <w:tcPr>
            <w:tcW w:w="3231" w:type="dxa"/>
            <w:vAlign w:val="center"/>
          </w:tcPr>
          <w:p w:rsidR="003D2C5E" w:rsidRPr="00911960" w:rsidRDefault="003D2C5E" w:rsidP="00EB15F2">
            <w:pPr>
              <w:spacing w:before="20" w:after="20"/>
              <w:jc w:val="center"/>
              <w:rPr>
                <w:szCs w:val="24"/>
              </w:rPr>
            </w:pPr>
            <w:r w:rsidRPr="00911960">
              <w:rPr>
                <w:szCs w:val="24"/>
              </w:rPr>
              <w:t>44 %</w:t>
            </w:r>
          </w:p>
        </w:tc>
      </w:tr>
      <w:tr w:rsidR="003D2C5E" w:rsidRPr="00911960" w:rsidTr="00EB15F2">
        <w:trPr>
          <w:trHeight w:val="327"/>
        </w:trPr>
        <w:tc>
          <w:tcPr>
            <w:tcW w:w="2088" w:type="dxa"/>
            <w:noWrap/>
            <w:vAlign w:val="center"/>
          </w:tcPr>
          <w:p w:rsidR="003D2C5E" w:rsidRPr="00911960" w:rsidRDefault="003D2C5E" w:rsidP="00EB15F2">
            <w:pPr>
              <w:spacing w:before="20" w:after="20"/>
              <w:rPr>
                <w:bCs/>
                <w:szCs w:val="24"/>
              </w:rPr>
            </w:pPr>
            <w:r w:rsidRPr="00911960">
              <w:rPr>
                <w:bCs/>
                <w:szCs w:val="24"/>
              </w:rPr>
              <w:t>Kopā</w:t>
            </w:r>
          </w:p>
        </w:tc>
        <w:tc>
          <w:tcPr>
            <w:tcW w:w="1283" w:type="dxa"/>
            <w:noWrap/>
            <w:vAlign w:val="center"/>
          </w:tcPr>
          <w:p w:rsidR="003D2C5E" w:rsidRPr="00911960" w:rsidRDefault="003D2C5E" w:rsidP="00EB15F2">
            <w:pPr>
              <w:spacing w:before="20" w:after="20"/>
              <w:jc w:val="center"/>
              <w:rPr>
                <w:bCs/>
                <w:szCs w:val="24"/>
              </w:rPr>
            </w:pPr>
            <w:r w:rsidRPr="00911960">
              <w:rPr>
                <w:bCs/>
                <w:szCs w:val="24"/>
              </w:rPr>
              <w:t>31</w:t>
            </w:r>
          </w:p>
        </w:tc>
        <w:tc>
          <w:tcPr>
            <w:tcW w:w="3231" w:type="dxa"/>
            <w:noWrap/>
            <w:vAlign w:val="center"/>
          </w:tcPr>
          <w:p w:rsidR="003D2C5E" w:rsidRPr="00911960" w:rsidRDefault="003D2C5E" w:rsidP="00EB15F2">
            <w:pPr>
              <w:spacing w:before="20" w:after="20"/>
              <w:jc w:val="center"/>
              <w:rPr>
                <w:bCs/>
                <w:szCs w:val="24"/>
              </w:rPr>
            </w:pPr>
            <w:r w:rsidRPr="00911960">
              <w:rPr>
                <w:bCs/>
                <w:szCs w:val="24"/>
              </w:rPr>
              <w:t>100 %</w:t>
            </w:r>
          </w:p>
        </w:tc>
      </w:tr>
    </w:tbl>
    <w:p w:rsidR="00D32B77" w:rsidRDefault="00D32B77" w:rsidP="001A0156">
      <w:pPr>
        <w:pStyle w:val="EE-normls"/>
        <w:ind w:firstLine="0"/>
      </w:pPr>
      <w:bookmarkStart w:id="20" w:name="_Toc157391418"/>
      <w:bookmarkStart w:id="21" w:name="_Toc157403794"/>
    </w:p>
    <w:p w:rsidR="00D32B77" w:rsidRDefault="00D32B77" w:rsidP="00C43701">
      <w:pPr>
        <w:pStyle w:val="EE-normls"/>
        <w:ind w:firstLine="0"/>
      </w:pPr>
    </w:p>
    <w:p w:rsidR="00A77525" w:rsidRPr="00911960" w:rsidRDefault="00A77525" w:rsidP="00A77525">
      <w:pPr>
        <w:pStyle w:val="EE-normls"/>
        <w:rPr>
          <w:rFonts w:ascii="Times New Roman" w:hAnsi="Times New Roman"/>
          <w:b w:val="0"/>
          <w:bCs w:val="0"/>
          <w:noProof w:val="0"/>
        </w:rPr>
      </w:pPr>
      <w:r w:rsidRPr="00911960">
        <w:rPr>
          <w:rFonts w:ascii="Times New Roman" w:hAnsi="Times New Roman"/>
          <w:b w:val="0"/>
          <w:bCs w:val="0"/>
          <w:noProof w:val="0"/>
        </w:rPr>
        <w:t>Vienlaikus arī uzraudzības rādītāji tika plānoti reģionālā griezumā sadalījumā pa plānošanas reģioniem</w:t>
      </w:r>
      <w:r w:rsidR="00915A59">
        <w:rPr>
          <w:rFonts w:ascii="Times New Roman" w:hAnsi="Times New Roman"/>
          <w:b w:val="0"/>
          <w:bCs w:val="0"/>
          <w:noProof w:val="0"/>
        </w:rPr>
        <w:t xml:space="preserve"> (kopā augstskolām un koledžām)</w:t>
      </w:r>
      <w:r w:rsidRPr="00911960">
        <w:rPr>
          <w:rFonts w:ascii="Times New Roman" w:hAnsi="Times New Roman"/>
          <w:b w:val="0"/>
          <w:bCs w:val="0"/>
          <w:noProof w:val="0"/>
        </w:rPr>
        <w:t>. Uzraudzības rādītāju teritoriālais sadalījums redzams 2.2.tabulā.</w:t>
      </w:r>
      <w:r w:rsidR="00915A59">
        <w:rPr>
          <w:rFonts w:ascii="Times New Roman" w:hAnsi="Times New Roman"/>
          <w:b w:val="0"/>
          <w:bCs w:val="0"/>
          <w:noProof w:val="0"/>
        </w:rPr>
        <w:t xml:space="preserve"> </w:t>
      </w:r>
    </w:p>
    <w:p w:rsidR="00A77525" w:rsidRPr="00911960" w:rsidRDefault="00A77525" w:rsidP="00A77525">
      <w:pPr>
        <w:pStyle w:val="EE-normls"/>
      </w:pPr>
    </w:p>
    <w:p w:rsidR="00A77525" w:rsidRDefault="00A77525" w:rsidP="00A77525">
      <w:pPr>
        <w:pStyle w:val="EE-normls"/>
        <w:jc w:val="right"/>
        <w:rPr>
          <w:rFonts w:ascii="Times New Roman" w:hAnsi="Times New Roman"/>
          <w:b w:val="0"/>
          <w:bCs w:val="0"/>
          <w:noProof w:val="0"/>
        </w:rPr>
      </w:pPr>
      <w:r w:rsidRPr="00911960">
        <w:rPr>
          <w:rFonts w:ascii="Times New Roman" w:hAnsi="Times New Roman"/>
          <w:b w:val="0"/>
          <w:bCs w:val="0"/>
          <w:noProof w:val="0"/>
        </w:rPr>
        <w:t>2.2.tabula</w:t>
      </w:r>
    </w:p>
    <w:p w:rsidR="008E714D" w:rsidRDefault="008E714D" w:rsidP="008E714D">
      <w:pPr>
        <w:pStyle w:val="EE-normls"/>
        <w:jc w:val="center"/>
        <w:rPr>
          <w:rFonts w:ascii="Times New Roman" w:hAnsi="Times New Roman"/>
          <w:bCs w:val="0"/>
          <w:noProof w:val="0"/>
        </w:rPr>
      </w:pPr>
      <w:r>
        <w:rPr>
          <w:rFonts w:ascii="Times New Roman" w:hAnsi="Times New Roman"/>
          <w:bCs w:val="0"/>
          <w:noProof w:val="0"/>
        </w:rPr>
        <w:t>Uzraudzības rādītāju teritoriālais sadalījums</w:t>
      </w:r>
    </w:p>
    <w:p w:rsidR="008E714D" w:rsidRPr="00911960" w:rsidRDefault="008E714D" w:rsidP="008E714D">
      <w:pPr>
        <w:pStyle w:val="EE-normls"/>
        <w:jc w:val="center"/>
        <w:rPr>
          <w:rFonts w:ascii="Times New Roman" w:hAnsi="Times New Roman"/>
          <w:b w:val="0"/>
          <w:bCs w:val="0"/>
          <w:noProof w:val="0"/>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9"/>
        <w:gridCol w:w="1297"/>
        <w:gridCol w:w="1573"/>
        <w:gridCol w:w="1573"/>
        <w:gridCol w:w="1807"/>
      </w:tblGrid>
      <w:tr w:rsidR="00D32B77" w:rsidRPr="005672EE" w:rsidTr="00D32B77">
        <w:trPr>
          <w:trHeight w:val="227"/>
          <w:tblHeader/>
          <w:jc w:val="center"/>
        </w:trPr>
        <w:tc>
          <w:tcPr>
            <w:tcW w:w="2905" w:type="dxa"/>
            <w:vAlign w:val="center"/>
          </w:tcPr>
          <w:bookmarkEnd w:id="20"/>
          <w:bookmarkEnd w:id="21"/>
          <w:p w:rsidR="00D32B77" w:rsidRPr="005672EE" w:rsidRDefault="00D32B77" w:rsidP="00B351EC">
            <w:pPr>
              <w:spacing w:before="20" w:after="20"/>
              <w:jc w:val="center"/>
              <w:rPr>
                <w:b/>
                <w:sz w:val="22"/>
                <w:szCs w:val="22"/>
              </w:rPr>
            </w:pPr>
            <w:r w:rsidRPr="005672EE">
              <w:rPr>
                <w:b/>
                <w:sz w:val="22"/>
                <w:szCs w:val="22"/>
              </w:rPr>
              <w:t>Rādītāji</w:t>
            </w:r>
          </w:p>
        </w:tc>
        <w:tc>
          <w:tcPr>
            <w:tcW w:w="1302" w:type="dxa"/>
            <w:vAlign w:val="center"/>
          </w:tcPr>
          <w:p w:rsidR="00D32B77" w:rsidRPr="005672EE" w:rsidRDefault="00D32B77" w:rsidP="00B351EC">
            <w:pPr>
              <w:spacing w:before="20" w:after="20"/>
              <w:jc w:val="center"/>
              <w:rPr>
                <w:b/>
                <w:sz w:val="22"/>
                <w:szCs w:val="22"/>
              </w:rPr>
            </w:pPr>
            <w:r w:rsidRPr="005672EE">
              <w:rPr>
                <w:b/>
                <w:sz w:val="22"/>
                <w:szCs w:val="22"/>
              </w:rPr>
              <w:t>Plānošanas reģions</w:t>
            </w:r>
          </w:p>
        </w:tc>
        <w:tc>
          <w:tcPr>
            <w:tcW w:w="1450" w:type="dxa"/>
            <w:vAlign w:val="center"/>
          </w:tcPr>
          <w:p w:rsidR="00D32B77" w:rsidRPr="005672EE" w:rsidRDefault="00D32B77" w:rsidP="00B351EC">
            <w:pPr>
              <w:spacing w:before="20" w:after="20"/>
              <w:jc w:val="center"/>
              <w:rPr>
                <w:b/>
                <w:sz w:val="22"/>
                <w:szCs w:val="22"/>
              </w:rPr>
            </w:pPr>
            <w:proofErr w:type="spellStart"/>
            <w:r w:rsidRPr="005672EE">
              <w:rPr>
                <w:b/>
                <w:sz w:val="22"/>
                <w:szCs w:val="22"/>
              </w:rPr>
              <w:t>Kvantifikācija</w:t>
            </w:r>
            <w:proofErr w:type="spellEnd"/>
            <w:r w:rsidRPr="005672EE">
              <w:rPr>
                <w:b/>
                <w:sz w:val="22"/>
                <w:szCs w:val="22"/>
              </w:rPr>
              <w:t xml:space="preserve"> 2004.gadā</w:t>
            </w:r>
          </w:p>
        </w:tc>
        <w:tc>
          <w:tcPr>
            <w:tcW w:w="1450" w:type="dxa"/>
            <w:vAlign w:val="center"/>
          </w:tcPr>
          <w:p w:rsidR="00D32B77" w:rsidRPr="005672EE" w:rsidRDefault="00D32B77" w:rsidP="00B351EC">
            <w:pPr>
              <w:spacing w:before="20" w:after="20"/>
              <w:jc w:val="center"/>
              <w:rPr>
                <w:b/>
                <w:sz w:val="22"/>
                <w:szCs w:val="22"/>
              </w:rPr>
            </w:pPr>
            <w:proofErr w:type="spellStart"/>
            <w:r w:rsidRPr="005672EE">
              <w:rPr>
                <w:b/>
                <w:sz w:val="22"/>
                <w:szCs w:val="22"/>
              </w:rPr>
              <w:t>Kvantifikācija</w:t>
            </w:r>
            <w:proofErr w:type="spellEnd"/>
            <w:r w:rsidRPr="005672EE">
              <w:rPr>
                <w:b/>
                <w:sz w:val="22"/>
                <w:szCs w:val="22"/>
              </w:rPr>
              <w:t xml:space="preserve"> 2009.gadā</w:t>
            </w:r>
          </w:p>
        </w:tc>
        <w:tc>
          <w:tcPr>
            <w:tcW w:w="1852" w:type="dxa"/>
            <w:vAlign w:val="center"/>
          </w:tcPr>
          <w:p w:rsidR="00D32B77" w:rsidRPr="005672EE" w:rsidRDefault="00D32B77" w:rsidP="00B351EC">
            <w:pPr>
              <w:spacing w:before="20" w:after="20"/>
              <w:jc w:val="center"/>
              <w:rPr>
                <w:b/>
                <w:sz w:val="22"/>
                <w:szCs w:val="22"/>
              </w:rPr>
            </w:pPr>
            <w:proofErr w:type="spellStart"/>
            <w:r w:rsidRPr="005672EE">
              <w:rPr>
                <w:b/>
                <w:sz w:val="22"/>
                <w:szCs w:val="22"/>
              </w:rPr>
              <w:t>Kvantifikācija</w:t>
            </w:r>
            <w:proofErr w:type="spellEnd"/>
            <w:r w:rsidRPr="005672EE">
              <w:rPr>
                <w:b/>
                <w:sz w:val="22"/>
                <w:szCs w:val="22"/>
              </w:rPr>
              <w:t xml:space="preserve"> 2013.gadā</w:t>
            </w:r>
          </w:p>
        </w:tc>
      </w:tr>
      <w:tr w:rsidR="00D32B77" w:rsidRPr="005672EE" w:rsidTr="00D32B77">
        <w:trPr>
          <w:trHeight w:val="227"/>
          <w:jc w:val="center"/>
        </w:trPr>
        <w:tc>
          <w:tcPr>
            <w:tcW w:w="8959" w:type="dxa"/>
            <w:gridSpan w:val="5"/>
            <w:vAlign w:val="center"/>
          </w:tcPr>
          <w:p w:rsidR="00D32B77" w:rsidRPr="005672EE" w:rsidRDefault="00D32B77" w:rsidP="00811A98">
            <w:pPr>
              <w:rPr>
                <w:b/>
                <w:sz w:val="22"/>
                <w:szCs w:val="22"/>
                <w:lang w:eastAsia="lv-LV"/>
              </w:rPr>
            </w:pPr>
            <w:r w:rsidRPr="005672EE">
              <w:rPr>
                <w:b/>
                <w:sz w:val="22"/>
                <w:szCs w:val="22"/>
                <w:lang w:eastAsia="lv-LV"/>
              </w:rPr>
              <w:t>Iz</w:t>
            </w:r>
            <w:r w:rsidRPr="005672EE">
              <w:rPr>
                <w:b/>
                <w:sz w:val="22"/>
                <w:szCs w:val="22"/>
              </w:rPr>
              <w:t>nāku</w:t>
            </w:r>
            <w:r w:rsidRPr="005672EE">
              <w:rPr>
                <w:b/>
                <w:sz w:val="22"/>
                <w:szCs w:val="22"/>
                <w:lang w:eastAsia="lv-LV"/>
              </w:rPr>
              <w:t>ma rādītāji</w:t>
            </w:r>
          </w:p>
        </w:tc>
      </w:tr>
      <w:tr w:rsidR="00D32B77" w:rsidRPr="005672EE" w:rsidTr="00D32B77">
        <w:trPr>
          <w:cantSplit/>
          <w:trHeight w:val="227"/>
          <w:jc w:val="center"/>
        </w:trPr>
        <w:tc>
          <w:tcPr>
            <w:tcW w:w="2905" w:type="dxa"/>
            <w:vMerge w:val="restart"/>
          </w:tcPr>
          <w:p w:rsidR="00D32B77" w:rsidRPr="005672EE" w:rsidRDefault="00D32B77" w:rsidP="00B351EC">
            <w:pPr>
              <w:spacing w:before="20" w:after="20"/>
              <w:rPr>
                <w:sz w:val="22"/>
                <w:szCs w:val="22"/>
              </w:rPr>
            </w:pPr>
            <w:r w:rsidRPr="005672EE">
              <w:rPr>
                <w:sz w:val="22"/>
                <w:szCs w:val="22"/>
              </w:rPr>
              <w:t>Augst</w:t>
            </w:r>
            <w:r w:rsidR="008F1977" w:rsidRPr="005672EE">
              <w:rPr>
                <w:sz w:val="22"/>
                <w:szCs w:val="22"/>
              </w:rPr>
              <w:t xml:space="preserve">ākās izglītības iestāžu skaits, </w:t>
            </w:r>
            <w:r w:rsidRPr="005672EE">
              <w:rPr>
                <w:sz w:val="22"/>
                <w:szCs w:val="22"/>
              </w:rPr>
              <w:t>kurās modernizēta infrastruktūra un mācību aprīkojums</w:t>
            </w:r>
          </w:p>
        </w:tc>
        <w:tc>
          <w:tcPr>
            <w:tcW w:w="1302" w:type="dxa"/>
          </w:tcPr>
          <w:p w:rsidR="00D32B77" w:rsidRPr="005672EE" w:rsidRDefault="00D32B77" w:rsidP="00B351EC">
            <w:pPr>
              <w:spacing w:before="20" w:after="20"/>
              <w:jc w:val="center"/>
              <w:rPr>
                <w:sz w:val="22"/>
                <w:szCs w:val="22"/>
              </w:rPr>
            </w:pPr>
            <w:r w:rsidRPr="005672EE">
              <w:rPr>
                <w:sz w:val="22"/>
                <w:szCs w:val="22"/>
              </w:rPr>
              <w:t>Rīga</w:t>
            </w:r>
          </w:p>
        </w:tc>
        <w:tc>
          <w:tcPr>
            <w:tcW w:w="1450" w:type="dxa"/>
          </w:tcPr>
          <w:p w:rsidR="00D32B77" w:rsidRPr="005672EE" w:rsidRDefault="00D32B77" w:rsidP="00B351EC">
            <w:pPr>
              <w:spacing w:before="20" w:after="20"/>
              <w:jc w:val="center"/>
              <w:rPr>
                <w:sz w:val="22"/>
                <w:szCs w:val="22"/>
              </w:rPr>
            </w:pPr>
            <w:r w:rsidRPr="005672EE">
              <w:rPr>
                <w:sz w:val="22"/>
                <w:szCs w:val="22"/>
              </w:rPr>
              <w:t>0</w:t>
            </w:r>
          </w:p>
        </w:tc>
        <w:tc>
          <w:tcPr>
            <w:tcW w:w="1450" w:type="dxa"/>
          </w:tcPr>
          <w:p w:rsidR="00D32B77" w:rsidRPr="005672EE" w:rsidRDefault="00D32B77" w:rsidP="00B351EC">
            <w:pPr>
              <w:spacing w:before="20" w:after="20"/>
              <w:jc w:val="center"/>
              <w:rPr>
                <w:sz w:val="22"/>
                <w:szCs w:val="22"/>
              </w:rPr>
            </w:pPr>
            <w:r w:rsidRPr="005672EE">
              <w:rPr>
                <w:sz w:val="22"/>
                <w:szCs w:val="22"/>
              </w:rPr>
              <w:t>0</w:t>
            </w:r>
          </w:p>
        </w:tc>
        <w:tc>
          <w:tcPr>
            <w:tcW w:w="1852" w:type="dxa"/>
          </w:tcPr>
          <w:p w:rsidR="00D32B77" w:rsidRPr="005672EE" w:rsidRDefault="00D32B77" w:rsidP="00B351EC">
            <w:pPr>
              <w:spacing w:before="20" w:after="20"/>
              <w:jc w:val="center"/>
              <w:rPr>
                <w:sz w:val="22"/>
                <w:szCs w:val="22"/>
              </w:rPr>
            </w:pPr>
            <w:r w:rsidRPr="005672EE">
              <w:rPr>
                <w:sz w:val="22"/>
                <w:szCs w:val="22"/>
              </w:rPr>
              <w:t>20</w:t>
            </w:r>
          </w:p>
        </w:tc>
      </w:tr>
      <w:tr w:rsidR="00D32B77" w:rsidRPr="005672EE" w:rsidTr="00D32B77">
        <w:trPr>
          <w:cantSplit/>
          <w:trHeight w:val="227"/>
          <w:jc w:val="center"/>
        </w:trPr>
        <w:tc>
          <w:tcPr>
            <w:tcW w:w="0" w:type="auto"/>
            <w:vMerge/>
            <w:vAlign w:val="center"/>
          </w:tcPr>
          <w:p w:rsidR="00D32B77" w:rsidRPr="005672EE" w:rsidRDefault="00D32B77" w:rsidP="00D32B77">
            <w:pPr>
              <w:rPr>
                <w:sz w:val="22"/>
                <w:szCs w:val="22"/>
              </w:rPr>
            </w:pPr>
          </w:p>
        </w:tc>
        <w:tc>
          <w:tcPr>
            <w:tcW w:w="1302" w:type="dxa"/>
          </w:tcPr>
          <w:p w:rsidR="00D32B77" w:rsidRPr="005672EE" w:rsidRDefault="00D32B77" w:rsidP="00D32B77">
            <w:pPr>
              <w:spacing w:before="20" w:after="20"/>
              <w:jc w:val="center"/>
              <w:rPr>
                <w:sz w:val="22"/>
                <w:szCs w:val="22"/>
              </w:rPr>
            </w:pPr>
            <w:r w:rsidRPr="005672EE">
              <w:rPr>
                <w:sz w:val="22"/>
                <w:szCs w:val="22"/>
              </w:rPr>
              <w:t>Vidzeme</w:t>
            </w:r>
          </w:p>
        </w:tc>
        <w:tc>
          <w:tcPr>
            <w:tcW w:w="1450" w:type="dxa"/>
          </w:tcPr>
          <w:p w:rsidR="00D32B77" w:rsidRPr="005672EE" w:rsidRDefault="00D32B77" w:rsidP="00D32B77">
            <w:pPr>
              <w:spacing w:before="20" w:after="20"/>
              <w:jc w:val="center"/>
              <w:rPr>
                <w:sz w:val="22"/>
                <w:szCs w:val="22"/>
              </w:rPr>
            </w:pPr>
            <w:r w:rsidRPr="005672EE">
              <w:rPr>
                <w:sz w:val="22"/>
                <w:szCs w:val="22"/>
              </w:rPr>
              <w:t>0</w:t>
            </w:r>
          </w:p>
        </w:tc>
        <w:tc>
          <w:tcPr>
            <w:tcW w:w="1450" w:type="dxa"/>
          </w:tcPr>
          <w:p w:rsidR="00D32B77" w:rsidRPr="005672EE" w:rsidRDefault="00D32B77" w:rsidP="00D32B77">
            <w:pPr>
              <w:spacing w:before="20" w:after="20"/>
              <w:jc w:val="center"/>
              <w:rPr>
                <w:sz w:val="22"/>
                <w:szCs w:val="22"/>
              </w:rPr>
            </w:pPr>
            <w:r w:rsidRPr="005672EE">
              <w:rPr>
                <w:sz w:val="22"/>
                <w:szCs w:val="22"/>
              </w:rPr>
              <w:t>0</w:t>
            </w:r>
          </w:p>
        </w:tc>
        <w:tc>
          <w:tcPr>
            <w:tcW w:w="1852" w:type="dxa"/>
          </w:tcPr>
          <w:p w:rsidR="00D32B77" w:rsidRPr="005672EE" w:rsidRDefault="00D32B77" w:rsidP="00D32B77">
            <w:pPr>
              <w:spacing w:before="20" w:after="20"/>
              <w:jc w:val="center"/>
              <w:rPr>
                <w:sz w:val="22"/>
                <w:szCs w:val="22"/>
              </w:rPr>
            </w:pPr>
            <w:r w:rsidRPr="005672EE">
              <w:rPr>
                <w:sz w:val="22"/>
                <w:szCs w:val="22"/>
              </w:rPr>
              <w:t>1</w:t>
            </w:r>
          </w:p>
        </w:tc>
      </w:tr>
      <w:tr w:rsidR="00D32B77" w:rsidRPr="005672EE" w:rsidTr="00D32B77">
        <w:trPr>
          <w:cantSplit/>
          <w:trHeight w:val="227"/>
          <w:jc w:val="center"/>
        </w:trPr>
        <w:tc>
          <w:tcPr>
            <w:tcW w:w="0" w:type="auto"/>
            <w:vMerge/>
            <w:vAlign w:val="center"/>
          </w:tcPr>
          <w:p w:rsidR="00D32B77" w:rsidRPr="005672EE" w:rsidRDefault="00D32B77" w:rsidP="00D32B77">
            <w:pPr>
              <w:rPr>
                <w:sz w:val="22"/>
                <w:szCs w:val="22"/>
              </w:rPr>
            </w:pPr>
          </w:p>
        </w:tc>
        <w:tc>
          <w:tcPr>
            <w:tcW w:w="1302" w:type="dxa"/>
          </w:tcPr>
          <w:p w:rsidR="00D32B77" w:rsidRPr="005672EE" w:rsidRDefault="00D32B77" w:rsidP="00D32B77">
            <w:pPr>
              <w:spacing w:before="20" w:after="20"/>
              <w:jc w:val="center"/>
              <w:rPr>
                <w:sz w:val="22"/>
                <w:szCs w:val="22"/>
              </w:rPr>
            </w:pPr>
            <w:r w:rsidRPr="005672EE">
              <w:rPr>
                <w:sz w:val="22"/>
                <w:szCs w:val="22"/>
              </w:rPr>
              <w:t>Kurzeme</w:t>
            </w:r>
          </w:p>
        </w:tc>
        <w:tc>
          <w:tcPr>
            <w:tcW w:w="1450" w:type="dxa"/>
          </w:tcPr>
          <w:p w:rsidR="00D32B77" w:rsidRPr="005672EE" w:rsidRDefault="00D32B77" w:rsidP="00D32B77">
            <w:pPr>
              <w:spacing w:before="20" w:after="20"/>
              <w:jc w:val="center"/>
              <w:rPr>
                <w:sz w:val="22"/>
                <w:szCs w:val="22"/>
              </w:rPr>
            </w:pPr>
            <w:r w:rsidRPr="005672EE">
              <w:rPr>
                <w:sz w:val="22"/>
                <w:szCs w:val="22"/>
              </w:rPr>
              <w:t>0</w:t>
            </w:r>
          </w:p>
        </w:tc>
        <w:tc>
          <w:tcPr>
            <w:tcW w:w="1450" w:type="dxa"/>
          </w:tcPr>
          <w:p w:rsidR="00D32B77" w:rsidRPr="005672EE" w:rsidRDefault="00D32B77" w:rsidP="00D32B77">
            <w:pPr>
              <w:spacing w:before="20" w:after="20"/>
              <w:jc w:val="center"/>
              <w:rPr>
                <w:sz w:val="22"/>
                <w:szCs w:val="22"/>
              </w:rPr>
            </w:pPr>
            <w:r w:rsidRPr="005672EE">
              <w:rPr>
                <w:sz w:val="22"/>
                <w:szCs w:val="22"/>
              </w:rPr>
              <w:t>0</w:t>
            </w:r>
          </w:p>
        </w:tc>
        <w:tc>
          <w:tcPr>
            <w:tcW w:w="1852" w:type="dxa"/>
          </w:tcPr>
          <w:p w:rsidR="00D32B77" w:rsidRPr="005672EE" w:rsidRDefault="00D32B77" w:rsidP="00D32B77">
            <w:pPr>
              <w:spacing w:before="20" w:after="20"/>
              <w:jc w:val="center"/>
              <w:rPr>
                <w:sz w:val="22"/>
                <w:szCs w:val="22"/>
              </w:rPr>
            </w:pPr>
            <w:r w:rsidRPr="005672EE">
              <w:rPr>
                <w:sz w:val="22"/>
                <w:szCs w:val="22"/>
              </w:rPr>
              <w:t>4</w:t>
            </w:r>
          </w:p>
        </w:tc>
      </w:tr>
      <w:tr w:rsidR="00D32B77" w:rsidRPr="005672EE" w:rsidTr="00D32B77">
        <w:trPr>
          <w:cantSplit/>
          <w:trHeight w:val="227"/>
          <w:jc w:val="center"/>
        </w:trPr>
        <w:tc>
          <w:tcPr>
            <w:tcW w:w="0" w:type="auto"/>
            <w:vMerge/>
            <w:vAlign w:val="center"/>
          </w:tcPr>
          <w:p w:rsidR="00D32B77" w:rsidRPr="005672EE" w:rsidRDefault="00D32B77" w:rsidP="00D32B77">
            <w:pPr>
              <w:rPr>
                <w:sz w:val="22"/>
                <w:szCs w:val="22"/>
              </w:rPr>
            </w:pPr>
          </w:p>
        </w:tc>
        <w:tc>
          <w:tcPr>
            <w:tcW w:w="1302" w:type="dxa"/>
          </w:tcPr>
          <w:p w:rsidR="00D32B77" w:rsidRPr="005672EE" w:rsidRDefault="00D32B77" w:rsidP="00D32B77">
            <w:pPr>
              <w:spacing w:before="20" w:after="20"/>
              <w:jc w:val="center"/>
              <w:rPr>
                <w:sz w:val="22"/>
                <w:szCs w:val="22"/>
              </w:rPr>
            </w:pPr>
            <w:r w:rsidRPr="005672EE">
              <w:rPr>
                <w:sz w:val="22"/>
                <w:szCs w:val="22"/>
              </w:rPr>
              <w:t>Zemgale</w:t>
            </w:r>
          </w:p>
        </w:tc>
        <w:tc>
          <w:tcPr>
            <w:tcW w:w="1450" w:type="dxa"/>
          </w:tcPr>
          <w:p w:rsidR="00D32B77" w:rsidRPr="005672EE" w:rsidRDefault="00D32B77" w:rsidP="00D32B77">
            <w:pPr>
              <w:spacing w:before="20" w:after="20"/>
              <w:jc w:val="center"/>
              <w:rPr>
                <w:sz w:val="22"/>
                <w:szCs w:val="22"/>
              </w:rPr>
            </w:pPr>
            <w:r w:rsidRPr="005672EE">
              <w:rPr>
                <w:sz w:val="22"/>
                <w:szCs w:val="22"/>
              </w:rPr>
              <w:t>0</w:t>
            </w:r>
          </w:p>
        </w:tc>
        <w:tc>
          <w:tcPr>
            <w:tcW w:w="1450" w:type="dxa"/>
          </w:tcPr>
          <w:p w:rsidR="00D32B77" w:rsidRPr="005672EE" w:rsidRDefault="00D32B77" w:rsidP="00D32B77">
            <w:pPr>
              <w:spacing w:before="20" w:after="20"/>
              <w:jc w:val="center"/>
              <w:rPr>
                <w:sz w:val="22"/>
                <w:szCs w:val="22"/>
              </w:rPr>
            </w:pPr>
            <w:r w:rsidRPr="005672EE">
              <w:rPr>
                <w:sz w:val="22"/>
                <w:szCs w:val="22"/>
              </w:rPr>
              <w:t>0</w:t>
            </w:r>
          </w:p>
        </w:tc>
        <w:tc>
          <w:tcPr>
            <w:tcW w:w="1852" w:type="dxa"/>
          </w:tcPr>
          <w:p w:rsidR="00D32B77" w:rsidRPr="005672EE" w:rsidRDefault="00D32B77" w:rsidP="00D32B77">
            <w:pPr>
              <w:spacing w:before="20" w:after="20"/>
              <w:jc w:val="center"/>
              <w:rPr>
                <w:sz w:val="22"/>
                <w:szCs w:val="22"/>
              </w:rPr>
            </w:pPr>
            <w:r w:rsidRPr="005672EE">
              <w:rPr>
                <w:sz w:val="22"/>
                <w:szCs w:val="22"/>
              </w:rPr>
              <w:t>2</w:t>
            </w:r>
          </w:p>
        </w:tc>
      </w:tr>
      <w:tr w:rsidR="00D32B77" w:rsidRPr="005672EE" w:rsidTr="00D32B77">
        <w:trPr>
          <w:cantSplit/>
          <w:trHeight w:val="227"/>
          <w:jc w:val="center"/>
        </w:trPr>
        <w:tc>
          <w:tcPr>
            <w:tcW w:w="0" w:type="auto"/>
            <w:vMerge/>
            <w:vAlign w:val="center"/>
          </w:tcPr>
          <w:p w:rsidR="00D32B77" w:rsidRPr="005672EE" w:rsidRDefault="00D32B77" w:rsidP="00D32B77">
            <w:pPr>
              <w:rPr>
                <w:sz w:val="22"/>
                <w:szCs w:val="22"/>
              </w:rPr>
            </w:pPr>
          </w:p>
        </w:tc>
        <w:tc>
          <w:tcPr>
            <w:tcW w:w="1302" w:type="dxa"/>
          </w:tcPr>
          <w:p w:rsidR="00D32B77" w:rsidRPr="005672EE" w:rsidRDefault="00D32B77" w:rsidP="00D32B77">
            <w:pPr>
              <w:spacing w:before="20" w:after="20"/>
              <w:jc w:val="center"/>
              <w:rPr>
                <w:sz w:val="22"/>
                <w:szCs w:val="22"/>
              </w:rPr>
            </w:pPr>
            <w:r w:rsidRPr="005672EE">
              <w:rPr>
                <w:sz w:val="22"/>
                <w:szCs w:val="22"/>
              </w:rPr>
              <w:t>Latgale</w:t>
            </w:r>
          </w:p>
        </w:tc>
        <w:tc>
          <w:tcPr>
            <w:tcW w:w="1450" w:type="dxa"/>
          </w:tcPr>
          <w:p w:rsidR="00D32B77" w:rsidRPr="005672EE" w:rsidRDefault="00D32B77" w:rsidP="00D32B77">
            <w:pPr>
              <w:spacing w:before="20" w:after="20"/>
              <w:jc w:val="center"/>
              <w:rPr>
                <w:sz w:val="22"/>
                <w:szCs w:val="22"/>
              </w:rPr>
            </w:pPr>
            <w:r w:rsidRPr="005672EE">
              <w:rPr>
                <w:sz w:val="22"/>
                <w:szCs w:val="22"/>
              </w:rPr>
              <w:t>0</w:t>
            </w:r>
          </w:p>
        </w:tc>
        <w:tc>
          <w:tcPr>
            <w:tcW w:w="1450" w:type="dxa"/>
          </w:tcPr>
          <w:p w:rsidR="00D32B77" w:rsidRPr="005672EE" w:rsidRDefault="00D32B77" w:rsidP="00D32B77">
            <w:pPr>
              <w:spacing w:before="20" w:after="20"/>
              <w:jc w:val="center"/>
              <w:rPr>
                <w:sz w:val="22"/>
                <w:szCs w:val="22"/>
              </w:rPr>
            </w:pPr>
            <w:r w:rsidRPr="005672EE">
              <w:rPr>
                <w:sz w:val="22"/>
                <w:szCs w:val="22"/>
              </w:rPr>
              <w:t>0</w:t>
            </w:r>
          </w:p>
        </w:tc>
        <w:tc>
          <w:tcPr>
            <w:tcW w:w="1852" w:type="dxa"/>
          </w:tcPr>
          <w:p w:rsidR="00D32B77" w:rsidRPr="005672EE" w:rsidRDefault="00D32B77" w:rsidP="00D32B77">
            <w:pPr>
              <w:spacing w:before="20" w:after="20"/>
              <w:jc w:val="center"/>
              <w:rPr>
                <w:sz w:val="22"/>
                <w:szCs w:val="22"/>
              </w:rPr>
            </w:pPr>
            <w:r w:rsidRPr="005672EE">
              <w:rPr>
                <w:sz w:val="22"/>
                <w:szCs w:val="22"/>
              </w:rPr>
              <w:t>4</w:t>
            </w:r>
          </w:p>
        </w:tc>
      </w:tr>
      <w:tr w:rsidR="00D32B77" w:rsidRPr="005672EE" w:rsidTr="00D32B77">
        <w:trPr>
          <w:trHeight w:val="227"/>
          <w:jc w:val="center"/>
        </w:trPr>
        <w:tc>
          <w:tcPr>
            <w:tcW w:w="8959" w:type="dxa"/>
            <w:gridSpan w:val="5"/>
            <w:vAlign w:val="center"/>
          </w:tcPr>
          <w:p w:rsidR="00D32B77" w:rsidRPr="005672EE" w:rsidRDefault="00D32B77" w:rsidP="00811A98">
            <w:pPr>
              <w:rPr>
                <w:b/>
                <w:sz w:val="22"/>
                <w:szCs w:val="22"/>
                <w:lang w:eastAsia="lv-LV"/>
              </w:rPr>
            </w:pPr>
            <w:r w:rsidRPr="005672EE">
              <w:rPr>
                <w:b/>
                <w:sz w:val="22"/>
                <w:szCs w:val="22"/>
                <w:lang w:eastAsia="lv-LV"/>
              </w:rPr>
              <w:t>Re</w:t>
            </w:r>
            <w:r w:rsidRPr="005672EE">
              <w:rPr>
                <w:b/>
                <w:sz w:val="22"/>
                <w:szCs w:val="22"/>
              </w:rPr>
              <w:t>zultā</w:t>
            </w:r>
            <w:r w:rsidRPr="005672EE">
              <w:rPr>
                <w:b/>
                <w:sz w:val="22"/>
                <w:szCs w:val="22"/>
                <w:lang w:eastAsia="lv-LV"/>
              </w:rPr>
              <w:t>ta rādītāji</w:t>
            </w:r>
          </w:p>
        </w:tc>
      </w:tr>
      <w:tr w:rsidR="00D32B77" w:rsidRPr="005672EE" w:rsidTr="00D32B77">
        <w:trPr>
          <w:cantSplit/>
          <w:trHeight w:val="227"/>
          <w:jc w:val="center"/>
        </w:trPr>
        <w:tc>
          <w:tcPr>
            <w:tcW w:w="2905" w:type="dxa"/>
            <w:vMerge w:val="restart"/>
          </w:tcPr>
          <w:p w:rsidR="00D32B77" w:rsidRPr="005672EE" w:rsidRDefault="00D32B77" w:rsidP="00D32B77">
            <w:pPr>
              <w:spacing w:before="20" w:after="20"/>
              <w:rPr>
                <w:sz w:val="22"/>
                <w:szCs w:val="22"/>
              </w:rPr>
            </w:pPr>
            <w:r w:rsidRPr="005672EE">
              <w:rPr>
                <w:bCs/>
                <w:sz w:val="22"/>
                <w:szCs w:val="22"/>
              </w:rPr>
              <w:t>Augstākajā izglītībā tautsaimniecības attīstībai prioritārajās jomās studējošo īpatsvars, kam nodrošināta moderna un mūsdienu prasībām atbilstoša izglītības infrastruktūra un mācību aprīkojums (% no kopējā studējošo skaita attiecīgajās studiju programmās)</w:t>
            </w:r>
          </w:p>
        </w:tc>
        <w:tc>
          <w:tcPr>
            <w:tcW w:w="1302" w:type="dxa"/>
          </w:tcPr>
          <w:p w:rsidR="00D32B77" w:rsidRPr="005672EE" w:rsidRDefault="00D32B77" w:rsidP="00D32B77">
            <w:pPr>
              <w:spacing w:before="20" w:after="20"/>
              <w:jc w:val="center"/>
              <w:rPr>
                <w:sz w:val="22"/>
                <w:szCs w:val="22"/>
              </w:rPr>
            </w:pPr>
            <w:r w:rsidRPr="005672EE">
              <w:rPr>
                <w:sz w:val="22"/>
                <w:szCs w:val="22"/>
              </w:rPr>
              <w:t>Rīga</w:t>
            </w:r>
          </w:p>
        </w:tc>
        <w:tc>
          <w:tcPr>
            <w:tcW w:w="1450" w:type="dxa"/>
          </w:tcPr>
          <w:p w:rsidR="00D32B77" w:rsidRPr="005672EE" w:rsidRDefault="00D32B77" w:rsidP="00D32B77">
            <w:pPr>
              <w:spacing w:before="20" w:after="20"/>
              <w:jc w:val="center"/>
              <w:rPr>
                <w:sz w:val="22"/>
                <w:szCs w:val="22"/>
              </w:rPr>
            </w:pPr>
            <w:r w:rsidRPr="005672EE">
              <w:rPr>
                <w:sz w:val="22"/>
                <w:szCs w:val="22"/>
              </w:rPr>
              <w:t>10</w:t>
            </w:r>
            <w:r w:rsidR="000003FD" w:rsidRPr="005672EE">
              <w:rPr>
                <w:sz w:val="22"/>
                <w:szCs w:val="22"/>
              </w:rPr>
              <w:t xml:space="preserve"> </w:t>
            </w:r>
            <w:r w:rsidRPr="005672EE">
              <w:rPr>
                <w:sz w:val="22"/>
                <w:szCs w:val="22"/>
              </w:rPr>
              <w:t>%</w:t>
            </w:r>
          </w:p>
        </w:tc>
        <w:tc>
          <w:tcPr>
            <w:tcW w:w="1450" w:type="dxa"/>
          </w:tcPr>
          <w:p w:rsidR="00D32B77" w:rsidRPr="005672EE" w:rsidRDefault="00D32B77" w:rsidP="00D32B77">
            <w:pPr>
              <w:spacing w:before="20" w:after="20"/>
              <w:jc w:val="center"/>
              <w:rPr>
                <w:sz w:val="22"/>
                <w:szCs w:val="22"/>
              </w:rPr>
            </w:pPr>
            <w:r w:rsidRPr="005672EE">
              <w:rPr>
                <w:sz w:val="22"/>
                <w:szCs w:val="22"/>
              </w:rPr>
              <w:t>40 %</w:t>
            </w:r>
          </w:p>
        </w:tc>
        <w:tc>
          <w:tcPr>
            <w:tcW w:w="1852" w:type="dxa"/>
          </w:tcPr>
          <w:p w:rsidR="00D32B77" w:rsidRPr="005672EE" w:rsidRDefault="00D32B77" w:rsidP="00D32B77">
            <w:pPr>
              <w:spacing w:before="20" w:after="20"/>
              <w:jc w:val="center"/>
              <w:rPr>
                <w:sz w:val="22"/>
                <w:szCs w:val="22"/>
              </w:rPr>
            </w:pPr>
            <w:r w:rsidRPr="005672EE">
              <w:rPr>
                <w:sz w:val="22"/>
                <w:szCs w:val="22"/>
              </w:rPr>
              <w:t>90</w:t>
            </w:r>
            <w:r w:rsidR="000003FD" w:rsidRPr="005672EE">
              <w:rPr>
                <w:sz w:val="22"/>
                <w:szCs w:val="22"/>
              </w:rPr>
              <w:t xml:space="preserve"> </w:t>
            </w:r>
            <w:r w:rsidRPr="005672EE">
              <w:rPr>
                <w:sz w:val="22"/>
                <w:szCs w:val="22"/>
              </w:rPr>
              <w:t>%</w:t>
            </w:r>
          </w:p>
        </w:tc>
      </w:tr>
      <w:tr w:rsidR="00D32B77" w:rsidRPr="005672EE" w:rsidTr="00D32B77">
        <w:trPr>
          <w:cantSplit/>
          <w:trHeight w:val="227"/>
          <w:jc w:val="center"/>
        </w:trPr>
        <w:tc>
          <w:tcPr>
            <w:tcW w:w="0" w:type="auto"/>
            <w:vMerge/>
            <w:vAlign w:val="center"/>
          </w:tcPr>
          <w:p w:rsidR="00D32B77" w:rsidRPr="005672EE" w:rsidRDefault="00D32B77" w:rsidP="00D32B77">
            <w:pPr>
              <w:rPr>
                <w:sz w:val="22"/>
                <w:szCs w:val="22"/>
              </w:rPr>
            </w:pPr>
          </w:p>
        </w:tc>
        <w:tc>
          <w:tcPr>
            <w:tcW w:w="1302" w:type="dxa"/>
          </w:tcPr>
          <w:p w:rsidR="00D32B77" w:rsidRPr="005672EE" w:rsidRDefault="00D32B77" w:rsidP="00D32B77">
            <w:pPr>
              <w:spacing w:before="20" w:after="20"/>
              <w:jc w:val="center"/>
              <w:rPr>
                <w:sz w:val="22"/>
                <w:szCs w:val="22"/>
              </w:rPr>
            </w:pPr>
            <w:r w:rsidRPr="005672EE">
              <w:rPr>
                <w:sz w:val="22"/>
                <w:szCs w:val="22"/>
              </w:rPr>
              <w:t>Vidzeme</w:t>
            </w:r>
          </w:p>
        </w:tc>
        <w:tc>
          <w:tcPr>
            <w:tcW w:w="1450" w:type="dxa"/>
          </w:tcPr>
          <w:p w:rsidR="00D32B77" w:rsidRPr="005672EE" w:rsidRDefault="00D32B77" w:rsidP="00D32B77">
            <w:pPr>
              <w:spacing w:before="20" w:after="20"/>
              <w:jc w:val="center"/>
              <w:rPr>
                <w:sz w:val="22"/>
                <w:szCs w:val="22"/>
              </w:rPr>
            </w:pPr>
            <w:r w:rsidRPr="005672EE">
              <w:rPr>
                <w:sz w:val="22"/>
                <w:szCs w:val="22"/>
              </w:rPr>
              <w:t>10</w:t>
            </w:r>
            <w:r w:rsidR="000003FD" w:rsidRPr="005672EE">
              <w:rPr>
                <w:sz w:val="22"/>
                <w:szCs w:val="22"/>
              </w:rPr>
              <w:t xml:space="preserve"> </w:t>
            </w:r>
            <w:r w:rsidRPr="005672EE">
              <w:rPr>
                <w:sz w:val="22"/>
                <w:szCs w:val="22"/>
              </w:rPr>
              <w:t>%</w:t>
            </w:r>
          </w:p>
        </w:tc>
        <w:tc>
          <w:tcPr>
            <w:tcW w:w="1450" w:type="dxa"/>
          </w:tcPr>
          <w:p w:rsidR="00D32B77" w:rsidRPr="005672EE" w:rsidRDefault="00D32B77" w:rsidP="00D32B77">
            <w:pPr>
              <w:spacing w:before="20" w:after="20"/>
              <w:jc w:val="center"/>
              <w:rPr>
                <w:sz w:val="22"/>
                <w:szCs w:val="22"/>
              </w:rPr>
            </w:pPr>
            <w:r w:rsidRPr="005672EE">
              <w:rPr>
                <w:sz w:val="22"/>
                <w:szCs w:val="22"/>
              </w:rPr>
              <w:t>40</w:t>
            </w:r>
            <w:r w:rsidR="000003FD" w:rsidRPr="005672EE">
              <w:rPr>
                <w:sz w:val="22"/>
                <w:szCs w:val="22"/>
              </w:rPr>
              <w:t xml:space="preserve"> </w:t>
            </w:r>
            <w:r w:rsidRPr="005672EE">
              <w:rPr>
                <w:sz w:val="22"/>
                <w:szCs w:val="22"/>
              </w:rPr>
              <w:t>%</w:t>
            </w:r>
          </w:p>
        </w:tc>
        <w:tc>
          <w:tcPr>
            <w:tcW w:w="1852" w:type="dxa"/>
          </w:tcPr>
          <w:p w:rsidR="00D32B77" w:rsidRPr="005672EE" w:rsidRDefault="00D32B77" w:rsidP="00D32B77">
            <w:pPr>
              <w:spacing w:before="20" w:after="20"/>
              <w:jc w:val="center"/>
              <w:rPr>
                <w:sz w:val="22"/>
                <w:szCs w:val="22"/>
              </w:rPr>
            </w:pPr>
            <w:r w:rsidRPr="005672EE">
              <w:rPr>
                <w:sz w:val="22"/>
                <w:szCs w:val="22"/>
              </w:rPr>
              <w:t>90</w:t>
            </w:r>
            <w:r w:rsidR="000003FD" w:rsidRPr="005672EE">
              <w:rPr>
                <w:sz w:val="22"/>
                <w:szCs w:val="22"/>
              </w:rPr>
              <w:t xml:space="preserve"> </w:t>
            </w:r>
            <w:r w:rsidRPr="005672EE">
              <w:rPr>
                <w:sz w:val="22"/>
                <w:szCs w:val="22"/>
              </w:rPr>
              <w:t>%</w:t>
            </w:r>
          </w:p>
        </w:tc>
      </w:tr>
      <w:tr w:rsidR="00D32B77" w:rsidRPr="005672EE" w:rsidTr="00D32B77">
        <w:trPr>
          <w:cantSplit/>
          <w:trHeight w:val="227"/>
          <w:jc w:val="center"/>
        </w:trPr>
        <w:tc>
          <w:tcPr>
            <w:tcW w:w="0" w:type="auto"/>
            <w:vMerge/>
            <w:vAlign w:val="center"/>
          </w:tcPr>
          <w:p w:rsidR="00D32B77" w:rsidRPr="005672EE" w:rsidRDefault="00D32B77" w:rsidP="00D32B77">
            <w:pPr>
              <w:rPr>
                <w:sz w:val="22"/>
                <w:szCs w:val="22"/>
              </w:rPr>
            </w:pPr>
          </w:p>
        </w:tc>
        <w:tc>
          <w:tcPr>
            <w:tcW w:w="1302" w:type="dxa"/>
          </w:tcPr>
          <w:p w:rsidR="00D32B77" w:rsidRPr="005672EE" w:rsidRDefault="00D32B77" w:rsidP="00D32B77">
            <w:pPr>
              <w:spacing w:before="20" w:after="20"/>
              <w:jc w:val="center"/>
              <w:rPr>
                <w:sz w:val="22"/>
                <w:szCs w:val="22"/>
              </w:rPr>
            </w:pPr>
            <w:r w:rsidRPr="005672EE">
              <w:rPr>
                <w:sz w:val="22"/>
                <w:szCs w:val="22"/>
              </w:rPr>
              <w:t>Kurzeme</w:t>
            </w:r>
          </w:p>
        </w:tc>
        <w:tc>
          <w:tcPr>
            <w:tcW w:w="1450" w:type="dxa"/>
          </w:tcPr>
          <w:p w:rsidR="00D32B77" w:rsidRPr="005672EE" w:rsidRDefault="00D32B77" w:rsidP="00D32B77">
            <w:pPr>
              <w:spacing w:before="20" w:after="20"/>
              <w:jc w:val="center"/>
              <w:rPr>
                <w:sz w:val="22"/>
                <w:szCs w:val="22"/>
              </w:rPr>
            </w:pPr>
            <w:r w:rsidRPr="005672EE">
              <w:rPr>
                <w:sz w:val="22"/>
                <w:szCs w:val="22"/>
              </w:rPr>
              <w:t>10</w:t>
            </w:r>
            <w:r w:rsidR="000003FD" w:rsidRPr="005672EE">
              <w:rPr>
                <w:sz w:val="22"/>
                <w:szCs w:val="22"/>
              </w:rPr>
              <w:t xml:space="preserve"> </w:t>
            </w:r>
            <w:r w:rsidRPr="005672EE">
              <w:rPr>
                <w:sz w:val="22"/>
                <w:szCs w:val="22"/>
              </w:rPr>
              <w:t>%</w:t>
            </w:r>
          </w:p>
        </w:tc>
        <w:tc>
          <w:tcPr>
            <w:tcW w:w="1450" w:type="dxa"/>
          </w:tcPr>
          <w:p w:rsidR="00D32B77" w:rsidRPr="005672EE" w:rsidRDefault="00D32B77" w:rsidP="00D32B77">
            <w:pPr>
              <w:spacing w:before="20" w:after="20"/>
              <w:jc w:val="center"/>
              <w:rPr>
                <w:sz w:val="22"/>
                <w:szCs w:val="22"/>
              </w:rPr>
            </w:pPr>
            <w:r w:rsidRPr="005672EE">
              <w:rPr>
                <w:sz w:val="22"/>
                <w:szCs w:val="22"/>
              </w:rPr>
              <w:t>40 %</w:t>
            </w:r>
          </w:p>
        </w:tc>
        <w:tc>
          <w:tcPr>
            <w:tcW w:w="1852" w:type="dxa"/>
          </w:tcPr>
          <w:p w:rsidR="00D32B77" w:rsidRPr="005672EE" w:rsidRDefault="00D32B77" w:rsidP="00D32B77">
            <w:pPr>
              <w:spacing w:before="20" w:after="20"/>
              <w:jc w:val="center"/>
              <w:rPr>
                <w:sz w:val="22"/>
                <w:szCs w:val="22"/>
              </w:rPr>
            </w:pPr>
            <w:r w:rsidRPr="005672EE">
              <w:rPr>
                <w:sz w:val="22"/>
                <w:szCs w:val="22"/>
              </w:rPr>
              <w:t>90</w:t>
            </w:r>
            <w:r w:rsidR="000003FD" w:rsidRPr="005672EE">
              <w:rPr>
                <w:sz w:val="22"/>
                <w:szCs w:val="22"/>
              </w:rPr>
              <w:t xml:space="preserve"> </w:t>
            </w:r>
            <w:r w:rsidRPr="005672EE">
              <w:rPr>
                <w:sz w:val="22"/>
                <w:szCs w:val="22"/>
              </w:rPr>
              <w:t>%</w:t>
            </w:r>
          </w:p>
        </w:tc>
      </w:tr>
      <w:tr w:rsidR="00D32B77" w:rsidRPr="005672EE" w:rsidTr="00D32B77">
        <w:trPr>
          <w:cantSplit/>
          <w:trHeight w:val="227"/>
          <w:jc w:val="center"/>
        </w:trPr>
        <w:tc>
          <w:tcPr>
            <w:tcW w:w="0" w:type="auto"/>
            <w:vMerge/>
            <w:vAlign w:val="center"/>
          </w:tcPr>
          <w:p w:rsidR="00D32B77" w:rsidRPr="005672EE" w:rsidRDefault="00D32B77" w:rsidP="00D32B77">
            <w:pPr>
              <w:rPr>
                <w:sz w:val="22"/>
                <w:szCs w:val="22"/>
              </w:rPr>
            </w:pPr>
          </w:p>
        </w:tc>
        <w:tc>
          <w:tcPr>
            <w:tcW w:w="1302" w:type="dxa"/>
          </w:tcPr>
          <w:p w:rsidR="00D32B77" w:rsidRPr="005672EE" w:rsidRDefault="00D32B77" w:rsidP="00D32B77">
            <w:pPr>
              <w:spacing w:before="20" w:after="20"/>
              <w:jc w:val="center"/>
              <w:rPr>
                <w:sz w:val="22"/>
                <w:szCs w:val="22"/>
              </w:rPr>
            </w:pPr>
            <w:r w:rsidRPr="005672EE">
              <w:rPr>
                <w:sz w:val="22"/>
                <w:szCs w:val="22"/>
              </w:rPr>
              <w:t>Zemgale</w:t>
            </w:r>
          </w:p>
        </w:tc>
        <w:tc>
          <w:tcPr>
            <w:tcW w:w="1450" w:type="dxa"/>
          </w:tcPr>
          <w:p w:rsidR="00D32B77" w:rsidRPr="005672EE" w:rsidRDefault="00D32B77" w:rsidP="00D32B77">
            <w:pPr>
              <w:spacing w:before="20" w:after="20"/>
              <w:jc w:val="center"/>
              <w:rPr>
                <w:sz w:val="22"/>
                <w:szCs w:val="22"/>
              </w:rPr>
            </w:pPr>
            <w:r w:rsidRPr="005672EE">
              <w:rPr>
                <w:sz w:val="22"/>
                <w:szCs w:val="22"/>
              </w:rPr>
              <w:t>10</w:t>
            </w:r>
            <w:r w:rsidR="000003FD" w:rsidRPr="005672EE">
              <w:rPr>
                <w:sz w:val="22"/>
                <w:szCs w:val="22"/>
              </w:rPr>
              <w:t xml:space="preserve"> </w:t>
            </w:r>
            <w:r w:rsidRPr="005672EE">
              <w:rPr>
                <w:sz w:val="22"/>
                <w:szCs w:val="22"/>
              </w:rPr>
              <w:t>%</w:t>
            </w:r>
          </w:p>
        </w:tc>
        <w:tc>
          <w:tcPr>
            <w:tcW w:w="1450" w:type="dxa"/>
          </w:tcPr>
          <w:p w:rsidR="00D32B77" w:rsidRPr="005672EE" w:rsidRDefault="00D32B77" w:rsidP="00D32B77">
            <w:pPr>
              <w:spacing w:before="20" w:after="20"/>
              <w:jc w:val="center"/>
              <w:rPr>
                <w:sz w:val="22"/>
                <w:szCs w:val="22"/>
              </w:rPr>
            </w:pPr>
            <w:r w:rsidRPr="005672EE">
              <w:rPr>
                <w:sz w:val="22"/>
                <w:szCs w:val="22"/>
              </w:rPr>
              <w:t>40</w:t>
            </w:r>
            <w:r w:rsidR="000003FD" w:rsidRPr="005672EE">
              <w:rPr>
                <w:sz w:val="22"/>
                <w:szCs w:val="22"/>
              </w:rPr>
              <w:t xml:space="preserve"> </w:t>
            </w:r>
            <w:r w:rsidRPr="005672EE">
              <w:rPr>
                <w:sz w:val="22"/>
                <w:szCs w:val="22"/>
              </w:rPr>
              <w:t>%</w:t>
            </w:r>
          </w:p>
        </w:tc>
        <w:tc>
          <w:tcPr>
            <w:tcW w:w="1852" w:type="dxa"/>
          </w:tcPr>
          <w:p w:rsidR="00D32B77" w:rsidRPr="005672EE" w:rsidRDefault="00D32B77" w:rsidP="00D32B77">
            <w:pPr>
              <w:spacing w:before="20" w:after="20"/>
              <w:jc w:val="center"/>
              <w:rPr>
                <w:sz w:val="22"/>
                <w:szCs w:val="22"/>
              </w:rPr>
            </w:pPr>
            <w:r w:rsidRPr="005672EE">
              <w:rPr>
                <w:sz w:val="22"/>
                <w:szCs w:val="22"/>
              </w:rPr>
              <w:t>90</w:t>
            </w:r>
            <w:r w:rsidR="000003FD" w:rsidRPr="005672EE">
              <w:rPr>
                <w:sz w:val="22"/>
                <w:szCs w:val="22"/>
              </w:rPr>
              <w:t xml:space="preserve"> </w:t>
            </w:r>
            <w:r w:rsidRPr="005672EE">
              <w:rPr>
                <w:sz w:val="22"/>
                <w:szCs w:val="22"/>
              </w:rPr>
              <w:t>%</w:t>
            </w:r>
          </w:p>
        </w:tc>
      </w:tr>
      <w:tr w:rsidR="00D32B77" w:rsidRPr="005672EE" w:rsidTr="00D32B77">
        <w:trPr>
          <w:cantSplit/>
          <w:trHeight w:val="227"/>
          <w:jc w:val="center"/>
        </w:trPr>
        <w:tc>
          <w:tcPr>
            <w:tcW w:w="0" w:type="auto"/>
            <w:vMerge/>
            <w:vAlign w:val="center"/>
          </w:tcPr>
          <w:p w:rsidR="00D32B77" w:rsidRPr="005672EE" w:rsidRDefault="00D32B77" w:rsidP="00D32B77">
            <w:pPr>
              <w:rPr>
                <w:sz w:val="22"/>
                <w:szCs w:val="22"/>
              </w:rPr>
            </w:pPr>
          </w:p>
        </w:tc>
        <w:tc>
          <w:tcPr>
            <w:tcW w:w="1302" w:type="dxa"/>
          </w:tcPr>
          <w:p w:rsidR="00D32B77" w:rsidRPr="005672EE" w:rsidRDefault="00D32B77" w:rsidP="00D32B77">
            <w:pPr>
              <w:spacing w:before="20" w:after="20"/>
              <w:jc w:val="center"/>
              <w:rPr>
                <w:sz w:val="22"/>
                <w:szCs w:val="22"/>
              </w:rPr>
            </w:pPr>
            <w:r w:rsidRPr="005672EE">
              <w:rPr>
                <w:sz w:val="22"/>
                <w:szCs w:val="22"/>
              </w:rPr>
              <w:t>Latgale</w:t>
            </w:r>
          </w:p>
        </w:tc>
        <w:tc>
          <w:tcPr>
            <w:tcW w:w="1450" w:type="dxa"/>
          </w:tcPr>
          <w:p w:rsidR="00D32B77" w:rsidRPr="005672EE" w:rsidRDefault="00D32B77" w:rsidP="00D32B77">
            <w:pPr>
              <w:spacing w:before="20" w:after="20"/>
              <w:jc w:val="center"/>
              <w:rPr>
                <w:sz w:val="22"/>
                <w:szCs w:val="22"/>
              </w:rPr>
            </w:pPr>
            <w:r w:rsidRPr="005672EE">
              <w:rPr>
                <w:sz w:val="22"/>
                <w:szCs w:val="22"/>
              </w:rPr>
              <w:t>10</w:t>
            </w:r>
            <w:r w:rsidR="000003FD" w:rsidRPr="005672EE">
              <w:rPr>
                <w:sz w:val="22"/>
                <w:szCs w:val="22"/>
              </w:rPr>
              <w:t xml:space="preserve"> </w:t>
            </w:r>
            <w:r w:rsidRPr="005672EE">
              <w:rPr>
                <w:sz w:val="22"/>
                <w:szCs w:val="22"/>
              </w:rPr>
              <w:t>%</w:t>
            </w:r>
          </w:p>
        </w:tc>
        <w:tc>
          <w:tcPr>
            <w:tcW w:w="1450" w:type="dxa"/>
          </w:tcPr>
          <w:p w:rsidR="00D32B77" w:rsidRPr="005672EE" w:rsidRDefault="00D32B77" w:rsidP="00D32B77">
            <w:pPr>
              <w:spacing w:before="20" w:after="20"/>
              <w:jc w:val="center"/>
              <w:rPr>
                <w:sz w:val="22"/>
                <w:szCs w:val="22"/>
              </w:rPr>
            </w:pPr>
            <w:r w:rsidRPr="005672EE">
              <w:rPr>
                <w:sz w:val="22"/>
                <w:szCs w:val="22"/>
              </w:rPr>
              <w:t>40</w:t>
            </w:r>
            <w:r w:rsidR="000003FD" w:rsidRPr="005672EE">
              <w:rPr>
                <w:sz w:val="22"/>
                <w:szCs w:val="22"/>
              </w:rPr>
              <w:t xml:space="preserve"> </w:t>
            </w:r>
            <w:r w:rsidRPr="005672EE">
              <w:rPr>
                <w:sz w:val="22"/>
                <w:szCs w:val="22"/>
              </w:rPr>
              <w:t>%</w:t>
            </w:r>
          </w:p>
        </w:tc>
        <w:tc>
          <w:tcPr>
            <w:tcW w:w="1852" w:type="dxa"/>
          </w:tcPr>
          <w:p w:rsidR="00D32B77" w:rsidRPr="005672EE" w:rsidRDefault="00D32B77" w:rsidP="00D32B77">
            <w:pPr>
              <w:spacing w:before="20" w:after="20"/>
              <w:jc w:val="center"/>
              <w:rPr>
                <w:sz w:val="22"/>
                <w:szCs w:val="22"/>
              </w:rPr>
            </w:pPr>
            <w:r w:rsidRPr="005672EE">
              <w:rPr>
                <w:sz w:val="22"/>
                <w:szCs w:val="22"/>
              </w:rPr>
              <w:t>90</w:t>
            </w:r>
            <w:r w:rsidR="000003FD" w:rsidRPr="005672EE">
              <w:rPr>
                <w:sz w:val="22"/>
                <w:szCs w:val="22"/>
              </w:rPr>
              <w:t xml:space="preserve"> </w:t>
            </w:r>
            <w:r w:rsidRPr="005672EE">
              <w:rPr>
                <w:sz w:val="22"/>
                <w:szCs w:val="22"/>
              </w:rPr>
              <w:t>%</w:t>
            </w:r>
          </w:p>
        </w:tc>
      </w:tr>
    </w:tbl>
    <w:p w:rsidR="002F3DEE" w:rsidRDefault="002F3DEE" w:rsidP="00127404">
      <w:pPr>
        <w:pStyle w:val="tv2132"/>
        <w:spacing w:line="240" w:lineRule="auto"/>
        <w:ind w:firstLine="720"/>
        <w:jc w:val="both"/>
        <w:rPr>
          <w:color w:val="auto"/>
          <w:sz w:val="24"/>
          <w:szCs w:val="24"/>
        </w:rPr>
      </w:pPr>
    </w:p>
    <w:p w:rsidR="00915A59" w:rsidRDefault="00915A59" w:rsidP="00127404">
      <w:pPr>
        <w:pStyle w:val="tv2132"/>
        <w:spacing w:line="240" w:lineRule="auto"/>
        <w:ind w:firstLine="720"/>
        <w:jc w:val="both"/>
        <w:rPr>
          <w:color w:val="auto"/>
          <w:sz w:val="24"/>
          <w:szCs w:val="24"/>
        </w:rPr>
      </w:pPr>
      <w:r>
        <w:rPr>
          <w:color w:val="auto"/>
          <w:sz w:val="24"/>
          <w:szCs w:val="24"/>
        </w:rPr>
        <w:t xml:space="preserve">Attiecībā uz iznākuma rādītāja sasniegšanu reģionālā griezumā </w:t>
      </w:r>
      <w:r w:rsidR="008F1977">
        <w:rPr>
          <w:color w:val="auto"/>
          <w:sz w:val="24"/>
          <w:szCs w:val="24"/>
        </w:rPr>
        <w:t xml:space="preserve">jāatzīmē, ka </w:t>
      </w:r>
      <w:r>
        <w:rPr>
          <w:color w:val="auto"/>
          <w:sz w:val="24"/>
          <w:szCs w:val="24"/>
        </w:rPr>
        <w:t xml:space="preserve">koledžu īstenotie projekti sniedz sekojošu ieguldījumu: Kurzeme – 1, Latgale – 2, Rīgas reģions – 3, Rīga – 5 augstākās izglītības institūcijas, kurās modernizēta </w:t>
      </w:r>
      <w:r w:rsidRPr="00915A59">
        <w:rPr>
          <w:color w:val="auto"/>
          <w:sz w:val="24"/>
          <w:szCs w:val="24"/>
        </w:rPr>
        <w:t xml:space="preserve">infrastruktūra un mācību </w:t>
      </w:r>
      <w:r w:rsidRPr="00915A59">
        <w:rPr>
          <w:color w:val="auto"/>
          <w:sz w:val="24"/>
          <w:szCs w:val="24"/>
        </w:rPr>
        <w:lastRenderedPageBreak/>
        <w:t>aprīkojums</w:t>
      </w:r>
      <w:r>
        <w:rPr>
          <w:color w:val="auto"/>
          <w:sz w:val="24"/>
          <w:szCs w:val="24"/>
        </w:rPr>
        <w:t>. Savukārt Vidzemē un Zemgalē netika īstenot</w:t>
      </w:r>
      <w:r w:rsidR="008F1977">
        <w:rPr>
          <w:color w:val="auto"/>
          <w:sz w:val="24"/>
          <w:szCs w:val="24"/>
        </w:rPr>
        <w:t>i</w:t>
      </w:r>
      <w:r>
        <w:rPr>
          <w:color w:val="auto"/>
          <w:sz w:val="24"/>
          <w:szCs w:val="24"/>
        </w:rPr>
        <w:t xml:space="preserve"> </w:t>
      </w:r>
      <w:r w:rsidR="008F1977">
        <w:rPr>
          <w:color w:val="auto"/>
          <w:sz w:val="24"/>
          <w:szCs w:val="24"/>
        </w:rPr>
        <w:t>projekti, kas sniedz atbalstu koledžas infrastruktūras</w:t>
      </w:r>
      <w:r w:rsidR="008F1977" w:rsidRPr="008F1977">
        <w:rPr>
          <w:color w:val="auto"/>
          <w:sz w:val="24"/>
          <w:szCs w:val="24"/>
        </w:rPr>
        <w:t xml:space="preserve"> </w:t>
      </w:r>
      <w:r w:rsidR="008F1977">
        <w:rPr>
          <w:color w:val="auto"/>
          <w:sz w:val="24"/>
          <w:szCs w:val="24"/>
        </w:rPr>
        <w:t>modernizācijai.</w:t>
      </w:r>
      <w:r w:rsidR="008F1977">
        <w:rPr>
          <w:rStyle w:val="FootnoteReference"/>
          <w:color w:val="auto"/>
          <w:sz w:val="24"/>
          <w:szCs w:val="24"/>
        </w:rPr>
        <w:footnoteReference w:id="43"/>
      </w:r>
      <w:r w:rsidR="008F1977">
        <w:rPr>
          <w:color w:val="auto"/>
          <w:sz w:val="24"/>
          <w:szCs w:val="24"/>
        </w:rPr>
        <w:t xml:space="preserve"> Šajos plānošanas reģionos atbalsts tika sniegts augstskolu modernizācijai.</w:t>
      </w:r>
    </w:p>
    <w:p w:rsidR="00616164" w:rsidRDefault="00616164" w:rsidP="00127404">
      <w:pPr>
        <w:pStyle w:val="tv2132"/>
        <w:spacing w:line="240" w:lineRule="auto"/>
        <w:ind w:firstLine="720"/>
        <w:jc w:val="both"/>
        <w:rPr>
          <w:color w:val="auto"/>
          <w:sz w:val="24"/>
          <w:szCs w:val="24"/>
        </w:rPr>
      </w:pPr>
      <w:r w:rsidRPr="00D643EC">
        <w:rPr>
          <w:color w:val="auto"/>
          <w:sz w:val="24"/>
          <w:szCs w:val="24"/>
        </w:rPr>
        <w:t>Neskatoties uz to, ka projek</w:t>
      </w:r>
      <w:r>
        <w:rPr>
          <w:color w:val="auto"/>
          <w:sz w:val="24"/>
          <w:szCs w:val="24"/>
        </w:rPr>
        <w:t>tu iesniegumu atlase 3.1.2.1.1.</w:t>
      </w:r>
      <w:r w:rsidRPr="00D643EC">
        <w:rPr>
          <w:color w:val="auto"/>
          <w:sz w:val="24"/>
          <w:szCs w:val="24"/>
        </w:rPr>
        <w:t>apakšaktivitātes ietvaros tika organizēta ierobežot</w:t>
      </w:r>
      <w:r>
        <w:rPr>
          <w:color w:val="auto"/>
          <w:sz w:val="24"/>
          <w:szCs w:val="24"/>
        </w:rPr>
        <w:t>as projektu iesniegumu atlases</w:t>
      </w:r>
      <w:r w:rsidRPr="00D643EC">
        <w:rPr>
          <w:color w:val="auto"/>
          <w:sz w:val="24"/>
          <w:szCs w:val="24"/>
        </w:rPr>
        <w:t xml:space="preserve"> veidā, lai </w:t>
      </w:r>
      <w:r w:rsidR="00BB04D8">
        <w:rPr>
          <w:color w:val="auto"/>
          <w:sz w:val="24"/>
          <w:szCs w:val="24"/>
        </w:rPr>
        <w:t>projekta iesniegumu</w:t>
      </w:r>
      <w:r>
        <w:rPr>
          <w:color w:val="auto"/>
          <w:sz w:val="24"/>
          <w:szCs w:val="24"/>
        </w:rPr>
        <w:t xml:space="preserve"> saskaņā ar projektu iesniegumu vērtēšanas kritērijiem varētu apstiprināt</w:t>
      </w:r>
      <w:r w:rsidRPr="00D643EC">
        <w:rPr>
          <w:color w:val="auto"/>
          <w:sz w:val="24"/>
          <w:szCs w:val="24"/>
        </w:rPr>
        <w:t>,</w:t>
      </w:r>
      <w:r>
        <w:rPr>
          <w:color w:val="auto"/>
          <w:sz w:val="24"/>
          <w:szCs w:val="24"/>
        </w:rPr>
        <w:t xml:space="preserve"> projektu iesniedzējiem</w:t>
      </w:r>
      <w:r w:rsidR="005672EE">
        <w:rPr>
          <w:color w:val="auto"/>
          <w:sz w:val="24"/>
          <w:szCs w:val="24"/>
        </w:rPr>
        <w:t xml:space="preserve"> –</w:t>
      </w:r>
      <w:r>
        <w:rPr>
          <w:color w:val="auto"/>
          <w:sz w:val="24"/>
          <w:szCs w:val="24"/>
        </w:rPr>
        <w:t xml:space="preserve"> augstskolām</w:t>
      </w:r>
      <w:r w:rsidR="005672EE">
        <w:rPr>
          <w:color w:val="auto"/>
          <w:sz w:val="24"/>
          <w:szCs w:val="24"/>
        </w:rPr>
        <w:t xml:space="preserve"> </w:t>
      </w:r>
      <w:r>
        <w:rPr>
          <w:color w:val="auto"/>
          <w:sz w:val="24"/>
          <w:szCs w:val="24"/>
        </w:rPr>
        <w:t xml:space="preserve">un koledžām, bija jāizpilda </w:t>
      </w:r>
      <w:r w:rsidR="0070215B">
        <w:rPr>
          <w:color w:val="auto"/>
          <w:sz w:val="24"/>
          <w:szCs w:val="24"/>
        </w:rPr>
        <w:t xml:space="preserve">konkrēti </w:t>
      </w:r>
      <w:r>
        <w:rPr>
          <w:color w:val="auto"/>
          <w:sz w:val="24"/>
          <w:szCs w:val="24"/>
        </w:rPr>
        <w:t>nosacījumi. No 15 kvalitātes kritērijiem 8 kritēriji bija izslēdzoši, t.i., bija noteikt</w:t>
      </w:r>
      <w:r w:rsidR="00BB04D8">
        <w:rPr>
          <w:color w:val="auto"/>
          <w:sz w:val="24"/>
          <w:szCs w:val="24"/>
        </w:rPr>
        <w:t>a</w:t>
      </w:r>
      <w:r>
        <w:rPr>
          <w:color w:val="auto"/>
          <w:sz w:val="24"/>
          <w:szCs w:val="24"/>
        </w:rPr>
        <w:t>s minimāl</w:t>
      </w:r>
      <w:r w:rsidR="00BB04D8">
        <w:rPr>
          <w:color w:val="auto"/>
          <w:sz w:val="24"/>
          <w:szCs w:val="24"/>
        </w:rPr>
        <w:t>ā</w:t>
      </w:r>
      <w:r>
        <w:rPr>
          <w:color w:val="auto"/>
          <w:sz w:val="24"/>
          <w:szCs w:val="24"/>
        </w:rPr>
        <w:t xml:space="preserve">s </w:t>
      </w:r>
      <w:r w:rsidR="00BB04D8">
        <w:rPr>
          <w:color w:val="auto"/>
          <w:sz w:val="24"/>
          <w:szCs w:val="24"/>
        </w:rPr>
        <w:t>prasības</w:t>
      </w:r>
      <w:r>
        <w:rPr>
          <w:color w:val="auto"/>
          <w:sz w:val="24"/>
          <w:szCs w:val="24"/>
        </w:rPr>
        <w:t>, kas jā</w:t>
      </w:r>
      <w:r w:rsidR="00BB04D8">
        <w:rPr>
          <w:color w:val="auto"/>
          <w:sz w:val="24"/>
          <w:szCs w:val="24"/>
        </w:rPr>
        <w:t>izpilda, un līdz ar to minimālais punktu skaits, kas jāsasniedz</w:t>
      </w:r>
      <w:r>
        <w:rPr>
          <w:color w:val="auto"/>
          <w:sz w:val="24"/>
          <w:szCs w:val="24"/>
        </w:rPr>
        <w:t xml:space="preserve">, lai projektu apstiprinātu. </w:t>
      </w:r>
      <w:r w:rsidR="00BB04D8">
        <w:rPr>
          <w:color w:val="auto"/>
          <w:sz w:val="24"/>
          <w:szCs w:val="24"/>
        </w:rPr>
        <w:t xml:space="preserve">Izslēdzošie kvalitātes kritēriji veidoja 50% no nepieciešamā kopējā punktu skaita, lai projektu apstiprinātu. </w:t>
      </w:r>
      <w:r>
        <w:rPr>
          <w:color w:val="auto"/>
          <w:sz w:val="24"/>
          <w:szCs w:val="24"/>
        </w:rPr>
        <w:t>Pārējie</w:t>
      </w:r>
      <w:r w:rsidR="00BB04D8">
        <w:rPr>
          <w:color w:val="auto"/>
          <w:sz w:val="24"/>
          <w:szCs w:val="24"/>
        </w:rPr>
        <w:t xml:space="preserve"> 7 kvalitātes </w:t>
      </w:r>
      <w:r>
        <w:rPr>
          <w:color w:val="auto"/>
          <w:sz w:val="24"/>
          <w:szCs w:val="24"/>
        </w:rPr>
        <w:t>kritēriji nebija izslēdzoši</w:t>
      </w:r>
      <w:r w:rsidR="00BB04D8">
        <w:rPr>
          <w:color w:val="auto"/>
          <w:sz w:val="24"/>
          <w:szCs w:val="24"/>
        </w:rPr>
        <w:t xml:space="preserve"> un</w:t>
      </w:r>
      <w:r>
        <w:rPr>
          <w:color w:val="auto"/>
          <w:sz w:val="24"/>
          <w:szCs w:val="24"/>
        </w:rPr>
        <w:t xml:space="preserve"> ar tiem varēja iegū</w:t>
      </w:r>
      <w:r w:rsidR="00BB04D8">
        <w:rPr>
          <w:color w:val="auto"/>
          <w:sz w:val="24"/>
          <w:szCs w:val="24"/>
        </w:rPr>
        <w:t>t atlikušos nepieciešamos 50% no nepieciešamā kopējā punktu skaita.</w:t>
      </w:r>
      <w:r w:rsidR="00BB04D8">
        <w:rPr>
          <w:rStyle w:val="FootnoteReference"/>
          <w:color w:val="auto"/>
          <w:sz w:val="24"/>
          <w:szCs w:val="24"/>
        </w:rPr>
        <w:footnoteReference w:id="44"/>
      </w:r>
    </w:p>
    <w:p w:rsidR="00782832" w:rsidRPr="00782832" w:rsidRDefault="00BB04D8" w:rsidP="00127404">
      <w:pPr>
        <w:pStyle w:val="tv2132"/>
        <w:spacing w:line="240" w:lineRule="auto"/>
        <w:ind w:firstLine="720"/>
        <w:jc w:val="both"/>
        <w:rPr>
          <w:color w:val="auto"/>
          <w:sz w:val="24"/>
          <w:szCs w:val="24"/>
        </w:rPr>
      </w:pPr>
      <w:r w:rsidRPr="00D643EC">
        <w:rPr>
          <w:color w:val="auto"/>
          <w:sz w:val="24"/>
          <w:szCs w:val="24"/>
        </w:rPr>
        <w:t>Lai nodrošinātu nozares efektīvu izaugsmi, augstākās izglītības institūcijām, t.sk. koledžām</w:t>
      </w:r>
      <w:r>
        <w:rPr>
          <w:color w:val="auto"/>
          <w:sz w:val="24"/>
          <w:szCs w:val="24"/>
        </w:rPr>
        <w:t>,</w:t>
      </w:r>
      <w:r w:rsidRPr="00D643EC">
        <w:rPr>
          <w:color w:val="auto"/>
          <w:sz w:val="24"/>
          <w:szCs w:val="24"/>
        </w:rPr>
        <w:t xml:space="preserve"> bija jāizstrādā </w:t>
      </w:r>
      <w:r w:rsidRPr="0024209B">
        <w:rPr>
          <w:b/>
          <w:color w:val="auto"/>
          <w:sz w:val="24"/>
          <w:szCs w:val="24"/>
        </w:rPr>
        <w:t>augstākās izglītības institūcijas darbības un attīstības ilgtermiņa stratēģijas 2009.–2015.gadam.</w:t>
      </w:r>
      <w:r>
        <w:rPr>
          <w:color w:val="auto"/>
          <w:sz w:val="24"/>
          <w:szCs w:val="24"/>
        </w:rPr>
        <w:t xml:space="preserve"> </w:t>
      </w:r>
      <w:r w:rsidR="00782832">
        <w:rPr>
          <w:color w:val="auto"/>
          <w:sz w:val="24"/>
          <w:szCs w:val="24"/>
        </w:rPr>
        <w:t xml:space="preserve">Ar projektu iesniegumu vērtēšanas kritērijiem tika izvirzīts nosacījums, ka plānotajam ERAF </w:t>
      </w:r>
      <w:r w:rsidR="00782832" w:rsidRPr="00782832">
        <w:rPr>
          <w:color w:val="auto"/>
          <w:sz w:val="24"/>
          <w:szCs w:val="24"/>
        </w:rPr>
        <w:t xml:space="preserve">ieguldījumam augstākās izglītības institūcijas infrastruktūras modernizācijā </w:t>
      </w:r>
      <w:r w:rsidR="00782832">
        <w:rPr>
          <w:color w:val="auto"/>
          <w:sz w:val="24"/>
          <w:szCs w:val="24"/>
        </w:rPr>
        <w:t>jā</w:t>
      </w:r>
      <w:r w:rsidR="00782832" w:rsidRPr="00782832">
        <w:rPr>
          <w:color w:val="auto"/>
          <w:sz w:val="24"/>
          <w:szCs w:val="24"/>
        </w:rPr>
        <w:t>atbilst izstrādātajai augstākās izglītības institūcijas darbības un attīstības ilgtermiņa stratēģijai 2009.–2015.gadam.</w:t>
      </w:r>
    </w:p>
    <w:p w:rsidR="003969AB" w:rsidRPr="0024017D" w:rsidRDefault="003969AB" w:rsidP="0024017D">
      <w:pPr>
        <w:pStyle w:val="tv2132"/>
        <w:spacing w:line="240" w:lineRule="auto"/>
        <w:ind w:firstLine="720"/>
        <w:jc w:val="both"/>
        <w:rPr>
          <w:color w:val="auto"/>
          <w:sz w:val="24"/>
          <w:szCs w:val="24"/>
        </w:rPr>
      </w:pPr>
      <w:r w:rsidRPr="0024017D">
        <w:rPr>
          <w:color w:val="auto"/>
          <w:sz w:val="24"/>
          <w:szCs w:val="24"/>
        </w:rPr>
        <w:t xml:space="preserve"> </w:t>
      </w:r>
      <w:r w:rsidR="00942049">
        <w:rPr>
          <w:color w:val="auto"/>
          <w:sz w:val="24"/>
          <w:szCs w:val="24"/>
        </w:rPr>
        <w:t>A</w:t>
      </w:r>
      <w:r w:rsidR="00942049" w:rsidRPr="00782832">
        <w:rPr>
          <w:color w:val="auto"/>
          <w:sz w:val="24"/>
          <w:szCs w:val="24"/>
        </w:rPr>
        <w:t>ugstākās izglītības institūcijas darbības un attīstības ilgtermiņa</w:t>
      </w:r>
      <w:r w:rsidR="00942049" w:rsidRPr="0024017D">
        <w:rPr>
          <w:color w:val="auto"/>
          <w:sz w:val="24"/>
          <w:szCs w:val="24"/>
        </w:rPr>
        <w:t xml:space="preserve"> </w:t>
      </w:r>
      <w:r w:rsidR="00942049">
        <w:rPr>
          <w:color w:val="auto"/>
          <w:sz w:val="24"/>
          <w:szCs w:val="24"/>
        </w:rPr>
        <w:t>s</w:t>
      </w:r>
      <w:r w:rsidR="000251BE" w:rsidRPr="0024017D">
        <w:rPr>
          <w:color w:val="auto"/>
          <w:sz w:val="24"/>
          <w:szCs w:val="24"/>
        </w:rPr>
        <w:t>tratēģijā</w:t>
      </w:r>
      <w:r w:rsidRPr="0024017D">
        <w:rPr>
          <w:color w:val="auto"/>
          <w:sz w:val="24"/>
          <w:szCs w:val="24"/>
        </w:rPr>
        <w:t xml:space="preserve"> </w:t>
      </w:r>
      <w:r w:rsidRPr="00942049">
        <w:rPr>
          <w:color w:val="auto"/>
          <w:sz w:val="24"/>
          <w:szCs w:val="24"/>
        </w:rPr>
        <w:t>bija j</w:t>
      </w:r>
      <w:r w:rsidR="001E08EA" w:rsidRPr="00942049">
        <w:rPr>
          <w:color w:val="auto"/>
          <w:sz w:val="24"/>
          <w:szCs w:val="24"/>
        </w:rPr>
        <w:t>āparedz</w:t>
      </w:r>
      <w:r w:rsidR="0024017D" w:rsidRPr="00942049">
        <w:rPr>
          <w:color w:val="auto"/>
          <w:sz w:val="24"/>
          <w:szCs w:val="24"/>
        </w:rPr>
        <w:t xml:space="preserve"> </w:t>
      </w:r>
      <w:r w:rsidRPr="00942049">
        <w:rPr>
          <w:color w:val="auto"/>
          <w:sz w:val="24"/>
          <w:szCs w:val="24"/>
        </w:rPr>
        <w:t>situācijas analīze</w:t>
      </w:r>
      <w:r w:rsidR="0024017D" w:rsidRPr="00942049">
        <w:rPr>
          <w:color w:val="auto"/>
          <w:sz w:val="24"/>
          <w:szCs w:val="24"/>
        </w:rPr>
        <w:t>,</w:t>
      </w:r>
      <w:r w:rsidR="00D77D5B" w:rsidRPr="00942049">
        <w:rPr>
          <w:color w:val="auto"/>
          <w:sz w:val="24"/>
          <w:szCs w:val="24"/>
        </w:rPr>
        <w:t xml:space="preserve"> ietverot</w:t>
      </w:r>
      <w:r w:rsidR="00942049" w:rsidRPr="00942049">
        <w:rPr>
          <w:color w:val="auto"/>
          <w:sz w:val="24"/>
          <w:szCs w:val="24"/>
        </w:rPr>
        <w:t xml:space="preserve"> sekojošus aspektus</w:t>
      </w:r>
      <w:r w:rsidRPr="0024017D">
        <w:rPr>
          <w:color w:val="auto"/>
          <w:sz w:val="24"/>
          <w:szCs w:val="24"/>
        </w:rPr>
        <w:t>:</w:t>
      </w:r>
    </w:p>
    <w:p w:rsidR="0024017D" w:rsidRPr="0024017D" w:rsidRDefault="0024017D" w:rsidP="00722156">
      <w:pPr>
        <w:pStyle w:val="tv2132"/>
        <w:numPr>
          <w:ilvl w:val="0"/>
          <w:numId w:val="9"/>
        </w:numPr>
        <w:spacing w:line="240" w:lineRule="auto"/>
        <w:jc w:val="both"/>
        <w:rPr>
          <w:color w:val="auto"/>
          <w:sz w:val="24"/>
          <w:szCs w:val="24"/>
        </w:rPr>
      </w:pPr>
      <w:r w:rsidRPr="0024017D">
        <w:rPr>
          <w:color w:val="auto"/>
          <w:sz w:val="24"/>
          <w:szCs w:val="24"/>
        </w:rPr>
        <w:t>analizētas tautsaimniecības un darba tirgus galvenās attīstības tendences saistībā ar augstākās izglītības institūcijā īstenotajiem studiju virzieniem un zinātnisko darbu;</w:t>
      </w:r>
    </w:p>
    <w:p w:rsidR="0024017D" w:rsidRPr="0024017D" w:rsidRDefault="0024017D" w:rsidP="00722156">
      <w:pPr>
        <w:pStyle w:val="tv2132"/>
        <w:numPr>
          <w:ilvl w:val="0"/>
          <w:numId w:val="9"/>
        </w:numPr>
        <w:spacing w:line="240" w:lineRule="auto"/>
        <w:jc w:val="both"/>
        <w:rPr>
          <w:color w:val="auto"/>
          <w:sz w:val="24"/>
          <w:szCs w:val="24"/>
        </w:rPr>
      </w:pPr>
      <w:r w:rsidRPr="0024017D">
        <w:rPr>
          <w:color w:val="auto"/>
          <w:sz w:val="24"/>
          <w:szCs w:val="24"/>
        </w:rPr>
        <w:t>izvērtēta augstākās izglītības institūcijas pašreizējā darbības efektivitāte, raksturojot konkrētus parametrus un to raksturlielumus: studējošo skaits un studiju programmu efektivitāte (grādu un kvalifikāciju ieguvušo skaita un imatrikulēto personu skaita attiecība), akadēmiskā personāla kvalifikācija, materiāltehniskais nodrošinājums, telpu un iekārtu izmantošanas intensitāte, galvenie ERAF un Eiropas Sociālā fonda (turpmāk – ESF) projektu ieguvumi 2004.–2006.gada plānošanas periodā (attiecināms, ja projekta iesniedzējs ir saņēmis 2004.–2006.gada plānošanas perioda Eiropas Savienības struktūrfondu atbalstu);</w:t>
      </w:r>
    </w:p>
    <w:p w:rsidR="0024017D" w:rsidRPr="0024017D" w:rsidRDefault="0024017D" w:rsidP="00722156">
      <w:pPr>
        <w:pStyle w:val="tv2132"/>
        <w:numPr>
          <w:ilvl w:val="0"/>
          <w:numId w:val="9"/>
        </w:numPr>
        <w:spacing w:line="240" w:lineRule="auto"/>
        <w:jc w:val="both"/>
        <w:rPr>
          <w:color w:val="auto"/>
          <w:sz w:val="24"/>
          <w:szCs w:val="24"/>
        </w:rPr>
      </w:pPr>
      <w:r w:rsidRPr="0024017D">
        <w:rPr>
          <w:color w:val="auto"/>
          <w:sz w:val="24"/>
          <w:szCs w:val="24"/>
        </w:rPr>
        <w:t>izvērtēta augstākās izglītības institūcijas pašreizējā iekšzemes un starptautiskā konkurētspēja (studējošo skaita pieauguma dinamika, ārvalstu studējošo un ārvalstu akadēmiskā personāla piesaiste, starptautiskās sadarbības veidi);</w:t>
      </w:r>
    </w:p>
    <w:p w:rsidR="0024017D" w:rsidRDefault="0024017D" w:rsidP="00722156">
      <w:pPr>
        <w:pStyle w:val="tv2132"/>
        <w:numPr>
          <w:ilvl w:val="0"/>
          <w:numId w:val="9"/>
        </w:numPr>
        <w:spacing w:line="240" w:lineRule="auto"/>
        <w:jc w:val="both"/>
        <w:rPr>
          <w:color w:val="auto"/>
          <w:sz w:val="24"/>
          <w:szCs w:val="24"/>
        </w:rPr>
      </w:pPr>
      <w:r w:rsidRPr="0024017D">
        <w:rPr>
          <w:color w:val="auto"/>
          <w:sz w:val="24"/>
          <w:szCs w:val="24"/>
        </w:rPr>
        <w:t>raksturots augstākās izglītības institūcijas līdzšinējais ieguldījums Latvijas Nacionālajā attīstības plānā 2007.–2013.gadam un Lisabonas stratē</w:t>
      </w:r>
      <w:r w:rsidR="00942049">
        <w:rPr>
          <w:color w:val="auto"/>
          <w:sz w:val="24"/>
          <w:szCs w:val="24"/>
        </w:rPr>
        <w:t>ģijā noteikto mērķu sasniegšanā;</w:t>
      </w:r>
    </w:p>
    <w:p w:rsidR="003969AB" w:rsidRDefault="003969AB" w:rsidP="00722156">
      <w:pPr>
        <w:pStyle w:val="tv2132"/>
        <w:numPr>
          <w:ilvl w:val="0"/>
          <w:numId w:val="9"/>
        </w:numPr>
        <w:spacing w:line="240" w:lineRule="auto"/>
        <w:jc w:val="both"/>
        <w:rPr>
          <w:color w:val="auto"/>
          <w:sz w:val="24"/>
          <w:szCs w:val="24"/>
        </w:rPr>
      </w:pPr>
      <w:r w:rsidRPr="00942049">
        <w:rPr>
          <w:color w:val="auto"/>
          <w:sz w:val="24"/>
          <w:szCs w:val="24"/>
        </w:rPr>
        <w:t>noteiktas stiprās un vājās puses, draudi un iespējas;</w:t>
      </w:r>
    </w:p>
    <w:p w:rsidR="003969AB" w:rsidRDefault="003969AB" w:rsidP="00722156">
      <w:pPr>
        <w:pStyle w:val="tv2132"/>
        <w:numPr>
          <w:ilvl w:val="0"/>
          <w:numId w:val="9"/>
        </w:numPr>
        <w:spacing w:line="240" w:lineRule="auto"/>
        <w:jc w:val="both"/>
        <w:rPr>
          <w:color w:val="auto"/>
          <w:sz w:val="24"/>
          <w:szCs w:val="24"/>
        </w:rPr>
      </w:pPr>
      <w:r w:rsidRPr="00942049">
        <w:rPr>
          <w:color w:val="auto"/>
          <w:sz w:val="24"/>
          <w:szCs w:val="24"/>
        </w:rPr>
        <w:t>noteiktas galvenās attīstības vajadzības un darbības virzieni, ņemot vērā tehnoloģiju un inovāciju attīstības virzienus un izvērtējot draudus, tajā skaitā demogrāfisko prognozi;</w:t>
      </w:r>
    </w:p>
    <w:p w:rsidR="003969AB" w:rsidRDefault="003969AB" w:rsidP="00722156">
      <w:pPr>
        <w:pStyle w:val="tv2132"/>
        <w:numPr>
          <w:ilvl w:val="0"/>
          <w:numId w:val="9"/>
        </w:numPr>
        <w:spacing w:line="240" w:lineRule="auto"/>
        <w:jc w:val="both"/>
        <w:rPr>
          <w:color w:val="auto"/>
          <w:sz w:val="24"/>
          <w:szCs w:val="24"/>
        </w:rPr>
      </w:pPr>
      <w:r w:rsidRPr="00942049">
        <w:rPr>
          <w:color w:val="auto"/>
          <w:sz w:val="24"/>
          <w:szCs w:val="24"/>
        </w:rPr>
        <w:t xml:space="preserve">plānoti pamatoti skaitliski izmērāmi darbības rezultāti (studējošo skaita īpatsvara pieaugums prioritārajās studiju jomās, akadēmiskā personāla ar grādu īpatsvara pieaugums, rezultatīvā rādītāja – studiju programmu efektivitāte (grādu un </w:t>
      </w:r>
      <w:r w:rsidRPr="00942049">
        <w:rPr>
          <w:color w:val="auto"/>
          <w:sz w:val="24"/>
          <w:szCs w:val="24"/>
        </w:rPr>
        <w:lastRenderedPageBreak/>
        <w:t>kvalifikāciju ieguvušo skaita un imatrikulēto personu skaita attiecība), to pieaugums, jaunu starpdisciplināru programmu īstenošanai nepieciešamās infrastruktūras izveide);</w:t>
      </w:r>
    </w:p>
    <w:p w:rsidR="003969AB" w:rsidRDefault="003969AB" w:rsidP="00722156">
      <w:pPr>
        <w:pStyle w:val="tv2132"/>
        <w:numPr>
          <w:ilvl w:val="0"/>
          <w:numId w:val="9"/>
        </w:numPr>
        <w:spacing w:line="240" w:lineRule="auto"/>
        <w:ind w:left="714" w:hanging="357"/>
        <w:jc w:val="both"/>
        <w:rPr>
          <w:color w:val="auto"/>
          <w:sz w:val="24"/>
          <w:szCs w:val="24"/>
        </w:rPr>
      </w:pPr>
      <w:r w:rsidRPr="00942049">
        <w:rPr>
          <w:color w:val="auto"/>
          <w:sz w:val="24"/>
          <w:szCs w:val="24"/>
        </w:rPr>
        <w:t xml:space="preserve">pamatota </w:t>
      </w:r>
      <w:r w:rsidR="0024017D" w:rsidRPr="00942049">
        <w:rPr>
          <w:color w:val="auto"/>
          <w:sz w:val="24"/>
          <w:szCs w:val="24"/>
        </w:rPr>
        <w:t>ERAF</w:t>
      </w:r>
      <w:r w:rsidRPr="00942049">
        <w:rPr>
          <w:color w:val="auto"/>
          <w:sz w:val="24"/>
          <w:szCs w:val="24"/>
        </w:rPr>
        <w:t xml:space="preserve"> plānoto ieguldījumu efektivitāte ekonomikas konkurētspējas (iedzīvotāju ekonomiskās aktivitātes, tajā skaitā </w:t>
      </w:r>
      <w:proofErr w:type="spellStart"/>
      <w:r w:rsidRPr="00942049">
        <w:rPr>
          <w:color w:val="auto"/>
          <w:sz w:val="24"/>
          <w:szCs w:val="24"/>
        </w:rPr>
        <w:t>pašnodarbinātības</w:t>
      </w:r>
      <w:proofErr w:type="spellEnd"/>
      <w:r w:rsidRPr="00942049">
        <w:rPr>
          <w:color w:val="auto"/>
          <w:sz w:val="24"/>
          <w:szCs w:val="24"/>
        </w:rPr>
        <w:t xml:space="preserve">, produktivitātes un </w:t>
      </w:r>
      <w:proofErr w:type="spellStart"/>
      <w:r w:rsidRPr="00942049">
        <w:rPr>
          <w:color w:val="auto"/>
          <w:sz w:val="24"/>
          <w:szCs w:val="24"/>
        </w:rPr>
        <w:t>ek</w:t>
      </w:r>
      <w:r w:rsidR="00D77D5B" w:rsidRPr="00942049">
        <w:rPr>
          <w:color w:val="auto"/>
          <w:sz w:val="24"/>
          <w:szCs w:val="24"/>
        </w:rPr>
        <w:t>sportspējas</w:t>
      </w:r>
      <w:proofErr w:type="spellEnd"/>
      <w:r w:rsidR="00D77D5B" w:rsidRPr="00942049">
        <w:rPr>
          <w:color w:val="auto"/>
          <w:sz w:val="24"/>
          <w:szCs w:val="24"/>
        </w:rPr>
        <w:t>) palielināšanā.</w:t>
      </w:r>
    </w:p>
    <w:p w:rsidR="00942049" w:rsidRPr="00942049" w:rsidRDefault="00942049" w:rsidP="00546FA4">
      <w:pPr>
        <w:pStyle w:val="tv2132"/>
        <w:spacing w:line="240" w:lineRule="auto"/>
        <w:ind w:firstLine="720"/>
        <w:jc w:val="both"/>
        <w:rPr>
          <w:color w:val="auto"/>
          <w:sz w:val="24"/>
          <w:szCs w:val="24"/>
        </w:rPr>
      </w:pPr>
      <w:r>
        <w:rPr>
          <w:color w:val="auto"/>
          <w:sz w:val="24"/>
          <w:szCs w:val="24"/>
        </w:rPr>
        <w:t xml:space="preserve">Projektu iesniegumu vērtēšanas kritēriji paredzēja izstrādātās </w:t>
      </w:r>
      <w:r w:rsidR="00546FA4" w:rsidRPr="00782832">
        <w:rPr>
          <w:color w:val="auto"/>
          <w:sz w:val="24"/>
          <w:szCs w:val="24"/>
        </w:rPr>
        <w:t>augstākās izglītības institūcijas darbības un attīstības ilgtermiņa</w:t>
      </w:r>
      <w:r w:rsidR="00546FA4">
        <w:rPr>
          <w:color w:val="auto"/>
          <w:sz w:val="24"/>
          <w:szCs w:val="24"/>
        </w:rPr>
        <w:t xml:space="preserve"> </w:t>
      </w:r>
      <w:r>
        <w:rPr>
          <w:color w:val="auto"/>
          <w:sz w:val="24"/>
          <w:szCs w:val="24"/>
        </w:rPr>
        <w:t xml:space="preserve">stratēģijas kvalitātes </w:t>
      </w:r>
      <w:r w:rsidR="00546FA4">
        <w:rPr>
          <w:color w:val="auto"/>
          <w:sz w:val="24"/>
          <w:szCs w:val="24"/>
        </w:rPr>
        <w:t>iz</w:t>
      </w:r>
      <w:r>
        <w:rPr>
          <w:color w:val="auto"/>
          <w:sz w:val="24"/>
          <w:szCs w:val="24"/>
        </w:rPr>
        <w:t>vērtējumu</w:t>
      </w:r>
      <w:r w:rsidR="00546FA4">
        <w:rPr>
          <w:color w:val="auto"/>
          <w:sz w:val="24"/>
          <w:szCs w:val="24"/>
        </w:rPr>
        <w:t xml:space="preserve">, kā minimālo prasību projekta iesnieguma apstiprināšanai izvirzot, ka </w:t>
      </w:r>
      <w:r w:rsidR="00546FA4" w:rsidRPr="00546FA4">
        <w:rPr>
          <w:color w:val="auto"/>
          <w:sz w:val="24"/>
          <w:szCs w:val="24"/>
        </w:rPr>
        <w:t xml:space="preserve">stratēģijā plānotajā attīstībā daļēji ņemti vērā </w:t>
      </w:r>
      <w:r w:rsidR="00546FA4">
        <w:rPr>
          <w:color w:val="auto"/>
          <w:sz w:val="24"/>
          <w:szCs w:val="24"/>
        </w:rPr>
        <w:t>iepriekš</w:t>
      </w:r>
      <w:r w:rsidR="00546FA4" w:rsidRPr="00546FA4">
        <w:rPr>
          <w:color w:val="auto"/>
          <w:sz w:val="24"/>
          <w:szCs w:val="24"/>
        </w:rPr>
        <w:t xml:space="preserve"> minētie parametri un sniegts daļējs pamatojums </w:t>
      </w:r>
      <w:r w:rsidR="00546FA4">
        <w:rPr>
          <w:color w:val="auto"/>
          <w:sz w:val="24"/>
          <w:szCs w:val="24"/>
        </w:rPr>
        <w:t xml:space="preserve">augstākās izglītības </w:t>
      </w:r>
      <w:r w:rsidR="00546FA4" w:rsidRPr="00546FA4">
        <w:rPr>
          <w:color w:val="auto"/>
          <w:sz w:val="24"/>
          <w:szCs w:val="24"/>
        </w:rPr>
        <w:t>institūcijas darbībai turpmākajos astoņos gados</w:t>
      </w:r>
      <w:r w:rsidR="00546FA4">
        <w:rPr>
          <w:color w:val="auto"/>
          <w:sz w:val="24"/>
          <w:szCs w:val="24"/>
        </w:rPr>
        <w:t>.</w:t>
      </w:r>
      <w:r w:rsidR="00FB2BED">
        <w:rPr>
          <w:color w:val="auto"/>
          <w:sz w:val="24"/>
          <w:szCs w:val="24"/>
        </w:rPr>
        <w:t xml:space="preserve"> </w:t>
      </w:r>
    </w:p>
    <w:p w:rsidR="00F30E84" w:rsidRDefault="00F30E84" w:rsidP="00E102B3">
      <w:pPr>
        <w:pStyle w:val="tv2132"/>
        <w:spacing w:line="240" w:lineRule="auto"/>
        <w:ind w:firstLine="720"/>
        <w:jc w:val="both"/>
        <w:rPr>
          <w:color w:val="auto"/>
          <w:sz w:val="24"/>
          <w:szCs w:val="24"/>
        </w:rPr>
      </w:pPr>
      <w:r>
        <w:rPr>
          <w:color w:val="auto"/>
          <w:sz w:val="24"/>
          <w:szCs w:val="24"/>
        </w:rPr>
        <w:t xml:space="preserve">Tika vērtēta arī projektā plānoto aktivitāšu gatavība uzsākšanai. </w:t>
      </w:r>
      <w:r w:rsidR="00D23A26">
        <w:rPr>
          <w:color w:val="auto"/>
          <w:sz w:val="24"/>
          <w:szCs w:val="24"/>
        </w:rPr>
        <w:t>Jāatzīmē, ka minimālo punktu skaitu varēja saņemt un līdz ar to apstiprināt projekta iesniegumu projektam arī ar zemu gatavības pakāpi uzsākšanai</w:t>
      </w:r>
      <w:r w:rsidR="005672EE">
        <w:rPr>
          <w:color w:val="auto"/>
          <w:sz w:val="24"/>
          <w:szCs w:val="24"/>
        </w:rPr>
        <w:t xml:space="preserve"> </w:t>
      </w:r>
      <w:r w:rsidR="005672EE" w:rsidRPr="00942049">
        <w:rPr>
          <w:color w:val="auto"/>
          <w:sz w:val="24"/>
          <w:szCs w:val="24"/>
        </w:rPr>
        <w:t>–</w:t>
      </w:r>
      <w:r w:rsidR="00D23A26">
        <w:rPr>
          <w:color w:val="auto"/>
          <w:sz w:val="24"/>
          <w:szCs w:val="24"/>
        </w:rPr>
        <w:t xml:space="preserve"> t.i., </w:t>
      </w:r>
      <w:r w:rsidR="00D23A26" w:rsidRPr="00E102B3">
        <w:rPr>
          <w:color w:val="auto"/>
          <w:sz w:val="24"/>
          <w:szCs w:val="24"/>
        </w:rPr>
        <w:t>sagatavots un pamatots iepērkamā aprīkojuma un veicamo būvdarbu saraksts, iepirkuma dokumentācija nav sagatavota.</w:t>
      </w:r>
      <w:r w:rsidR="00D23A26" w:rsidRPr="00D643EC">
        <w:rPr>
          <w:color w:val="auto"/>
          <w:sz w:val="24"/>
          <w:szCs w:val="24"/>
        </w:rPr>
        <w:t xml:space="preserve"> </w:t>
      </w:r>
    </w:p>
    <w:p w:rsidR="00E102B3" w:rsidRDefault="00D23A26" w:rsidP="00E102B3">
      <w:pPr>
        <w:pStyle w:val="tv2132"/>
        <w:spacing w:line="240" w:lineRule="auto"/>
        <w:ind w:firstLine="720"/>
        <w:jc w:val="both"/>
        <w:rPr>
          <w:color w:val="auto"/>
          <w:sz w:val="24"/>
          <w:szCs w:val="24"/>
        </w:rPr>
      </w:pPr>
      <w:r>
        <w:rPr>
          <w:color w:val="auto"/>
          <w:sz w:val="24"/>
          <w:szCs w:val="24"/>
        </w:rPr>
        <w:t>A</w:t>
      </w:r>
      <w:r w:rsidR="0016123F">
        <w:rPr>
          <w:color w:val="auto"/>
          <w:sz w:val="24"/>
          <w:szCs w:val="24"/>
        </w:rPr>
        <w:t xml:space="preserve">r </w:t>
      </w:r>
      <w:r>
        <w:rPr>
          <w:color w:val="auto"/>
          <w:sz w:val="24"/>
          <w:szCs w:val="24"/>
        </w:rPr>
        <w:t xml:space="preserve">izslēdzošajiem </w:t>
      </w:r>
      <w:r w:rsidR="0016123F">
        <w:rPr>
          <w:color w:val="auto"/>
          <w:sz w:val="24"/>
          <w:szCs w:val="24"/>
        </w:rPr>
        <w:t xml:space="preserve">kvalitātes kritērijiem tika vērtēts arī </w:t>
      </w:r>
      <w:r w:rsidR="0016123F" w:rsidRPr="00FB2BED">
        <w:rPr>
          <w:color w:val="auto"/>
          <w:sz w:val="24"/>
          <w:szCs w:val="24"/>
        </w:rPr>
        <w:t>projekta īstenošanas risku (būvniecības un preču piegādes iepirkumu un realizācijas riski, iespējamais izmaksu sadārdzinājums) izvērtējums un aprēķinātā projekta ekono</w:t>
      </w:r>
      <w:r w:rsidR="0016123F" w:rsidRPr="00FB2BED">
        <w:rPr>
          <w:color w:val="auto"/>
          <w:sz w:val="24"/>
          <w:szCs w:val="24"/>
        </w:rPr>
        <w:softHyphen/>
        <w:t>miskā ienesīguma norma.</w:t>
      </w:r>
      <w:r>
        <w:rPr>
          <w:color w:val="auto"/>
          <w:sz w:val="24"/>
          <w:szCs w:val="24"/>
        </w:rPr>
        <w:t xml:space="preserve"> P</w:t>
      </w:r>
      <w:r w:rsidR="00421255" w:rsidRPr="00D643EC">
        <w:rPr>
          <w:color w:val="auto"/>
          <w:sz w:val="24"/>
          <w:szCs w:val="24"/>
        </w:rPr>
        <w:t xml:space="preserve">rojektu iesniedzējiem bija </w:t>
      </w:r>
      <w:r w:rsidR="00D77D5B" w:rsidRPr="00D643EC">
        <w:rPr>
          <w:color w:val="auto"/>
          <w:sz w:val="24"/>
          <w:szCs w:val="24"/>
        </w:rPr>
        <w:t>nozīmīgi izpildī</w:t>
      </w:r>
      <w:r w:rsidR="00421255" w:rsidRPr="00D643EC">
        <w:rPr>
          <w:color w:val="auto"/>
          <w:sz w:val="24"/>
          <w:szCs w:val="24"/>
        </w:rPr>
        <w:t xml:space="preserve">t </w:t>
      </w:r>
      <w:r w:rsidR="00D77D5B" w:rsidRPr="00D643EC">
        <w:rPr>
          <w:color w:val="auto"/>
          <w:sz w:val="24"/>
          <w:szCs w:val="24"/>
        </w:rPr>
        <w:t xml:space="preserve">arī </w:t>
      </w:r>
      <w:r w:rsidR="00421255" w:rsidRPr="00D643EC">
        <w:rPr>
          <w:color w:val="auto"/>
          <w:sz w:val="24"/>
          <w:szCs w:val="24"/>
        </w:rPr>
        <w:t>kvalitātes kritēriju</w:t>
      </w:r>
      <w:r w:rsidR="0024209B">
        <w:rPr>
          <w:color w:val="auto"/>
          <w:sz w:val="24"/>
          <w:szCs w:val="24"/>
        </w:rPr>
        <w:t>s</w:t>
      </w:r>
      <w:r w:rsidR="00421255" w:rsidRPr="00D643EC">
        <w:rPr>
          <w:color w:val="auto"/>
          <w:sz w:val="24"/>
          <w:szCs w:val="24"/>
        </w:rPr>
        <w:t xml:space="preserve"> saistībā ar</w:t>
      </w:r>
      <w:r w:rsidR="00E102B3">
        <w:rPr>
          <w:color w:val="auto"/>
          <w:sz w:val="24"/>
          <w:szCs w:val="24"/>
        </w:rPr>
        <w:t>:</w:t>
      </w:r>
    </w:p>
    <w:p w:rsidR="00E102B3" w:rsidRDefault="00E102B3" w:rsidP="00722156">
      <w:pPr>
        <w:pStyle w:val="tv2132"/>
        <w:numPr>
          <w:ilvl w:val="0"/>
          <w:numId w:val="10"/>
        </w:numPr>
        <w:spacing w:line="240" w:lineRule="auto"/>
        <w:ind w:left="714" w:hanging="357"/>
        <w:jc w:val="both"/>
        <w:rPr>
          <w:color w:val="auto"/>
          <w:sz w:val="24"/>
          <w:szCs w:val="24"/>
        </w:rPr>
      </w:pPr>
      <w:r w:rsidRPr="00E102B3">
        <w:rPr>
          <w:color w:val="auto"/>
          <w:sz w:val="24"/>
          <w:szCs w:val="24"/>
        </w:rPr>
        <w:t>projekta ietekme uz augstākās izglītības iestādes telpiskās infrastruktūras optimizāciju (saskaņā ar augstākās izglītības institūcijas finansēšanu kārtību), sekmējot ieguldījumu koncentrāciju, intensīvāku telpu un iekārtu izmantošanu, mazinot sadrumstalotību modernizējamo objektu izvēlē un novēršot nepamatotu atkārtošanos iekārtu iegādē</w:t>
      </w:r>
      <w:r>
        <w:rPr>
          <w:color w:val="auto"/>
          <w:sz w:val="24"/>
          <w:szCs w:val="24"/>
        </w:rPr>
        <w:t>. Lielāks punktu skaits tika paredzēts, ja tiek plānota optimizācija vienā vai vairākās (maksimālais punktu skaits) augstākās izglītības institūcijās, paredzot vienota studiju kompleksa izveidi. Savukārt kā minimālā prasība tika noteikta</w:t>
      </w:r>
      <w:r w:rsidR="0024209B">
        <w:rPr>
          <w:color w:val="auto"/>
          <w:sz w:val="24"/>
          <w:szCs w:val="24"/>
        </w:rPr>
        <w:t>, ka</w:t>
      </w:r>
      <w:r>
        <w:rPr>
          <w:color w:val="auto"/>
          <w:sz w:val="24"/>
          <w:szCs w:val="24"/>
        </w:rPr>
        <w:t xml:space="preserve"> </w:t>
      </w:r>
      <w:r w:rsidR="0024209B" w:rsidRPr="0024209B">
        <w:rPr>
          <w:color w:val="auto"/>
          <w:sz w:val="24"/>
          <w:szCs w:val="24"/>
        </w:rPr>
        <w:t>optimizācija netiek plānota, bet projektā ir sniegts pamatojums, kā tiks nodrošināta telpu un iekārtu izmantošana, mazinot sadrumstalotību modernizējamo objektu izvēlē un nepamatotu atkārtošanos iekārtu iegādē</w:t>
      </w:r>
      <w:r>
        <w:rPr>
          <w:color w:val="auto"/>
          <w:sz w:val="24"/>
          <w:szCs w:val="24"/>
        </w:rPr>
        <w:t>;</w:t>
      </w:r>
    </w:p>
    <w:p w:rsidR="00421255" w:rsidRDefault="00421255" w:rsidP="00722156">
      <w:pPr>
        <w:pStyle w:val="tv2132"/>
        <w:numPr>
          <w:ilvl w:val="0"/>
          <w:numId w:val="10"/>
        </w:numPr>
        <w:spacing w:line="240" w:lineRule="auto"/>
        <w:ind w:left="714" w:hanging="357"/>
        <w:jc w:val="both"/>
        <w:rPr>
          <w:color w:val="auto"/>
          <w:sz w:val="24"/>
          <w:szCs w:val="24"/>
        </w:rPr>
      </w:pPr>
      <w:r w:rsidRPr="00D643EC">
        <w:rPr>
          <w:color w:val="auto"/>
          <w:sz w:val="24"/>
          <w:szCs w:val="24"/>
        </w:rPr>
        <w:t>projekta ietekmi uz augstākās izglītības institūcijas cilvēkresursu izvietojuma teritoriāli telpisko organizāciju, normatīvajos aktos par augstākās izglītības institūcijas finansēšanu noteiktajās robežās sekmējot lielāka studentu skaita pieeju modernizētajiem infrastruktūras objektiem un modernizētajām studiju vietām</w:t>
      </w:r>
      <w:r w:rsidR="0024209B">
        <w:rPr>
          <w:color w:val="auto"/>
          <w:sz w:val="24"/>
          <w:szCs w:val="24"/>
        </w:rPr>
        <w:t>.</w:t>
      </w:r>
      <w:r w:rsidR="0016123F">
        <w:rPr>
          <w:color w:val="auto"/>
          <w:sz w:val="24"/>
          <w:szCs w:val="24"/>
        </w:rPr>
        <w:t xml:space="preserve"> </w:t>
      </w:r>
      <w:r w:rsidR="0024209B">
        <w:rPr>
          <w:color w:val="auto"/>
          <w:sz w:val="24"/>
          <w:szCs w:val="24"/>
        </w:rPr>
        <w:t>S</w:t>
      </w:r>
      <w:r w:rsidRPr="00D643EC">
        <w:rPr>
          <w:color w:val="auto"/>
          <w:sz w:val="24"/>
          <w:szCs w:val="24"/>
        </w:rPr>
        <w:t xml:space="preserve">alīdzinot ar esošo situāciju, modernizētajos objektos </w:t>
      </w:r>
      <w:r w:rsidR="0024209B">
        <w:rPr>
          <w:color w:val="auto"/>
          <w:sz w:val="24"/>
          <w:szCs w:val="24"/>
        </w:rPr>
        <w:t xml:space="preserve">bija jābūt </w:t>
      </w:r>
      <w:r w:rsidRPr="00D643EC">
        <w:rPr>
          <w:color w:val="auto"/>
          <w:sz w:val="24"/>
          <w:szCs w:val="24"/>
        </w:rPr>
        <w:t>plānota</w:t>
      </w:r>
      <w:r w:rsidR="0024209B">
        <w:rPr>
          <w:color w:val="auto"/>
          <w:sz w:val="24"/>
          <w:szCs w:val="24"/>
        </w:rPr>
        <w:t xml:space="preserve">i vismaz </w:t>
      </w:r>
      <w:r w:rsidR="0024209B" w:rsidRPr="0024209B">
        <w:rPr>
          <w:color w:val="auto"/>
          <w:sz w:val="24"/>
          <w:szCs w:val="24"/>
        </w:rPr>
        <w:t>ēku un telpu noslodzes efektivitātei. Maksimālo punktu skaitu varēja iegūt, ja modernizētajos objektos tika plānota studiju vietu skaita optimizācija</w:t>
      </w:r>
      <w:r w:rsidR="007C2800">
        <w:rPr>
          <w:color w:val="auto"/>
          <w:sz w:val="24"/>
          <w:szCs w:val="24"/>
        </w:rPr>
        <w:t>;</w:t>
      </w:r>
    </w:p>
    <w:p w:rsidR="007C2800" w:rsidRDefault="007C2800" w:rsidP="00722156">
      <w:pPr>
        <w:pStyle w:val="tv2132"/>
        <w:numPr>
          <w:ilvl w:val="0"/>
          <w:numId w:val="10"/>
        </w:numPr>
        <w:spacing w:line="240" w:lineRule="auto"/>
        <w:ind w:left="714" w:hanging="357"/>
        <w:jc w:val="both"/>
        <w:rPr>
          <w:color w:val="auto"/>
          <w:sz w:val="24"/>
          <w:szCs w:val="24"/>
        </w:rPr>
      </w:pPr>
      <w:r w:rsidRPr="00FB2BED">
        <w:rPr>
          <w:color w:val="auto"/>
          <w:sz w:val="24"/>
          <w:szCs w:val="24"/>
        </w:rPr>
        <w:t>augstākās izglītības institūcijas īstenoto prioritāro programmu efektivitāte –</w:t>
      </w:r>
      <w:r>
        <w:rPr>
          <w:color w:val="auto"/>
          <w:sz w:val="24"/>
          <w:szCs w:val="24"/>
        </w:rPr>
        <w:t xml:space="preserve"> </w:t>
      </w:r>
      <w:r w:rsidRPr="00FB2BED">
        <w:rPr>
          <w:color w:val="auto"/>
          <w:sz w:val="24"/>
          <w:szCs w:val="24"/>
        </w:rPr>
        <w:t>noteiktajās prioritārajās augstākās izglītības tematiskajās grupās, tematiskajās jomās un programmu grupās 2006./2007.akadēmiskajā gadā iegūto akadēmisko grādu vai profesionālo kvalifikāciju skaits (akadēmisko grādu (bakalaura grāds, maģistra grāds, doktora grāds) vai profesionālo kvalifikāciju ieguvušo personu skaits kopā, ieskaitot pēc rezidentūras pabeigšanas noteiktā medicīnas specialitātē speciālista sertifikātu ieguvušo personu skaitu) attiecībā pret imatrikulēto personu skaitu minētajās augstākās izglītības tematiskajās grupās, tematiskajās jomās un programmu grupās</w:t>
      </w:r>
      <w:r>
        <w:rPr>
          <w:color w:val="auto"/>
          <w:sz w:val="24"/>
          <w:szCs w:val="24"/>
        </w:rPr>
        <w:t xml:space="preserve">. Minimālā prasība, kas jāizpilda, lai projekta iesniegumu apstiprinātu </w:t>
      </w:r>
      <w:r w:rsidR="00562C90" w:rsidRPr="00942049">
        <w:rPr>
          <w:color w:val="auto"/>
          <w:sz w:val="24"/>
          <w:szCs w:val="24"/>
        </w:rPr>
        <w:t>–</w:t>
      </w:r>
      <w:r>
        <w:rPr>
          <w:color w:val="auto"/>
          <w:sz w:val="24"/>
          <w:szCs w:val="24"/>
        </w:rPr>
        <w:t xml:space="preserve"> </w:t>
      </w:r>
      <w:r w:rsidRPr="007C2800">
        <w:rPr>
          <w:color w:val="auto"/>
          <w:sz w:val="24"/>
          <w:szCs w:val="24"/>
        </w:rPr>
        <w:t>no 16 % līdz 24</w:t>
      </w:r>
      <w:r w:rsidR="000003FD">
        <w:rPr>
          <w:color w:val="auto"/>
          <w:sz w:val="24"/>
          <w:szCs w:val="24"/>
        </w:rPr>
        <w:t> </w:t>
      </w:r>
      <w:r w:rsidRPr="007C2800">
        <w:rPr>
          <w:color w:val="auto"/>
          <w:sz w:val="24"/>
          <w:szCs w:val="24"/>
        </w:rPr>
        <w:t xml:space="preserve"> % (neieskaitot).</w:t>
      </w:r>
      <w:r>
        <w:rPr>
          <w:color w:val="auto"/>
          <w:sz w:val="24"/>
          <w:szCs w:val="24"/>
        </w:rPr>
        <w:t xml:space="preserve"> Visvairāk punktus varēja iegūt, ja rādītājā tika sasniegti 80 % un vairāk;</w:t>
      </w:r>
    </w:p>
    <w:p w:rsidR="007C2800" w:rsidRDefault="007C2800" w:rsidP="00722156">
      <w:pPr>
        <w:pStyle w:val="tv2132"/>
        <w:numPr>
          <w:ilvl w:val="0"/>
          <w:numId w:val="10"/>
        </w:numPr>
        <w:spacing w:line="240" w:lineRule="auto"/>
        <w:ind w:left="714" w:hanging="357"/>
        <w:jc w:val="both"/>
        <w:rPr>
          <w:color w:val="auto"/>
          <w:sz w:val="24"/>
          <w:szCs w:val="24"/>
        </w:rPr>
      </w:pPr>
      <w:r w:rsidRPr="007C2800">
        <w:rPr>
          <w:color w:val="auto"/>
          <w:sz w:val="24"/>
          <w:szCs w:val="24"/>
        </w:rPr>
        <w:t>projektā paredzētas specifiskas aktivitātes vienlīdzīgu iespēju principa nodrošināšanai, īpaši uzlabojot vides pieejamību personām ar funkcionāliem traucējumiem. Lai projekta iesniegumu apstiprinātu, bija jāp</w:t>
      </w:r>
      <w:r>
        <w:rPr>
          <w:color w:val="auto"/>
          <w:sz w:val="24"/>
          <w:szCs w:val="24"/>
        </w:rPr>
        <w:t>a</w:t>
      </w:r>
      <w:r w:rsidRPr="007C2800">
        <w:rPr>
          <w:color w:val="auto"/>
          <w:sz w:val="24"/>
          <w:szCs w:val="24"/>
        </w:rPr>
        <w:t xml:space="preserve">redz vismaz </w:t>
      </w:r>
      <w:r w:rsidR="00616164">
        <w:rPr>
          <w:color w:val="auto"/>
          <w:sz w:val="24"/>
          <w:szCs w:val="24"/>
        </w:rPr>
        <w:t xml:space="preserve">viena </w:t>
      </w:r>
      <w:r w:rsidR="00616164" w:rsidRPr="00616164">
        <w:rPr>
          <w:color w:val="auto"/>
          <w:sz w:val="24"/>
          <w:szCs w:val="24"/>
        </w:rPr>
        <w:t>specifiska aktivitāte vienlīdzīgu iespēju principa nodrošināšanai.</w:t>
      </w:r>
    </w:p>
    <w:p w:rsidR="0016123F" w:rsidRDefault="0016123F" w:rsidP="0016123F">
      <w:pPr>
        <w:pStyle w:val="tv2132"/>
        <w:spacing w:line="240" w:lineRule="auto"/>
        <w:ind w:firstLine="714"/>
        <w:jc w:val="both"/>
        <w:rPr>
          <w:color w:val="auto"/>
          <w:sz w:val="24"/>
          <w:szCs w:val="24"/>
        </w:rPr>
      </w:pPr>
    </w:p>
    <w:p w:rsidR="0016123F" w:rsidRDefault="0016123F" w:rsidP="0016123F">
      <w:pPr>
        <w:pStyle w:val="tv2132"/>
        <w:spacing w:line="240" w:lineRule="auto"/>
        <w:ind w:firstLine="714"/>
        <w:jc w:val="both"/>
        <w:rPr>
          <w:color w:val="auto"/>
          <w:sz w:val="24"/>
          <w:szCs w:val="24"/>
        </w:rPr>
      </w:pPr>
      <w:r>
        <w:rPr>
          <w:color w:val="auto"/>
          <w:sz w:val="24"/>
          <w:szCs w:val="24"/>
        </w:rPr>
        <w:lastRenderedPageBreak/>
        <w:t xml:space="preserve">Papildus iepriekš minētajiem kvalitātes kritērijiem, tika vērtēti arī citi kvalitātes kritēriji, bet tie nebija izslēdzoši. Ar šiem kvalitātes kritērijiem varēja iegūt </w:t>
      </w:r>
      <w:r w:rsidR="00B641E3">
        <w:rPr>
          <w:color w:val="auto"/>
          <w:sz w:val="24"/>
          <w:szCs w:val="24"/>
        </w:rPr>
        <w:t xml:space="preserve">nepieciešamos </w:t>
      </w:r>
      <w:r>
        <w:rPr>
          <w:color w:val="auto"/>
          <w:sz w:val="24"/>
          <w:szCs w:val="24"/>
        </w:rPr>
        <w:t>papildu punktus:</w:t>
      </w:r>
    </w:p>
    <w:p w:rsidR="0016123F" w:rsidRDefault="009A6331" w:rsidP="00722156">
      <w:pPr>
        <w:pStyle w:val="tv2132"/>
        <w:numPr>
          <w:ilvl w:val="0"/>
          <w:numId w:val="11"/>
        </w:numPr>
        <w:spacing w:line="240" w:lineRule="auto"/>
        <w:ind w:left="714" w:hanging="357"/>
        <w:jc w:val="both"/>
        <w:rPr>
          <w:color w:val="auto"/>
          <w:sz w:val="24"/>
          <w:szCs w:val="24"/>
        </w:rPr>
      </w:pPr>
      <w:r w:rsidRPr="009A6331">
        <w:rPr>
          <w:color w:val="auto"/>
          <w:sz w:val="24"/>
          <w:szCs w:val="24"/>
        </w:rPr>
        <w:t>augstākās izglītības institūcijas ieguldījums nepieciešamo kvalificēto speciālistu sagatavošanā –</w:t>
      </w:r>
      <w:r>
        <w:rPr>
          <w:color w:val="auto"/>
          <w:sz w:val="24"/>
          <w:szCs w:val="24"/>
        </w:rPr>
        <w:t xml:space="preserve"> </w:t>
      </w:r>
      <w:r w:rsidRPr="009A6331">
        <w:rPr>
          <w:color w:val="auto"/>
          <w:sz w:val="24"/>
          <w:szCs w:val="24"/>
        </w:rPr>
        <w:t xml:space="preserve">noteiktajos prioritārajos virzienos augstākās izglītības tematiskajās grupās, tematiskajās jomās un programmu grupās pilna laika studiju programmās (pilna laika </w:t>
      </w:r>
      <w:proofErr w:type="spellStart"/>
      <w:r w:rsidRPr="009A6331">
        <w:rPr>
          <w:color w:val="auto"/>
          <w:sz w:val="24"/>
          <w:szCs w:val="24"/>
        </w:rPr>
        <w:t>pamatstudijās</w:t>
      </w:r>
      <w:proofErr w:type="spellEnd"/>
      <w:r w:rsidRPr="009A6331">
        <w:rPr>
          <w:color w:val="auto"/>
          <w:sz w:val="24"/>
          <w:szCs w:val="24"/>
        </w:rPr>
        <w:t>, pilna laika maģistrantūrā, ieskaitot medicīnas rezidentus, un pilna laika doktorantūrā kopā) studējošo skaits 2007./2008.akadēmiskajā gadā</w:t>
      </w:r>
      <w:r w:rsidR="0016123F">
        <w:rPr>
          <w:color w:val="auto"/>
          <w:sz w:val="24"/>
          <w:szCs w:val="24"/>
        </w:rPr>
        <w:t>;</w:t>
      </w:r>
    </w:p>
    <w:p w:rsidR="00FB2BED" w:rsidRPr="007C2800" w:rsidRDefault="007C2800" w:rsidP="00722156">
      <w:pPr>
        <w:pStyle w:val="tv2132"/>
        <w:numPr>
          <w:ilvl w:val="0"/>
          <w:numId w:val="11"/>
        </w:numPr>
        <w:spacing w:line="240" w:lineRule="auto"/>
        <w:ind w:left="714" w:hanging="357"/>
        <w:jc w:val="both"/>
        <w:rPr>
          <w:color w:val="auto"/>
          <w:sz w:val="24"/>
          <w:szCs w:val="24"/>
        </w:rPr>
      </w:pPr>
      <w:r w:rsidRPr="007C2800">
        <w:rPr>
          <w:color w:val="auto"/>
          <w:sz w:val="24"/>
          <w:szCs w:val="24"/>
        </w:rPr>
        <w:t>augstākās izglītības institūcijas akadēmiskā personāla kvalifikācija – akadēmiskā personāla ar zinātnisko grādu īpatsvars no kopējā akadēmiskā personāla skaita 2007./2008.akadēmiskajā gadā;</w:t>
      </w:r>
    </w:p>
    <w:p w:rsidR="007C2800" w:rsidRPr="007C2800" w:rsidRDefault="007C2800" w:rsidP="00722156">
      <w:pPr>
        <w:pStyle w:val="tv2132"/>
        <w:numPr>
          <w:ilvl w:val="0"/>
          <w:numId w:val="11"/>
        </w:numPr>
        <w:spacing w:line="240" w:lineRule="auto"/>
        <w:ind w:left="714" w:hanging="357"/>
        <w:jc w:val="both"/>
        <w:rPr>
          <w:color w:val="auto"/>
          <w:sz w:val="24"/>
          <w:szCs w:val="24"/>
        </w:rPr>
      </w:pPr>
      <w:r w:rsidRPr="00616164">
        <w:rPr>
          <w:color w:val="auto"/>
          <w:sz w:val="24"/>
          <w:szCs w:val="24"/>
        </w:rPr>
        <w:t>augstākās izglītības institūcijas īstenotā starptautiskā sadarbība, ko raksturo šādi sadarbības veidi – starptautiskās sadarbības līgumi, starptautiskie projekti, akadēmiskā personāla apmaiņa vai studējošo apmaiņa;</w:t>
      </w:r>
    </w:p>
    <w:p w:rsidR="007C2800" w:rsidRPr="007C2800" w:rsidRDefault="007C2800" w:rsidP="00722156">
      <w:pPr>
        <w:pStyle w:val="tv2132"/>
        <w:numPr>
          <w:ilvl w:val="0"/>
          <w:numId w:val="11"/>
        </w:numPr>
        <w:spacing w:line="240" w:lineRule="auto"/>
        <w:ind w:left="714" w:hanging="357"/>
        <w:jc w:val="both"/>
        <w:rPr>
          <w:color w:val="auto"/>
          <w:sz w:val="24"/>
          <w:szCs w:val="24"/>
        </w:rPr>
      </w:pPr>
      <w:r w:rsidRPr="00616164">
        <w:rPr>
          <w:color w:val="auto"/>
          <w:sz w:val="24"/>
          <w:szCs w:val="24"/>
        </w:rPr>
        <w:t>augstākās izglītības institūcijas konkurētspēja starptautiskajā akadēmiskajā vidē, ko raksturo šādi rādītāji – uz konkursa pamata piesaistītais ārvalstu akadēmiskais personāls, ārvalstu studējošo piesaiste vai studiju programmu īstenošana svešvalodās;</w:t>
      </w:r>
    </w:p>
    <w:p w:rsidR="007C2800" w:rsidRDefault="00616164" w:rsidP="00722156">
      <w:pPr>
        <w:pStyle w:val="tv2132"/>
        <w:numPr>
          <w:ilvl w:val="0"/>
          <w:numId w:val="11"/>
        </w:numPr>
        <w:spacing w:line="240" w:lineRule="auto"/>
        <w:ind w:left="714" w:hanging="357"/>
        <w:jc w:val="both"/>
        <w:rPr>
          <w:color w:val="auto"/>
          <w:sz w:val="24"/>
          <w:szCs w:val="24"/>
        </w:rPr>
      </w:pPr>
      <w:r w:rsidRPr="00616164">
        <w:rPr>
          <w:color w:val="auto"/>
          <w:sz w:val="24"/>
          <w:szCs w:val="24"/>
        </w:rPr>
        <w:t>projekta ietekme uz teritoriju līdzsvarotas attīstības horizontālo prioritāti – punkti tik</w:t>
      </w:r>
      <w:r>
        <w:rPr>
          <w:color w:val="auto"/>
          <w:sz w:val="24"/>
          <w:szCs w:val="24"/>
        </w:rPr>
        <w:t>a</w:t>
      </w:r>
      <w:r w:rsidRPr="00616164">
        <w:rPr>
          <w:color w:val="auto"/>
          <w:sz w:val="24"/>
          <w:szCs w:val="24"/>
        </w:rPr>
        <w:t xml:space="preserve"> piešķirti pēc plānošanas reģiona, kurā plānots īstenot projektu, teritorijas attīstības indeksa</w:t>
      </w:r>
      <w:r>
        <w:rPr>
          <w:color w:val="auto"/>
          <w:sz w:val="24"/>
          <w:szCs w:val="24"/>
        </w:rPr>
        <w:t>;</w:t>
      </w:r>
    </w:p>
    <w:p w:rsidR="00616164" w:rsidRDefault="00616164" w:rsidP="00722156">
      <w:pPr>
        <w:pStyle w:val="tv2132"/>
        <w:numPr>
          <w:ilvl w:val="0"/>
          <w:numId w:val="11"/>
        </w:numPr>
        <w:spacing w:line="240" w:lineRule="auto"/>
        <w:ind w:left="714" w:hanging="357"/>
        <w:jc w:val="both"/>
        <w:rPr>
          <w:color w:val="auto"/>
          <w:sz w:val="24"/>
          <w:szCs w:val="24"/>
        </w:rPr>
      </w:pPr>
      <w:r w:rsidRPr="00616164">
        <w:rPr>
          <w:color w:val="auto"/>
          <w:sz w:val="24"/>
          <w:szCs w:val="24"/>
        </w:rPr>
        <w:t>ārpus Rīgas plānošanas reģiona esošas augstākās izglītības institūcijas stratēģiskās attīstības indekss teritoriālās attīstības un jaunu studiju virzienu attīstības veicināšanai</w:t>
      </w:r>
      <w:r>
        <w:rPr>
          <w:color w:val="auto"/>
          <w:sz w:val="24"/>
          <w:szCs w:val="24"/>
        </w:rPr>
        <w:t>;</w:t>
      </w:r>
    </w:p>
    <w:p w:rsidR="00616164" w:rsidRDefault="00616164" w:rsidP="00722156">
      <w:pPr>
        <w:pStyle w:val="tv2132"/>
        <w:numPr>
          <w:ilvl w:val="0"/>
          <w:numId w:val="11"/>
        </w:numPr>
        <w:spacing w:line="240" w:lineRule="auto"/>
        <w:ind w:left="714" w:hanging="357"/>
        <w:jc w:val="both"/>
        <w:rPr>
          <w:color w:val="auto"/>
          <w:sz w:val="24"/>
          <w:szCs w:val="24"/>
        </w:rPr>
      </w:pPr>
      <w:r w:rsidRPr="00616164">
        <w:rPr>
          <w:color w:val="auto"/>
          <w:sz w:val="24"/>
          <w:szCs w:val="24"/>
        </w:rPr>
        <w:t>projekta ietekme uz informācijas sabiedrības horizontālo prioritāti.</w:t>
      </w:r>
    </w:p>
    <w:p w:rsidR="00B32741" w:rsidRDefault="00B32741" w:rsidP="00B32741">
      <w:pPr>
        <w:pStyle w:val="abbreviationslist"/>
        <w:spacing w:before="0" w:after="0"/>
        <w:ind w:right="0" w:firstLine="720"/>
        <w:rPr>
          <w:sz w:val="24"/>
          <w:szCs w:val="24"/>
        </w:rPr>
      </w:pPr>
      <w:r>
        <w:rPr>
          <w:bCs/>
          <w:sz w:val="24"/>
          <w:szCs w:val="24"/>
        </w:rPr>
        <w:t xml:space="preserve">Attiecībā uz koledžu </w:t>
      </w:r>
      <w:r>
        <w:rPr>
          <w:sz w:val="24"/>
          <w:szCs w:val="24"/>
        </w:rPr>
        <w:t>infrastruktūras pieejamības uzlabošanu, koledžu infrastruktūru</w:t>
      </w:r>
      <w:r w:rsidRPr="00B06725">
        <w:rPr>
          <w:sz w:val="24"/>
          <w:szCs w:val="24"/>
        </w:rPr>
        <w:t xml:space="preserve"> pielāgojot </w:t>
      </w:r>
      <w:r w:rsidRPr="00844A86">
        <w:rPr>
          <w:b/>
          <w:sz w:val="24"/>
          <w:szCs w:val="24"/>
        </w:rPr>
        <w:t xml:space="preserve">personām </w:t>
      </w:r>
      <w:r w:rsidRPr="00047C8B">
        <w:rPr>
          <w:b/>
          <w:sz w:val="24"/>
          <w:szCs w:val="24"/>
        </w:rPr>
        <w:t>ar funkcionāliem traucējumiem</w:t>
      </w:r>
      <w:r w:rsidRPr="00047C8B">
        <w:rPr>
          <w:sz w:val="24"/>
          <w:szCs w:val="24"/>
        </w:rPr>
        <w:t>,</w:t>
      </w:r>
      <w:r w:rsidRPr="00B06725">
        <w:rPr>
          <w:sz w:val="24"/>
          <w:szCs w:val="24"/>
        </w:rPr>
        <w:t xml:space="preserve"> </w:t>
      </w:r>
      <w:r>
        <w:rPr>
          <w:sz w:val="24"/>
          <w:szCs w:val="24"/>
        </w:rPr>
        <w:t>j</w:t>
      </w:r>
      <w:r w:rsidRPr="00220907">
        <w:rPr>
          <w:sz w:val="24"/>
          <w:szCs w:val="24"/>
        </w:rPr>
        <w:t xml:space="preserve">āatzīmē, ka ar projektu iesniegumu vērtēšanas kritērijiem tika noteikts, ka projektā ir </w:t>
      </w:r>
      <w:r>
        <w:rPr>
          <w:sz w:val="24"/>
          <w:szCs w:val="24"/>
        </w:rPr>
        <w:t>jā</w:t>
      </w:r>
      <w:r w:rsidRPr="00220907">
        <w:rPr>
          <w:sz w:val="24"/>
          <w:szCs w:val="24"/>
        </w:rPr>
        <w:t xml:space="preserve">paredz </w:t>
      </w:r>
      <w:r>
        <w:rPr>
          <w:sz w:val="24"/>
          <w:szCs w:val="24"/>
        </w:rPr>
        <w:t xml:space="preserve">vismaz </w:t>
      </w:r>
      <w:r w:rsidRPr="00220907">
        <w:rPr>
          <w:sz w:val="24"/>
          <w:szCs w:val="24"/>
        </w:rPr>
        <w:t>viena</w:t>
      </w:r>
      <w:r>
        <w:rPr>
          <w:sz w:val="24"/>
          <w:szCs w:val="24"/>
        </w:rPr>
        <w:t xml:space="preserve"> specifiska</w:t>
      </w:r>
      <w:r w:rsidRPr="00220907">
        <w:rPr>
          <w:sz w:val="24"/>
          <w:szCs w:val="24"/>
        </w:rPr>
        <w:t xml:space="preserve"> aktivitāte vienlīdzīgu iespēju principa nodrošināšanai, īpaši uzlabojot vides pieejamību personām ar funkcionāliem traucējumiem</w:t>
      </w:r>
      <w:r>
        <w:rPr>
          <w:sz w:val="24"/>
          <w:szCs w:val="24"/>
        </w:rPr>
        <w:t>. A</w:t>
      </w:r>
      <w:r w:rsidRPr="00220907">
        <w:rPr>
          <w:sz w:val="24"/>
          <w:szCs w:val="24"/>
        </w:rPr>
        <w:t xml:space="preserve">tbalstu varēja saņemt </w:t>
      </w:r>
      <w:r>
        <w:rPr>
          <w:sz w:val="24"/>
          <w:szCs w:val="24"/>
        </w:rPr>
        <w:t xml:space="preserve">arī </w:t>
      </w:r>
      <w:r w:rsidRPr="00220907">
        <w:rPr>
          <w:sz w:val="24"/>
          <w:szCs w:val="24"/>
        </w:rPr>
        <w:t>pirmā līmeņa profesionālās augstākās izglītības programmās (pilna laika), ja attiecīgajā programmā no 2007.gad</w:t>
      </w:r>
      <w:r w:rsidR="00CE229B">
        <w:rPr>
          <w:sz w:val="24"/>
          <w:szCs w:val="24"/>
        </w:rPr>
        <w:t>a</w:t>
      </w:r>
      <w:r w:rsidRPr="00220907">
        <w:rPr>
          <w:sz w:val="24"/>
          <w:szCs w:val="24"/>
        </w:rPr>
        <w:t xml:space="preserve"> 1.oktobra studē personas ar funkcionāliem traucējumiem</w:t>
      </w:r>
      <w:r w:rsidR="00562C90">
        <w:rPr>
          <w:sz w:val="24"/>
          <w:szCs w:val="24"/>
        </w:rPr>
        <w:t xml:space="preserve"> </w:t>
      </w:r>
      <w:r w:rsidR="00562C90" w:rsidRPr="00942049">
        <w:rPr>
          <w:sz w:val="24"/>
          <w:szCs w:val="24"/>
        </w:rPr>
        <w:t>–</w:t>
      </w:r>
      <w:r>
        <w:rPr>
          <w:sz w:val="24"/>
          <w:szCs w:val="24"/>
        </w:rPr>
        <w:t xml:space="preserve"> t.i., gadījumā, kad augstākās izglītības institūcija neīstenoja studiju programmu prioritārajā virzienā, tā varēja pretendēt uz atbalstu, ja kādā no pilna laika studiju programmām </w:t>
      </w:r>
      <w:r w:rsidRPr="00220907">
        <w:rPr>
          <w:sz w:val="24"/>
          <w:szCs w:val="24"/>
        </w:rPr>
        <w:t>no 2007.gad</w:t>
      </w:r>
      <w:r w:rsidR="00CE229B">
        <w:rPr>
          <w:sz w:val="24"/>
          <w:szCs w:val="24"/>
        </w:rPr>
        <w:t>a</w:t>
      </w:r>
      <w:r w:rsidRPr="00220907">
        <w:rPr>
          <w:sz w:val="24"/>
          <w:szCs w:val="24"/>
        </w:rPr>
        <w:t xml:space="preserve"> 1.oktobra studē</w:t>
      </w:r>
      <w:r>
        <w:rPr>
          <w:sz w:val="24"/>
          <w:szCs w:val="24"/>
        </w:rPr>
        <w:t>ja</w:t>
      </w:r>
      <w:r w:rsidRPr="00220907">
        <w:rPr>
          <w:sz w:val="24"/>
          <w:szCs w:val="24"/>
        </w:rPr>
        <w:t xml:space="preserve"> personas ar funkcionāliem traucējumiem</w:t>
      </w:r>
      <w:r w:rsidRPr="00543F35">
        <w:rPr>
          <w:rStyle w:val="FootnoteReference"/>
          <w:sz w:val="24"/>
          <w:szCs w:val="24"/>
        </w:rPr>
        <w:footnoteReference w:id="45"/>
      </w:r>
      <w:r w:rsidRPr="00543F35">
        <w:rPr>
          <w:sz w:val="24"/>
          <w:szCs w:val="24"/>
        </w:rPr>
        <w:t>.</w:t>
      </w:r>
    </w:p>
    <w:p w:rsidR="00911960" w:rsidRPr="00A02FDC" w:rsidRDefault="00911960" w:rsidP="00911960">
      <w:pPr>
        <w:pStyle w:val="tv2132"/>
        <w:spacing w:line="240" w:lineRule="auto"/>
        <w:ind w:firstLine="720"/>
        <w:jc w:val="both"/>
        <w:rPr>
          <w:color w:val="auto"/>
          <w:sz w:val="24"/>
          <w:szCs w:val="24"/>
        </w:rPr>
      </w:pPr>
      <w:r w:rsidRPr="0005245B">
        <w:rPr>
          <w:color w:val="auto"/>
          <w:sz w:val="24"/>
          <w:szCs w:val="24"/>
        </w:rPr>
        <w:t xml:space="preserve">3.1.2.1.1.apakšaktivitāte tika īstenota </w:t>
      </w:r>
      <w:r w:rsidRPr="00AC5A89">
        <w:rPr>
          <w:b/>
          <w:color w:val="auto"/>
          <w:sz w:val="24"/>
          <w:szCs w:val="24"/>
        </w:rPr>
        <w:t>ierobežotas projektu iesniegumu atlases veidā</w:t>
      </w:r>
      <w:r w:rsidR="00220907">
        <w:rPr>
          <w:b/>
          <w:color w:val="auto"/>
          <w:sz w:val="24"/>
          <w:szCs w:val="24"/>
        </w:rPr>
        <w:t xml:space="preserve"> </w:t>
      </w:r>
      <w:r w:rsidR="00220907" w:rsidRPr="00220907">
        <w:rPr>
          <w:color w:val="auto"/>
          <w:sz w:val="24"/>
          <w:szCs w:val="24"/>
        </w:rPr>
        <w:t>vienā projektu iesniegumu atlases kārtā</w:t>
      </w:r>
      <w:r w:rsidRPr="00220907">
        <w:rPr>
          <w:color w:val="auto"/>
          <w:sz w:val="24"/>
          <w:szCs w:val="24"/>
        </w:rPr>
        <w:t>.</w:t>
      </w:r>
      <w:r>
        <w:rPr>
          <w:color w:val="auto"/>
          <w:sz w:val="24"/>
          <w:szCs w:val="24"/>
        </w:rPr>
        <w:t xml:space="preserve"> A</w:t>
      </w:r>
      <w:r w:rsidRPr="00911960">
        <w:rPr>
          <w:color w:val="auto"/>
          <w:sz w:val="24"/>
          <w:szCs w:val="24"/>
        </w:rPr>
        <w:t xml:space="preserve">tbildīgā iestāde </w:t>
      </w:r>
      <w:r>
        <w:rPr>
          <w:color w:val="auto"/>
          <w:sz w:val="24"/>
          <w:szCs w:val="24"/>
        </w:rPr>
        <w:t xml:space="preserve">vispirms </w:t>
      </w:r>
      <w:r w:rsidRPr="00911960">
        <w:rPr>
          <w:color w:val="auto"/>
          <w:sz w:val="24"/>
          <w:szCs w:val="24"/>
        </w:rPr>
        <w:t>sagatavo</w:t>
      </w:r>
      <w:r>
        <w:rPr>
          <w:color w:val="auto"/>
          <w:sz w:val="24"/>
          <w:szCs w:val="24"/>
        </w:rPr>
        <w:t>ja</w:t>
      </w:r>
      <w:r w:rsidRPr="00911960">
        <w:rPr>
          <w:color w:val="auto"/>
          <w:sz w:val="24"/>
          <w:szCs w:val="24"/>
        </w:rPr>
        <w:t xml:space="preserve"> sarakstu, kurā </w:t>
      </w:r>
      <w:r w:rsidR="00031F59">
        <w:rPr>
          <w:color w:val="auto"/>
          <w:sz w:val="24"/>
          <w:szCs w:val="24"/>
        </w:rPr>
        <w:t xml:space="preserve">tika </w:t>
      </w:r>
      <w:r w:rsidRPr="00911960">
        <w:rPr>
          <w:color w:val="auto"/>
          <w:sz w:val="24"/>
          <w:szCs w:val="24"/>
        </w:rPr>
        <w:t>norādītas augstākās izglītības institūcijas, kuras paredzēts uzaicināt iesniegt projekta iesniegumu, ņemot vērā atbilstības kritēriju</w:t>
      </w:r>
      <w:r>
        <w:rPr>
          <w:color w:val="auto"/>
          <w:sz w:val="24"/>
          <w:szCs w:val="24"/>
        </w:rPr>
        <w:t xml:space="preserve">, ka </w:t>
      </w:r>
      <w:r w:rsidRPr="00911960">
        <w:rPr>
          <w:color w:val="auto"/>
          <w:sz w:val="24"/>
          <w:szCs w:val="24"/>
        </w:rPr>
        <w:t>projekta iesnieguma iesniedzējs īsteno vismaz vienu pilna laika augstākās izglītības programmu kādā no prioritārajiem virzieniem.</w:t>
      </w:r>
      <w:r>
        <w:rPr>
          <w:color w:val="auto"/>
          <w:sz w:val="24"/>
          <w:szCs w:val="24"/>
        </w:rPr>
        <w:t xml:space="preserve"> Projektu iesniegumi tika pieņemti</w:t>
      </w:r>
      <w:r>
        <w:rPr>
          <w:rFonts w:ascii="Helvetica" w:hAnsi="Helvetica"/>
          <w:color w:val="4D4D4D"/>
          <w:sz w:val="19"/>
          <w:szCs w:val="19"/>
        </w:rPr>
        <w:t xml:space="preserve"> </w:t>
      </w:r>
      <w:r w:rsidRPr="00A02FDC">
        <w:rPr>
          <w:bCs/>
          <w:color w:val="auto"/>
          <w:sz w:val="24"/>
          <w:szCs w:val="24"/>
        </w:rPr>
        <w:t>no 2009.gada 28.maija līdz 2009.gada 21.augustam.</w:t>
      </w:r>
    </w:p>
    <w:p w:rsidR="00753DB7" w:rsidRPr="00FC5DA6" w:rsidRDefault="00DD41AA" w:rsidP="00DD41AA">
      <w:pPr>
        <w:pStyle w:val="abbreviationslist"/>
        <w:spacing w:before="0" w:after="0"/>
        <w:ind w:right="0" w:firstLine="720"/>
        <w:rPr>
          <w:bCs/>
          <w:sz w:val="24"/>
          <w:szCs w:val="24"/>
        </w:rPr>
      </w:pPr>
      <w:r w:rsidRPr="00FC5DA6">
        <w:rPr>
          <w:bCs/>
          <w:sz w:val="24"/>
          <w:szCs w:val="24"/>
        </w:rPr>
        <w:t>3.1.2.1.1.apakšaktivitātes ietvaros projektus īstenoja 11 koledžas ar kopējo projektos apstiprināto attiecināmo finansējumu 5 </w:t>
      </w:r>
      <w:r w:rsidR="00284E93">
        <w:rPr>
          <w:bCs/>
          <w:sz w:val="24"/>
          <w:szCs w:val="24"/>
        </w:rPr>
        <w:t>076</w:t>
      </w:r>
      <w:r w:rsidR="00284E93" w:rsidRPr="00FC5DA6">
        <w:rPr>
          <w:bCs/>
          <w:sz w:val="24"/>
          <w:szCs w:val="24"/>
        </w:rPr>
        <w:t> </w:t>
      </w:r>
      <w:r w:rsidR="00284E93">
        <w:rPr>
          <w:bCs/>
          <w:sz w:val="24"/>
          <w:szCs w:val="24"/>
        </w:rPr>
        <w:t>041</w:t>
      </w:r>
      <w:r w:rsidRPr="00FC5DA6">
        <w:rPr>
          <w:bCs/>
          <w:sz w:val="24"/>
          <w:szCs w:val="24"/>
        </w:rPr>
        <w:t>,</w:t>
      </w:r>
      <w:r w:rsidR="00284E93">
        <w:rPr>
          <w:bCs/>
          <w:sz w:val="24"/>
          <w:szCs w:val="24"/>
        </w:rPr>
        <w:t>71</w:t>
      </w:r>
      <w:r w:rsidR="00284E93" w:rsidRPr="00FC5DA6">
        <w:rPr>
          <w:bCs/>
          <w:sz w:val="24"/>
          <w:szCs w:val="24"/>
        </w:rPr>
        <w:t xml:space="preserve"> </w:t>
      </w:r>
      <w:proofErr w:type="spellStart"/>
      <w:r w:rsidRPr="00FC5DA6">
        <w:rPr>
          <w:bCs/>
          <w:i/>
          <w:sz w:val="24"/>
          <w:szCs w:val="24"/>
        </w:rPr>
        <w:t>euro</w:t>
      </w:r>
      <w:proofErr w:type="spellEnd"/>
      <w:r w:rsidRPr="00FC5DA6">
        <w:rPr>
          <w:rStyle w:val="FootnoteReference"/>
          <w:bCs/>
          <w:sz w:val="24"/>
          <w:szCs w:val="24"/>
        </w:rPr>
        <w:footnoteReference w:id="46"/>
      </w:r>
      <w:r w:rsidRPr="00FC5DA6">
        <w:rPr>
          <w:bCs/>
          <w:sz w:val="24"/>
          <w:szCs w:val="24"/>
        </w:rPr>
        <w:t xml:space="preserve">. </w:t>
      </w:r>
      <w:r w:rsidR="00753DB7" w:rsidRPr="00FC5DA6">
        <w:rPr>
          <w:bCs/>
          <w:sz w:val="24"/>
          <w:szCs w:val="24"/>
        </w:rPr>
        <w:t xml:space="preserve">Jāatzīmē, ka projektu īstenoja arī Liepājas Medicīnas koledža, kas reorganizācijas rezultātā </w:t>
      </w:r>
      <w:r w:rsidR="00996396" w:rsidRPr="00FC5DA6">
        <w:rPr>
          <w:bCs/>
          <w:sz w:val="24"/>
          <w:szCs w:val="24"/>
        </w:rPr>
        <w:t xml:space="preserve">2010.gadā </w:t>
      </w:r>
      <w:r w:rsidR="00753DB7" w:rsidRPr="00FC5DA6">
        <w:rPr>
          <w:bCs/>
          <w:sz w:val="24"/>
          <w:szCs w:val="24"/>
        </w:rPr>
        <w:t>kļuva par Rīgas Stradiņa universitātes Liepājas filiāli</w:t>
      </w:r>
      <w:r w:rsidR="0006415D" w:rsidRPr="00FC5DA6">
        <w:rPr>
          <w:rStyle w:val="FootnoteReference"/>
          <w:bCs/>
          <w:sz w:val="24"/>
          <w:szCs w:val="24"/>
        </w:rPr>
        <w:footnoteReference w:id="47"/>
      </w:r>
      <w:r w:rsidR="00753DB7" w:rsidRPr="00FC5DA6">
        <w:rPr>
          <w:bCs/>
          <w:sz w:val="24"/>
          <w:szCs w:val="24"/>
        </w:rPr>
        <w:t xml:space="preserve">. </w:t>
      </w:r>
      <w:r w:rsidR="00996396" w:rsidRPr="00FC5DA6">
        <w:rPr>
          <w:bCs/>
          <w:sz w:val="24"/>
          <w:szCs w:val="24"/>
        </w:rPr>
        <w:t xml:space="preserve">Projektus koledžas uzsāka īstenot 2010.gadā un īstenoja līdz </w:t>
      </w:r>
      <w:r w:rsidR="00031F59" w:rsidRPr="00FC5DA6">
        <w:rPr>
          <w:bCs/>
          <w:sz w:val="24"/>
          <w:szCs w:val="24"/>
        </w:rPr>
        <w:lastRenderedPageBreak/>
        <w:t>2012.gada beigām. Īsākais projekta īstenošanas termiņš ir 8 mēneši, ilgākais- 36 mēneši, vidēji</w:t>
      </w:r>
      <w:r w:rsidR="00C95A47">
        <w:rPr>
          <w:bCs/>
          <w:sz w:val="24"/>
          <w:szCs w:val="24"/>
        </w:rPr>
        <w:t xml:space="preserve"> –</w:t>
      </w:r>
      <w:r w:rsidR="00031F59" w:rsidRPr="00FC5DA6">
        <w:rPr>
          <w:bCs/>
          <w:sz w:val="24"/>
          <w:szCs w:val="24"/>
        </w:rPr>
        <w:t xml:space="preserve"> 20</w:t>
      </w:r>
      <w:r w:rsidR="00C95A47">
        <w:rPr>
          <w:bCs/>
          <w:sz w:val="24"/>
          <w:szCs w:val="24"/>
        </w:rPr>
        <w:t xml:space="preserve"> </w:t>
      </w:r>
      <w:r w:rsidR="00031F59" w:rsidRPr="00FC5DA6">
        <w:rPr>
          <w:bCs/>
          <w:sz w:val="24"/>
          <w:szCs w:val="24"/>
        </w:rPr>
        <w:t xml:space="preserve">mēneši. </w:t>
      </w:r>
      <w:r w:rsidR="00EC6B90">
        <w:rPr>
          <w:bCs/>
          <w:sz w:val="24"/>
          <w:szCs w:val="24"/>
        </w:rPr>
        <w:t xml:space="preserve">Projekti īstenoti par kopējo attiecināmo finansējumu robežās no 88 319 </w:t>
      </w:r>
      <w:proofErr w:type="spellStart"/>
      <w:r w:rsidR="00EC6B90" w:rsidRPr="00EC6B90">
        <w:rPr>
          <w:bCs/>
          <w:i/>
          <w:sz w:val="24"/>
          <w:szCs w:val="24"/>
        </w:rPr>
        <w:t>euro</w:t>
      </w:r>
      <w:proofErr w:type="spellEnd"/>
      <w:r w:rsidR="00EC6B90">
        <w:rPr>
          <w:bCs/>
          <w:sz w:val="24"/>
          <w:szCs w:val="24"/>
        </w:rPr>
        <w:t xml:space="preserve"> (Liepājas Jūrniecības koledža) līdz 1 004 854 </w:t>
      </w:r>
      <w:proofErr w:type="spellStart"/>
      <w:r w:rsidR="00EC6B90" w:rsidRPr="00EC6B90">
        <w:rPr>
          <w:bCs/>
          <w:i/>
          <w:sz w:val="24"/>
          <w:szCs w:val="24"/>
        </w:rPr>
        <w:t>euro</w:t>
      </w:r>
      <w:proofErr w:type="spellEnd"/>
      <w:r w:rsidR="00EC6B90">
        <w:rPr>
          <w:bCs/>
          <w:i/>
          <w:sz w:val="24"/>
          <w:szCs w:val="24"/>
        </w:rPr>
        <w:t xml:space="preserve"> </w:t>
      </w:r>
      <w:r w:rsidR="00EC6B90" w:rsidRPr="00EC6B90">
        <w:rPr>
          <w:bCs/>
          <w:sz w:val="24"/>
          <w:szCs w:val="24"/>
        </w:rPr>
        <w:t>(PIKC „Rīgas Tehniskā koledža”)</w:t>
      </w:r>
      <w:r w:rsidR="00EC6B90">
        <w:rPr>
          <w:bCs/>
          <w:sz w:val="24"/>
          <w:szCs w:val="24"/>
        </w:rPr>
        <w:t>, vidēji</w:t>
      </w:r>
      <w:r w:rsidR="005F3109">
        <w:rPr>
          <w:bCs/>
          <w:sz w:val="24"/>
          <w:szCs w:val="24"/>
        </w:rPr>
        <w:t xml:space="preserve"> </w:t>
      </w:r>
      <w:r w:rsidR="00C95A47">
        <w:rPr>
          <w:bCs/>
          <w:sz w:val="24"/>
          <w:szCs w:val="24"/>
        </w:rPr>
        <w:t>–</w:t>
      </w:r>
      <w:r w:rsidR="00EC6B90">
        <w:rPr>
          <w:bCs/>
          <w:sz w:val="24"/>
          <w:szCs w:val="24"/>
        </w:rPr>
        <w:t xml:space="preserve"> 464</w:t>
      </w:r>
      <w:r w:rsidR="00C95A47">
        <w:rPr>
          <w:bCs/>
          <w:sz w:val="24"/>
          <w:szCs w:val="24"/>
        </w:rPr>
        <w:t xml:space="preserve"> </w:t>
      </w:r>
      <w:r w:rsidR="00EC6B90">
        <w:rPr>
          <w:bCs/>
          <w:sz w:val="24"/>
          <w:szCs w:val="24"/>
        </w:rPr>
        <w:t xml:space="preserve">066 </w:t>
      </w:r>
      <w:proofErr w:type="spellStart"/>
      <w:r w:rsidR="001350B8" w:rsidRPr="001350B8">
        <w:rPr>
          <w:bCs/>
          <w:i/>
          <w:sz w:val="24"/>
          <w:szCs w:val="24"/>
        </w:rPr>
        <w:t>euro</w:t>
      </w:r>
      <w:proofErr w:type="spellEnd"/>
      <w:r w:rsidR="00EC6B90">
        <w:rPr>
          <w:bCs/>
          <w:sz w:val="24"/>
          <w:szCs w:val="24"/>
        </w:rPr>
        <w:t>.</w:t>
      </w:r>
    </w:p>
    <w:p w:rsidR="00C603BA" w:rsidRDefault="00DD41AA" w:rsidP="008E714D">
      <w:pPr>
        <w:pStyle w:val="abbreviationslist"/>
        <w:spacing w:before="0" w:after="0"/>
        <w:ind w:right="0" w:firstLine="720"/>
        <w:rPr>
          <w:bCs/>
          <w:sz w:val="24"/>
          <w:szCs w:val="24"/>
        </w:rPr>
      </w:pPr>
      <w:r w:rsidRPr="003D5C42">
        <w:rPr>
          <w:bCs/>
          <w:sz w:val="24"/>
          <w:szCs w:val="24"/>
        </w:rPr>
        <w:t>Visas 11 projektus realizējošās koledžas īsteno STEM</w:t>
      </w:r>
      <w:r w:rsidR="004F39CA">
        <w:rPr>
          <w:bCs/>
          <w:sz w:val="24"/>
          <w:szCs w:val="24"/>
        </w:rPr>
        <w:t xml:space="preserve"> </w:t>
      </w:r>
      <w:r w:rsidRPr="003D5C42">
        <w:rPr>
          <w:bCs/>
          <w:sz w:val="24"/>
          <w:szCs w:val="24"/>
        </w:rPr>
        <w:t>pirmā līmeņa profesionālās augstākās izglītības studiju programmas. No kopumā valstī šobrīd esošajām 1</w:t>
      </w:r>
      <w:r w:rsidR="003E5F05" w:rsidRPr="003D5C42">
        <w:rPr>
          <w:bCs/>
          <w:sz w:val="24"/>
          <w:szCs w:val="24"/>
        </w:rPr>
        <w:t>7</w:t>
      </w:r>
      <w:r w:rsidRPr="003D5C42">
        <w:rPr>
          <w:bCs/>
          <w:sz w:val="24"/>
          <w:szCs w:val="24"/>
        </w:rPr>
        <w:t xml:space="preserve"> koledžām, kas īsteno</w:t>
      </w:r>
      <w:r w:rsidR="008A35F0" w:rsidRPr="003D5C42">
        <w:rPr>
          <w:bCs/>
          <w:sz w:val="24"/>
          <w:szCs w:val="24"/>
        </w:rPr>
        <w:t xml:space="preserve"> STEM </w:t>
      </w:r>
      <w:r w:rsidRPr="003D5C42">
        <w:rPr>
          <w:bCs/>
          <w:sz w:val="24"/>
          <w:szCs w:val="24"/>
        </w:rPr>
        <w:t>pirmā līmeņa profesionālās augstākās izglītības studiju programm</w:t>
      </w:r>
      <w:r w:rsidR="001350B8" w:rsidRPr="001350B8">
        <w:rPr>
          <w:bCs/>
          <w:sz w:val="24"/>
          <w:szCs w:val="24"/>
        </w:rPr>
        <w:t xml:space="preserve">as, ERAF finansējumu 3.1.2.1.1.apakšaktivitātes ietvaros nesaņēma 2 valsts koledžas </w:t>
      </w:r>
      <w:r w:rsidR="001350B8" w:rsidRPr="001350B8">
        <w:rPr>
          <w:sz w:val="24"/>
          <w:szCs w:val="24"/>
        </w:rPr>
        <w:t>–</w:t>
      </w:r>
      <w:r w:rsidR="001350B8" w:rsidRPr="001350B8">
        <w:rPr>
          <w:bCs/>
          <w:sz w:val="24"/>
          <w:szCs w:val="24"/>
        </w:rPr>
        <w:t xml:space="preserve"> Jēkabpils </w:t>
      </w:r>
      <w:proofErr w:type="spellStart"/>
      <w:r w:rsidR="001350B8" w:rsidRPr="001350B8">
        <w:rPr>
          <w:bCs/>
          <w:sz w:val="24"/>
          <w:szCs w:val="24"/>
        </w:rPr>
        <w:t>Agrobiznesa</w:t>
      </w:r>
      <w:proofErr w:type="spellEnd"/>
      <w:r w:rsidR="001350B8" w:rsidRPr="001350B8">
        <w:rPr>
          <w:bCs/>
          <w:sz w:val="24"/>
          <w:szCs w:val="24"/>
        </w:rPr>
        <w:t xml:space="preserve"> koledža un Latvijas Kultūras akadēmijas Latvijas Kultūras koledža</w:t>
      </w:r>
      <w:r w:rsidRPr="003D5C42">
        <w:rPr>
          <w:bCs/>
          <w:sz w:val="24"/>
          <w:szCs w:val="24"/>
        </w:rPr>
        <w:t xml:space="preserve">, kā arī visas </w:t>
      </w:r>
      <w:r w:rsidR="002F3DEE">
        <w:rPr>
          <w:bCs/>
          <w:sz w:val="24"/>
          <w:szCs w:val="24"/>
        </w:rPr>
        <w:t>privātās</w:t>
      </w:r>
      <w:r w:rsidRPr="003D5C42">
        <w:rPr>
          <w:bCs/>
          <w:sz w:val="24"/>
          <w:szCs w:val="24"/>
        </w:rPr>
        <w:t xml:space="preserve"> koledžas, kas īsteno</w:t>
      </w:r>
      <w:r w:rsidR="001350B8" w:rsidRPr="001350B8">
        <w:rPr>
          <w:bCs/>
          <w:sz w:val="24"/>
          <w:szCs w:val="24"/>
        </w:rPr>
        <w:t xml:space="preserve"> STEM pirmā līmeņa profesionālās augstākās izglītības studiju programmas </w:t>
      </w:r>
      <w:r w:rsidR="00C95A47">
        <w:rPr>
          <w:bCs/>
          <w:sz w:val="24"/>
          <w:szCs w:val="24"/>
        </w:rPr>
        <w:t>–</w:t>
      </w:r>
      <w:r w:rsidR="001350B8" w:rsidRPr="001350B8">
        <w:rPr>
          <w:bCs/>
          <w:sz w:val="24"/>
          <w:szCs w:val="24"/>
        </w:rPr>
        <w:t xml:space="preserve"> Alberta</w:t>
      </w:r>
      <w:r w:rsidR="00C95A47">
        <w:rPr>
          <w:bCs/>
          <w:sz w:val="24"/>
          <w:szCs w:val="24"/>
        </w:rPr>
        <w:t xml:space="preserve"> </w:t>
      </w:r>
      <w:r w:rsidR="001350B8" w:rsidRPr="001350B8">
        <w:rPr>
          <w:bCs/>
          <w:sz w:val="24"/>
          <w:szCs w:val="24"/>
        </w:rPr>
        <w:t xml:space="preserve">koledža, Juridiskā koledža, Latvijas Biznesa koledža un </w:t>
      </w:r>
      <w:proofErr w:type="spellStart"/>
      <w:r w:rsidR="001350B8" w:rsidRPr="001350B8">
        <w:rPr>
          <w:bCs/>
          <w:sz w:val="24"/>
          <w:szCs w:val="24"/>
        </w:rPr>
        <w:t>Novikontas</w:t>
      </w:r>
      <w:proofErr w:type="spellEnd"/>
      <w:r w:rsidR="001350B8" w:rsidRPr="001350B8">
        <w:rPr>
          <w:bCs/>
          <w:sz w:val="24"/>
          <w:szCs w:val="24"/>
        </w:rPr>
        <w:t xml:space="preserve"> jūras koledža. </w:t>
      </w:r>
      <w:r w:rsidR="003D5C42">
        <w:rPr>
          <w:bCs/>
          <w:sz w:val="24"/>
          <w:szCs w:val="24"/>
        </w:rPr>
        <w:t xml:space="preserve">ERAF finansējuma nesaņēma arī </w:t>
      </w:r>
      <w:r w:rsidR="001350B8" w:rsidRPr="001350B8">
        <w:rPr>
          <w:bCs/>
          <w:sz w:val="24"/>
          <w:szCs w:val="24"/>
        </w:rPr>
        <w:t xml:space="preserve">Rīgas uzņēmējdarbības koledža, kas līdz 02.02.2015. īstenoja STEM programmas. </w:t>
      </w:r>
      <w:r w:rsidR="00E106EB" w:rsidRPr="003D5C42">
        <w:rPr>
          <w:bCs/>
          <w:sz w:val="24"/>
          <w:szCs w:val="24"/>
        </w:rPr>
        <w:t xml:space="preserve">Jēkabpils </w:t>
      </w:r>
      <w:proofErr w:type="spellStart"/>
      <w:r w:rsidR="00E106EB" w:rsidRPr="003D5C42">
        <w:rPr>
          <w:bCs/>
          <w:sz w:val="24"/>
          <w:szCs w:val="24"/>
        </w:rPr>
        <w:t>Agrobiznesa</w:t>
      </w:r>
      <w:proofErr w:type="spellEnd"/>
      <w:r w:rsidR="00E106EB" w:rsidRPr="003D5C42">
        <w:rPr>
          <w:bCs/>
          <w:sz w:val="24"/>
          <w:szCs w:val="24"/>
        </w:rPr>
        <w:t xml:space="preserve"> koledža, Latvijas Kultūras akadēmijas Latvijas Kultūras koledža</w:t>
      </w:r>
      <w:r w:rsidR="002F3DEE">
        <w:rPr>
          <w:bCs/>
          <w:sz w:val="24"/>
          <w:szCs w:val="24"/>
        </w:rPr>
        <w:t xml:space="preserve"> un</w:t>
      </w:r>
      <w:r w:rsidR="003D5C42" w:rsidRPr="003D5C42">
        <w:rPr>
          <w:bCs/>
          <w:sz w:val="24"/>
          <w:szCs w:val="24"/>
        </w:rPr>
        <w:t xml:space="preserve"> Rīgas uzņēmējdarbības koledža</w:t>
      </w:r>
      <w:r w:rsidR="00E106EB" w:rsidRPr="003D5C42">
        <w:rPr>
          <w:bCs/>
          <w:sz w:val="24"/>
          <w:szCs w:val="24"/>
        </w:rPr>
        <w:t xml:space="preserve"> netika uzaicinātas iesniegt projekta iesniegumu 3.1.2.1.1.apakšaktivitātes ietvaros, jo tās </w:t>
      </w:r>
      <w:r w:rsidR="001350B8" w:rsidRPr="002F3DEE">
        <w:rPr>
          <w:bCs/>
          <w:sz w:val="24"/>
          <w:szCs w:val="24"/>
        </w:rPr>
        <w:t xml:space="preserve">neatbilda </w:t>
      </w:r>
      <w:r w:rsidR="001350B8" w:rsidRPr="002F3DEE">
        <w:rPr>
          <w:sz w:val="24"/>
          <w:szCs w:val="24"/>
        </w:rPr>
        <w:t>ERAF finansējuma piešķiršanas nosacījumam – projekta minimālā attiecināmo izmaksu kopsumma ir ne mazāka par 70 280 lati</w:t>
      </w:r>
      <w:r w:rsidR="009136CA" w:rsidRPr="002F3DEE">
        <w:rPr>
          <w:sz w:val="24"/>
          <w:szCs w:val="24"/>
        </w:rPr>
        <w:t xml:space="preserve">em (atbilstoši finansējuma piešķiršanas formulai šīm koledžām aprēķinātais pieejamais finansējums bija </w:t>
      </w:r>
      <w:r w:rsidR="00B7210B" w:rsidRPr="002F3DEE">
        <w:rPr>
          <w:sz w:val="24"/>
          <w:szCs w:val="24"/>
        </w:rPr>
        <w:t xml:space="preserve">robežās </w:t>
      </w:r>
      <w:r w:rsidR="009136CA" w:rsidRPr="002F3DEE">
        <w:rPr>
          <w:sz w:val="24"/>
          <w:szCs w:val="24"/>
        </w:rPr>
        <w:t>no 30 698 līdz 43 535 latiem).</w:t>
      </w:r>
      <w:r w:rsidR="009136CA" w:rsidRPr="003D5C42">
        <w:rPr>
          <w:sz w:val="24"/>
          <w:szCs w:val="24"/>
        </w:rPr>
        <w:t xml:space="preserve"> Savukārt </w:t>
      </w:r>
      <w:r w:rsidR="002F3DEE">
        <w:rPr>
          <w:bCs/>
          <w:sz w:val="24"/>
          <w:szCs w:val="24"/>
        </w:rPr>
        <w:t xml:space="preserve">privātās </w:t>
      </w:r>
      <w:r w:rsidR="001350B8" w:rsidRPr="001350B8">
        <w:rPr>
          <w:bCs/>
          <w:sz w:val="24"/>
          <w:szCs w:val="24"/>
        </w:rPr>
        <w:t>koledža</w:t>
      </w:r>
      <w:r w:rsidR="002F3DEE">
        <w:rPr>
          <w:bCs/>
          <w:sz w:val="24"/>
          <w:szCs w:val="24"/>
        </w:rPr>
        <w:t>s</w:t>
      </w:r>
      <w:r w:rsidR="001350B8" w:rsidRPr="001350B8">
        <w:rPr>
          <w:bCs/>
          <w:sz w:val="24"/>
          <w:szCs w:val="24"/>
        </w:rPr>
        <w:t xml:space="preserve"> 2009.gadā neīstenoja studiju programmas prioritārajos virzienos.</w:t>
      </w:r>
    </w:p>
    <w:p w:rsidR="00820F72" w:rsidRDefault="00E36F8F" w:rsidP="008E714D">
      <w:pPr>
        <w:ind w:firstLine="720"/>
      </w:pPr>
      <w:r>
        <w:t>Izvērtējot 2007.–2013.gada plānošanas periodā 3.1.2.1.1.apakšaktivitātes ietvaros veikto ieguldījumu koledžu infrastruktūrā ietekmi uz ieguldījumu mērķu sasniegšanu, tālāk izvērtēti 2 rādītāji koledžām,</w:t>
      </w:r>
      <w:r w:rsidRPr="00D7650F">
        <w:rPr>
          <w:b/>
        </w:rPr>
        <w:t xml:space="preserve"> </w:t>
      </w:r>
      <w:r w:rsidRPr="00C831BF">
        <w:rPr>
          <w:b/>
        </w:rPr>
        <w:t>kas saņēma</w:t>
      </w:r>
      <w:r>
        <w:rPr>
          <w:b/>
        </w:rPr>
        <w:t xml:space="preserve"> un kas nesaņēma</w:t>
      </w:r>
      <w:r>
        <w:t xml:space="preserve"> finansiālu atbalstu 3.1.2.1.1. </w:t>
      </w:r>
      <w:proofErr w:type="spellStart"/>
      <w:r>
        <w:t>apakšaktivitātes</w:t>
      </w:r>
      <w:proofErr w:type="spellEnd"/>
      <w:r>
        <w:t xml:space="preserve"> ietvaros:</w:t>
      </w:r>
    </w:p>
    <w:p w:rsidR="00E36F8F" w:rsidRDefault="00E36F8F" w:rsidP="008E714D">
      <w:pPr>
        <w:pStyle w:val="ListParagraph"/>
        <w:numPr>
          <w:ilvl w:val="0"/>
          <w:numId w:val="42"/>
        </w:numPr>
        <w:contextualSpacing/>
      </w:pPr>
      <w:r>
        <w:t>studējošo skaita izmaiņas</w:t>
      </w:r>
      <w:r w:rsidRPr="00D7650F">
        <w:t xml:space="preserve"> </w:t>
      </w:r>
      <w:r w:rsidR="00C95A47">
        <w:t xml:space="preserve">sadalījumā </w:t>
      </w:r>
      <w:r w:rsidR="002F3DEE">
        <w:t xml:space="preserve">pa </w:t>
      </w:r>
      <w:r>
        <w:t>STEM jomas izglītības tematiskajā</w:t>
      </w:r>
      <w:r w:rsidR="002F3DEE">
        <w:t>m</w:t>
      </w:r>
      <w:r>
        <w:t xml:space="preserve"> grupā</w:t>
      </w:r>
      <w:r w:rsidR="002F3DEE">
        <w:t>m</w:t>
      </w:r>
      <w:r>
        <w:t xml:space="preserve"> un jomā</w:t>
      </w:r>
      <w:r w:rsidR="002F3DEE">
        <w:t>m</w:t>
      </w:r>
      <w:r>
        <w:t xml:space="preserve"> (salīdzināts tikai pilna laika studējošo skaits, ņemot vērā to, ka 3.1.2.1.1.apakšaktivitātes ietvaros atbalstu varēja saņemt tikai prioritāro virzienu pilna laika augstākās izglītības programmām);</w:t>
      </w:r>
    </w:p>
    <w:p w:rsidR="00E36F8F" w:rsidRDefault="00E36F8F" w:rsidP="008E714D">
      <w:pPr>
        <w:pStyle w:val="ListParagraph"/>
        <w:numPr>
          <w:ilvl w:val="0"/>
          <w:numId w:val="42"/>
        </w:numPr>
        <w:contextualSpacing/>
      </w:pPr>
      <w:r>
        <w:t xml:space="preserve">studiju programmu skaita izmaiņas </w:t>
      </w:r>
      <w:r w:rsidR="002F3DEE">
        <w:t xml:space="preserve">pa </w:t>
      </w:r>
      <w:r>
        <w:t>STEM jomas izglītības tematiskajā</w:t>
      </w:r>
      <w:r w:rsidR="002F3DEE">
        <w:t>m</w:t>
      </w:r>
      <w:r>
        <w:t xml:space="preserve"> grupā</w:t>
      </w:r>
      <w:r w:rsidR="002F3DEE">
        <w:t>m</w:t>
      </w:r>
      <w:r>
        <w:t>.</w:t>
      </w:r>
    </w:p>
    <w:p w:rsidR="00E177B1" w:rsidRDefault="00E177B1" w:rsidP="00E36F8F">
      <w:pPr>
        <w:jc w:val="right"/>
      </w:pPr>
    </w:p>
    <w:p w:rsidR="00E36F8F" w:rsidRDefault="00E36F8F" w:rsidP="00E36F8F">
      <w:pPr>
        <w:jc w:val="right"/>
      </w:pPr>
      <w:r>
        <w:t>2.1.attēls</w:t>
      </w:r>
    </w:p>
    <w:p w:rsidR="00E36F8F" w:rsidRDefault="00E36F8F" w:rsidP="00E36F8F">
      <w:pPr>
        <w:jc w:val="center"/>
        <w:rPr>
          <w:b/>
        </w:rPr>
      </w:pPr>
      <w:r w:rsidRPr="008E714D">
        <w:rPr>
          <w:b/>
        </w:rPr>
        <w:t xml:space="preserve">Studējošo skaita izmaiņas </w:t>
      </w:r>
      <w:r w:rsidR="00C95A47">
        <w:rPr>
          <w:b/>
        </w:rPr>
        <w:t xml:space="preserve">sadalījumā </w:t>
      </w:r>
      <w:r w:rsidR="002F3DEE" w:rsidRPr="008E714D">
        <w:rPr>
          <w:b/>
        </w:rPr>
        <w:t xml:space="preserve">pa </w:t>
      </w:r>
      <w:r w:rsidRPr="008E714D">
        <w:rPr>
          <w:b/>
        </w:rPr>
        <w:t>STEM jomas izglītības tematiskajā</w:t>
      </w:r>
      <w:r w:rsidR="002F3DEE" w:rsidRPr="008E714D">
        <w:rPr>
          <w:b/>
        </w:rPr>
        <w:t>m</w:t>
      </w:r>
      <w:r w:rsidRPr="008E714D">
        <w:rPr>
          <w:b/>
        </w:rPr>
        <w:t xml:space="preserve"> grupā</w:t>
      </w:r>
      <w:r w:rsidR="002F3DEE" w:rsidRPr="008E714D">
        <w:rPr>
          <w:b/>
        </w:rPr>
        <w:t>m</w:t>
      </w:r>
      <w:r w:rsidRPr="008E714D">
        <w:rPr>
          <w:b/>
        </w:rPr>
        <w:t xml:space="preserve"> un jomā</w:t>
      </w:r>
      <w:r w:rsidR="002F3DEE" w:rsidRPr="008E714D">
        <w:rPr>
          <w:b/>
        </w:rPr>
        <w:t>m</w:t>
      </w:r>
      <w:r w:rsidRPr="008E714D">
        <w:rPr>
          <w:b/>
        </w:rPr>
        <w:t xml:space="preserve"> koledžās, </w:t>
      </w:r>
      <w:r w:rsidRPr="008E714D">
        <w:rPr>
          <w:b/>
          <w:u w:val="single"/>
        </w:rPr>
        <w:t>kas saņēma</w:t>
      </w:r>
      <w:r w:rsidRPr="008E714D">
        <w:rPr>
          <w:b/>
        </w:rPr>
        <w:t xml:space="preserve"> finansiālu atbalstu 3.1.2.1.1. </w:t>
      </w:r>
      <w:proofErr w:type="spellStart"/>
      <w:r w:rsidRPr="008E714D">
        <w:rPr>
          <w:b/>
        </w:rPr>
        <w:t>apakšaktivitātes</w:t>
      </w:r>
      <w:proofErr w:type="spellEnd"/>
      <w:r w:rsidRPr="008E714D">
        <w:rPr>
          <w:b/>
        </w:rPr>
        <w:t xml:space="preserve"> ietvaros</w:t>
      </w:r>
    </w:p>
    <w:p w:rsidR="00E01E49" w:rsidRPr="008E714D" w:rsidRDefault="00E01E49" w:rsidP="00E36F8F">
      <w:pPr>
        <w:jc w:val="center"/>
        <w:rPr>
          <w:b/>
        </w:rPr>
      </w:pPr>
    </w:p>
    <w:p w:rsidR="00E36F8F" w:rsidRDefault="007B2E4E" w:rsidP="00E177B1">
      <w:pPr>
        <w:jc w:val="center"/>
      </w:pPr>
      <w:r>
        <w:rPr>
          <w:noProof/>
          <w:lang w:eastAsia="lv-LV"/>
        </w:rPr>
        <w:drawing>
          <wp:inline distT="0" distB="0" distL="0" distR="0">
            <wp:extent cx="5666105" cy="3429000"/>
            <wp:effectExtent l="0" t="0" r="10795" b="0"/>
            <wp:docPr id="5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36F8F" w:rsidRPr="00212F2C" w:rsidRDefault="00E36F8F" w:rsidP="00E36F8F">
      <w:pPr>
        <w:rPr>
          <w:i/>
          <w:sz w:val="22"/>
        </w:rPr>
      </w:pPr>
      <w:r w:rsidRPr="00212F2C">
        <w:rPr>
          <w:i/>
          <w:sz w:val="22"/>
        </w:rPr>
        <w:lastRenderedPageBreak/>
        <w:t xml:space="preserve">Piezīme. 5.izglītības tematiskajā grupā </w:t>
      </w:r>
      <w:r w:rsidRPr="00E14FCE">
        <w:t>„</w:t>
      </w:r>
      <w:r w:rsidRPr="00212F2C">
        <w:rPr>
          <w:i/>
          <w:sz w:val="22"/>
        </w:rPr>
        <w:t xml:space="preserve">Inženierzinātnes, ražošana un būvniecība” 2015./2016.ak.gada </w:t>
      </w:r>
      <w:r w:rsidR="002F3DEE">
        <w:rPr>
          <w:i/>
          <w:sz w:val="22"/>
        </w:rPr>
        <w:t xml:space="preserve">kopējā </w:t>
      </w:r>
      <w:r w:rsidRPr="00212F2C">
        <w:rPr>
          <w:i/>
          <w:sz w:val="22"/>
        </w:rPr>
        <w:t xml:space="preserve">studējošo skaitā ir iekļauti 53 studējošie no reorganizētās Rīgas Uzņēmējdarbības koledžas, kas nesaņēma atbalstu 3.1.2.1.1.apakšaktivitātes ietvaros. </w:t>
      </w:r>
    </w:p>
    <w:p w:rsidR="00E36F8F" w:rsidRDefault="00E36F8F" w:rsidP="00E36F8F"/>
    <w:p w:rsidR="00820F72" w:rsidRDefault="00E36F8F">
      <w:pPr>
        <w:ind w:firstLine="720"/>
      </w:pPr>
      <w:r>
        <w:t xml:space="preserve">Laika posmā no 2007./2008.ak.gada līdz 2015./2016.ak.gadam studējošo skaits STEM jomas studiju programmās tajās koledžās, kas saņēma finansiālu atbalstu 3.1.2.1.1. </w:t>
      </w:r>
      <w:proofErr w:type="spellStart"/>
      <w:r>
        <w:t>apakšaktivitātes</w:t>
      </w:r>
      <w:proofErr w:type="spellEnd"/>
      <w:r>
        <w:t xml:space="preserve"> ietvaros, ir palielinājies par 455 studentiem jeb 14</w:t>
      </w:r>
      <w:r w:rsidR="000003FD">
        <w:t xml:space="preserve"> </w:t>
      </w:r>
      <w:r>
        <w:t xml:space="preserve">%. Tas liecina par to, ka ES fondu 2007.–2013.gada plānošanas periodā veiktajiem ieguldījumiem koledžu infrastruktūrā ir bijusi pozitīva ietekme uz STEM jomas studējošo skaita pieaugumu. Jāatzīmē, ka </w:t>
      </w:r>
      <w:r w:rsidRPr="00364EDF">
        <w:t>kopumā šajā laika posmā kopējais koledžās studējošo skaits ir samazinājies par 10%.</w:t>
      </w:r>
      <w:r>
        <w:t xml:space="preserve"> </w:t>
      </w:r>
    </w:p>
    <w:p w:rsidR="00820F72" w:rsidRDefault="00E36F8F">
      <w:pPr>
        <w:ind w:firstLine="720"/>
      </w:pPr>
      <w:r>
        <w:t>Izvērtējot studējošo skaita izmaiņas izglītības tematiskajās grupās un jomās koledžās, kas saņēma atbalstu 3.1.2.1.1.</w:t>
      </w:r>
      <w:r w:rsidRPr="00E14FCE">
        <w:t xml:space="preserve"> </w:t>
      </w:r>
      <w:proofErr w:type="spellStart"/>
      <w:r>
        <w:t>apakšaktivitātes</w:t>
      </w:r>
      <w:proofErr w:type="spellEnd"/>
      <w:r>
        <w:t xml:space="preserve"> ietvaros, redzams, ka 3 no 5 STEM jomas izglītības tematiskajām grupām un jomām studējošo skaits ir palielinājies. Kā redzams 2.1.attēlā, vislielākais studējošo skaita pieaugums ir vērojams izglītības tematiskajā jomā </w:t>
      </w:r>
      <w:r w:rsidRPr="00A40FA3">
        <w:rPr>
          <w:i/>
        </w:rPr>
        <w:t>Veselības aprūpe</w:t>
      </w:r>
      <w:r>
        <w:t>, kur šajā laika periodā studējošo skaits ir palielinājies par 697 studentiem jeb 41</w:t>
      </w:r>
      <w:r w:rsidR="000003FD">
        <w:t xml:space="preserve"> </w:t>
      </w:r>
      <w:r>
        <w:t xml:space="preserve">%. Savukārt izglītības tematiskajā grupā </w:t>
      </w:r>
      <w:r w:rsidRPr="00A40FA3">
        <w:rPr>
          <w:i/>
        </w:rPr>
        <w:t>Inženier</w:t>
      </w:r>
      <w:r w:rsidR="00A40FA3">
        <w:rPr>
          <w:i/>
        </w:rPr>
        <w:t>zinātnes, ražošana un būvniecība</w:t>
      </w:r>
      <w:r>
        <w:t xml:space="preserve"> studējošo skaits ir samazinājies par 128 studentiem jeb 10</w:t>
      </w:r>
      <w:r w:rsidR="000003FD">
        <w:t xml:space="preserve"> </w:t>
      </w:r>
      <w:r>
        <w:t xml:space="preserve">%. Pamatā tas ir saistīts ar to, ka šajā laika periodā būtiski samazinājies studējošo skaits Rīgas Celtniecības koledžas īstenotajā studiju programmā </w:t>
      </w:r>
      <w:proofErr w:type="spellStart"/>
      <w:r w:rsidRPr="00A40FA3">
        <w:t>Būvzinības</w:t>
      </w:r>
      <w:proofErr w:type="spellEnd"/>
      <w:r>
        <w:t xml:space="preserve"> (no 601 uz 288 studentiem). Tas izskaidrojams ar to, ka kopš 2008./2009.ak.gada </w:t>
      </w:r>
      <w:r w:rsidR="00A40FA3">
        <w:t xml:space="preserve">šajā programmā </w:t>
      </w:r>
      <w:r>
        <w:t xml:space="preserve">strauji samazinājās maksas studējošo skaits (budžeta studentu skaits būtiski nav mainījies), ko visticamāk ir ietekmējusi 2008.gada ekonomiskā krīze, kuras rezultātā samazinājās gan iedzīvotāju maksātspēja, gan pieprasījums pēc būvniecības nozares pakalpojumiem. </w:t>
      </w:r>
      <w:r w:rsidRPr="0047005F">
        <w:t xml:space="preserve">Arī izglītības tematiskajā jomā </w:t>
      </w:r>
      <w:r w:rsidRPr="00A40FA3">
        <w:rPr>
          <w:i/>
        </w:rPr>
        <w:t>Vides aizsardzība</w:t>
      </w:r>
      <w:r w:rsidRPr="0047005F">
        <w:t xml:space="preserve"> studējošo skaits ir būtiski samazinājies – par 36 studentiem jeb 65</w:t>
      </w:r>
      <w:r w:rsidR="000003FD">
        <w:t xml:space="preserve"> </w:t>
      </w:r>
      <w:r w:rsidRPr="0047005F">
        <w:t xml:space="preserve">%. </w:t>
      </w:r>
    </w:p>
    <w:p w:rsidR="00820F72" w:rsidRDefault="00E36F8F">
      <w:pPr>
        <w:ind w:firstLine="720"/>
      </w:pPr>
      <w:r>
        <w:t>No valsts koledžām, kas īsteno STEM jomas studiju programmas, 3.1.2.1.1.</w:t>
      </w:r>
      <w:r w:rsidR="00C95A47">
        <w:t> </w:t>
      </w:r>
      <w:proofErr w:type="spellStart"/>
      <w:r>
        <w:t>apakšaktivitātes</w:t>
      </w:r>
      <w:proofErr w:type="spellEnd"/>
      <w:r>
        <w:t xml:space="preserve"> ietvaros finansiālu atbalstu nesaņēma Jēkabpils </w:t>
      </w:r>
      <w:proofErr w:type="spellStart"/>
      <w:r>
        <w:t>Agrobiznesa</w:t>
      </w:r>
      <w:proofErr w:type="spellEnd"/>
      <w:r>
        <w:t xml:space="preserve"> koledža, Latvijas Kultūras akadēmijas Latvijas Kultūras koledža un Rīgas Uzņēmējdarbības koledža. Studējošo skaita izmaiņas šo koledžu STEM jomas programmās </w:t>
      </w:r>
      <w:r w:rsidRPr="00424BE9">
        <w:t xml:space="preserve">skatīt </w:t>
      </w:r>
      <w:r w:rsidR="00C43701">
        <w:t xml:space="preserve">2.2. </w:t>
      </w:r>
      <w:r w:rsidR="00424BE9" w:rsidRPr="00424BE9">
        <w:t>attēlā</w:t>
      </w:r>
      <w:r w:rsidRPr="00424BE9">
        <w:t>.</w:t>
      </w:r>
      <w:r>
        <w:t xml:space="preserve"> </w:t>
      </w:r>
    </w:p>
    <w:p w:rsidR="00E177B1" w:rsidRDefault="00E177B1" w:rsidP="00E36F8F">
      <w:pPr>
        <w:jc w:val="right"/>
      </w:pPr>
    </w:p>
    <w:p w:rsidR="00E36F8F" w:rsidRDefault="00424BE9" w:rsidP="00E36F8F">
      <w:pPr>
        <w:jc w:val="right"/>
      </w:pPr>
      <w:r w:rsidRPr="00424BE9">
        <w:t>2.2. attēls</w:t>
      </w:r>
    </w:p>
    <w:p w:rsidR="00424BE9" w:rsidRDefault="00E36F8F" w:rsidP="00E36F8F">
      <w:pPr>
        <w:jc w:val="center"/>
      </w:pPr>
      <w:r w:rsidRPr="008E714D">
        <w:rPr>
          <w:b/>
        </w:rPr>
        <w:t xml:space="preserve">Studējošo skaita izmaiņas STEM jomas </w:t>
      </w:r>
      <w:r w:rsidR="00424BE9" w:rsidRPr="008E714D">
        <w:rPr>
          <w:b/>
        </w:rPr>
        <w:t xml:space="preserve">studiju programmās </w:t>
      </w:r>
      <w:r w:rsidRPr="008E714D">
        <w:rPr>
          <w:b/>
        </w:rPr>
        <w:t xml:space="preserve">koledžās, </w:t>
      </w:r>
      <w:r w:rsidRPr="008E714D">
        <w:rPr>
          <w:b/>
          <w:u w:val="single"/>
        </w:rPr>
        <w:t>kas nesaņēma</w:t>
      </w:r>
      <w:r w:rsidRPr="008E714D">
        <w:rPr>
          <w:b/>
        </w:rPr>
        <w:t xml:space="preserve"> finansiālu atbalstu 3.1.2.1.1. </w:t>
      </w:r>
      <w:proofErr w:type="spellStart"/>
      <w:r w:rsidRPr="008E714D">
        <w:rPr>
          <w:b/>
        </w:rPr>
        <w:t>apakšaktivitātes</w:t>
      </w:r>
      <w:proofErr w:type="spellEnd"/>
      <w:r w:rsidRPr="008E714D">
        <w:rPr>
          <w:b/>
        </w:rPr>
        <w:t xml:space="preserve"> ietvaros</w:t>
      </w:r>
    </w:p>
    <w:p w:rsidR="00424BE9" w:rsidRDefault="00424BE9" w:rsidP="00E177B1">
      <w:pPr>
        <w:jc w:val="center"/>
      </w:pPr>
      <w:r>
        <w:rPr>
          <w:noProof/>
          <w:lang w:eastAsia="lv-LV"/>
        </w:rPr>
        <w:drawing>
          <wp:inline distT="0" distB="0" distL="0" distR="0">
            <wp:extent cx="5419725" cy="2747645"/>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24BE9" w:rsidRPr="002F3DEE" w:rsidRDefault="00424BE9" w:rsidP="00424BE9">
      <w:pPr>
        <w:rPr>
          <w:sz w:val="20"/>
        </w:rPr>
      </w:pPr>
      <w:r w:rsidRPr="002F3DEE">
        <w:rPr>
          <w:sz w:val="20"/>
        </w:rPr>
        <w:t xml:space="preserve">* studējošo skaits </w:t>
      </w:r>
      <w:r>
        <w:rPr>
          <w:sz w:val="20"/>
        </w:rPr>
        <w:t xml:space="preserve">2007./2008. un </w:t>
      </w:r>
      <w:r w:rsidRPr="002F3DEE">
        <w:rPr>
          <w:sz w:val="20"/>
        </w:rPr>
        <w:t xml:space="preserve">2014./2015.ak.gadā </w:t>
      </w:r>
    </w:p>
    <w:p w:rsidR="00E36F8F" w:rsidRPr="00424BE9" w:rsidRDefault="00424BE9" w:rsidP="00E36F8F">
      <w:pPr>
        <w:rPr>
          <w:i/>
          <w:szCs w:val="24"/>
        </w:rPr>
      </w:pPr>
      <w:r w:rsidRPr="00424BE9">
        <w:rPr>
          <w:i/>
          <w:szCs w:val="24"/>
        </w:rPr>
        <w:t>Avots: IZM dati</w:t>
      </w:r>
    </w:p>
    <w:p w:rsidR="000003FD" w:rsidRDefault="000003FD">
      <w:pPr>
        <w:ind w:firstLine="720"/>
        <w:rPr>
          <w:szCs w:val="24"/>
        </w:rPr>
      </w:pPr>
    </w:p>
    <w:p w:rsidR="00820F72" w:rsidRDefault="00424BE9">
      <w:pPr>
        <w:ind w:firstLine="720"/>
        <w:rPr>
          <w:szCs w:val="24"/>
        </w:rPr>
      </w:pPr>
      <w:r>
        <w:rPr>
          <w:szCs w:val="24"/>
        </w:rPr>
        <w:lastRenderedPageBreak/>
        <w:t>2.2.attēlā</w:t>
      </w:r>
      <w:r w:rsidR="00E36F8F" w:rsidRPr="009E185D">
        <w:rPr>
          <w:szCs w:val="24"/>
        </w:rPr>
        <w:t xml:space="preserve"> atspoguļotie dati rāda, ka minētajās programmās vērojamas atšķirīgas studējošo skaita izmaiņu tendences,- ja studiju programmā </w:t>
      </w:r>
      <w:r w:rsidR="00E36F8F" w:rsidRPr="00A40FA3">
        <w:rPr>
          <w:szCs w:val="24"/>
        </w:rPr>
        <w:t xml:space="preserve">Deja </w:t>
      </w:r>
      <w:r w:rsidR="00E36F8F" w:rsidRPr="009E185D">
        <w:rPr>
          <w:szCs w:val="24"/>
        </w:rPr>
        <w:t>studējošo skaits ir pieaudzis par 21</w:t>
      </w:r>
      <w:r w:rsidR="000003FD">
        <w:rPr>
          <w:szCs w:val="24"/>
        </w:rPr>
        <w:t xml:space="preserve"> </w:t>
      </w:r>
      <w:r w:rsidR="00E36F8F" w:rsidRPr="009E185D">
        <w:rPr>
          <w:szCs w:val="24"/>
        </w:rPr>
        <w:t xml:space="preserve">%, tad studiju programmā  </w:t>
      </w:r>
      <w:r w:rsidR="00E36F8F" w:rsidRPr="00A40FA3">
        <w:rPr>
          <w:szCs w:val="24"/>
          <w:lang w:eastAsia="lv-LV"/>
        </w:rPr>
        <w:t>Pārtikas produktu pārstrāde un ražošanas tehnoloģija</w:t>
      </w:r>
      <w:r w:rsidR="00E36F8F" w:rsidRPr="009E185D">
        <w:rPr>
          <w:szCs w:val="24"/>
          <w:lang w:eastAsia="lv-LV"/>
        </w:rPr>
        <w:t xml:space="preserve"> tas ir samazinājies par 58</w:t>
      </w:r>
      <w:r w:rsidR="000003FD">
        <w:rPr>
          <w:szCs w:val="24"/>
          <w:lang w:eastAsia="lv-LV"/>
        </w:rPr>
        <w:t xml:space="preserve"> </w:t>
      </w:r>
      <w:r w:rsidR="00E36F8F" w:rsidRPr="009E185D">
        <w:rPr>
          <w:szCs w:val="24"/>
          <w:lang w:eastAsia="lv-LV"/>
        </w:rPr>
        <w:t xml:space="preserve">%. </w:t>
      </w:r>
      <w:r w:rsidR="00E36F8F" w:rsidRPr="00364EDF">
        <w:rPr>
          <w:szCs w:val="24"/>
          <w:lang w:eastAsia="lv-LV"/>
        </w:rPr>
        <w:t xml:space="preserve">Studējošos skaita strauju samazinājumu 2014./2015.ak.g. ietekmējis fakts, ka </w:t>
      </w:r>
      <w:r w:rsidR="00E36F8F" w:rsidRPr="00364EDF">
        <w:rPr>
          <w:sz w:val="22"/>
        </w:rPr>
        <w:t>Rīgas Uzņēmējdarbības koledža</w:t>
      </w:r>
      <w:r w:rsidR="00E36F8F" w:rsidRPr="00364EDF">
        <w:rPr>
          <w:szCs w:val="24"/>
          <w:lang w:eastAsia="lv-LV"/>
        </w:rPr>
        <w:t xml:space="preserve"> tika reorganizēta ar 02.02.2015., STEM studiju programmu īstenošanu nododot </w:t>
      </w:r>
      <w:r w:rsidR="00E36F8F" w:rsidRPr="00364EDF">
        <w:rPr>
          <w:szCs w:val="24"/>
        </w:rPr>
        <w:t>Olaines Mehānikas un tehnoloģijas koledžai un PIKC „Rīgas Tehniskā koledža” un 2014./2015.ak.g. jauni studenti pilna laika studijās (budžeta vietas) netika uzņemti.</w:t>
      </w:r>
      <w:r w:rsidR="00E36F8F" w:rsidRPr="00BE2A6B">
        <w:rPr>
          <w:color w:val="FF0000"/>
          <w:szCs w:val="24"/>
          <w:lang w:eastAsia="lv-LV"/>
        </w:rPr>
        <w:t xml:space="preserve"> </w:t>
      </w:r>
      <w:r w:rsidR="00E36F8F" w:rsidRPr="009E185D">
        <w:rPr>
          <w:szCs w:val="24"/>
          <w:lang w:eastAsia="lv-LV"/>
        </w:rPr>
        <w:t xml:space="preserve">Studiju programmā </w:t>
      </w:r>
      <w:r w:rsidR="00E36F8F" w:rsidRPr="00A40FA3">
        <w:rPr>
          <w:szCs w:val="24"/>
          <w:lang w:eastAsia="lv-LV"/>
        </w:rPr>
        <w:t>Datorsistēmu un datortīkla administrēšana</w:t>
      </w:r>
      <w:r w:rsidR="00E36F8F" w:rsidRPr="009E185D">
        <w:rPr>
          <w:szCs w:val="24"/>
        </w:rPr>
        <w:t xml:space="preserve"> studējošo skaits būtiski nav mainījies. Privātās koledžas 2007./2008.ak.gadā neīstenoja studiju programmas STEM jomā.</w:t>
      </w:r>
    </w:p>
    <w:p w:rsidR="00E36F8F" w:rsidRDefault="00E36F8F" w:rsidP="00E36F8F">
      <w:pPr>
        <w:jc w:val="right"/>
      </w:pPr>
      <w:r>
        <w:t>2.</w:t>
      </w:r>
      <w:r w:rsidR="00424BE9">
        <w:t>3</w:t>
      </w:r>
      <w:r>
        <w:t>.attēls</w:t>
      </w:r>
    </w:p>
    <w:p w:rsidR="00E36F8F" w:rsidRDefault="00E36F8F" w:rsidP="00E36F8F">
      <w:pPr>
        <w:jc w:val="center"/>
        <w:rPr>
          <w:b/>
        </w:rPr>
      </w:pPr>
      <w:r w:rsidRPr="008E714D">
        <w:rPr>
          <w:b/>
        </w:rPr>
        <w:t xml:space="preserve">Studiju programmu skaita izmaiņas </w:t>
      </w:r>
      <w:r w:rsidR="002F3DEE" w:rsidRPr="008E714D">
        <w:rPr>
          <w:b/>
        </w:rPr>
        <w:t xml:space="preserve">pa </w:t>
      </w:r>
      <w:r w:rsidRPr="008E714D">
        <w:rPr>
          <w:b/>
        </w:rPr>
        <w:t>STEM jomas izglītības tematiskajā</w:t>
      </w:r>
      <w:r w:rsidR="002F3DEE" w:rsidRPr="008E714D">
        <w:rPr>
          <w:b/>
        </w:rPr>
        <w:t>m</w:t>
      </w:r>
      <w:r w:rsidRPr="008E714D">
        <w:rPr>
          <w:b/>
        </w:rPr>
        <w:t xml:space="preserve"> grupā</w:t>
      </w:r>
      <w:r w:rsidR="002F3DEE" w:rsidRPr="008E714D">
        <w:rPr>
          <w:b/>
        </w:rPr>
        <w:t>m</w:t>
      </w:r>
      <w:r w:rsidRPr="008E714D">
        <w:rPr>
          <w:b/>
        </w:rPr>
        <w:t xml:space="preserve"> un jomā</w:t>
      </w:r>
      <w:r w:rsidR="002F3DEE" w:rsidRPr="008E714D">
        <w:rPr>
          <w:b/>
        </w:rPr>
        <w:t>m</w:t>
      </w:r>
      <w:r w:rsidRPr="008E714D">
        <w:rPr>
          <w:b/>
        </w:rPr>
        <w:t xml:space="preserve"> koledžās, </w:t>
      </w:r>
      <w:r w:rsidRPr="008E714D">
        <w:rPr>
          <w:b/>
          <w:u w:val="single"/>
        </w:rPr>
        <w:t>kas saņēma</w:t>
      </w:r>
      <w:r w:rsidRPr="008E714D">
        <w:rPr>
          <w:b/>
        </w:rPr>
        <w:t xml:space="preserve"> finansiālu atbalstu 3.1.2.1.1. </w:t>
      </w:r>
      <w:proofErr w:type="spellStart"/>
      <w:r w:rsidRPr="008E714D">
        <w:rPr>
          <w:b/>
        </w:rPr>
        <w:t>apakšaktivitātes</w:t>
      </w:r>
      <w:proofErr w:type="spellEnd"/>
      <w:r w:rsidRPr="008E714D">
        <w:rPr>
          <w:b/>
        </w:rPr>
        <w:t xml:space="preserve"> ietvaros</w:t>
      </w:r>
    </w:p>
    <w:p w:rsidR="00B846F9" w:rsidRPr="008E714D" w:rsidRDefault="00B846F9" w:rsidP="00E36F8F">
      <w:pPr>
        <w:jc w:val="center"/>
        <w:rPr>
          <w:b/>
        </w:rPr>
      </w:pPr>
    </w:p>
    <w:p w:rsidR="00E36F8F" w:rsidRDefault="007B2E4E" w:rsidP="00E36F8F">
      <w:r>
        <w:rPr>
          <w:noProof/>
          <w:lang w:eastAsia="lv-LV"/>
        </w:rPr>
        <w:drawing>
          <wp:inline distT="0" distB="0" distL="0" distR="0">
            <wp:extent cx="5172075" cy="2762250"/>
            <wp:effectExtent l="0" t="0" r="0" b="0"/>
            <wp:docPr id="5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846F9" w:rsidRPr="00424BE9" w:rsidRDefault="00B846F9" w:rsidP="00B846F9">
      <w:pPr>
        <w:rPr>
          <w:i/>
          <w:szCs w:val="24"/>
        </w:rPr>
      </w:pPr>
      <w:r w:rsidRPr="00424BE9">
        <w:rPr>
          <w:i/>
          <w:szCs w:val="24"/>
        </w:rPr>
        <w:t>Avots: IZM dati</w:t>
      </w:r>
    </w:p>
    <w:p w:rsidR="00424BE9" w:rsidRDefault="00424BE9" w:rsidP="00E36F8F">
      <w:pPr>
        <w:rPr>
          <w:i/>
          <w:sz w:val="22"/>
        </w:rPr>
      </w:pPr>
    </w:p>
    <w:p w:rsidR="00E36F8F" w:rsidRDefault="00E36F8F" w:rsidP="00E36F8F">
      <w:pPr>
        <w:rPr>
          <w:i/>
          <w:sz w:val="22"/>
        </w:rPr>
      </w:pPr>
      <w:r w:rsidRPr="00D3004A">
        <w:rPr>
          <w:i/>
          <w:sz w:val="22"/>
        </w:rPr>
        <w:t>Piezīme</w:t>
      </w:r>
      <w:r>
        <w:rPr>
          <w:i/>
          <w:sz w:val="22"/>
        </w:rPr>
        <w:t>.</w:t>
      </w:r>
      <w:r w:rsidRPr="00D3004A">
        <w:rPr>
          <w:i/>
          <w:sz w:val="22"/>
        </w:rPr>
        <w:t xml:space="preserve"> 5.izglītības tematiskajā grupā “Inženierzinātnes, ražošana un būvniecība” 2015./2016.ak.gadā </w:t>
      </w:r>
      <w:r>
        <w:rPr>
          <w:i/>
          <w:sz w:val="22"/>
        </w:rPr>
        <w:t>17 studiju programmu skaitā ir iekļautas 2</w:t>
      </w:r>
      <w:r w:rsidRPr="00D3004A">
        <w:rPr>
          <w:i/>
          <w:sz w:val="22"/>
        </w:rPr>
        <w:t xml:space="preserve"> programmas</w:t>
      </w:r>
      <w:r>
        <w:rPr>
          <w:i/>
          <w:sz w:val="22"/>
        </w:rPr>
        <w:t xml:space="preserve">, kas ir pārņemtas no reorganizētās </w:t>
      </w:r>
      <w:r w:rsidRPr="00212F2C">
        <w:rPr>
          <w:i/>
          <w:sz w:val="22"/>
        </w:rPr>
        <w:t>Rīgas Uzņēmējdarbības koledžas</w:t>
      </w:r>
      <w:r>
        <w:rPr>
          <w:i/>
          <w:sz w:val="22"/>
        </w:rPr>
        <w:t xml:space="preserve">, kas nesaņēma atbalstu 3.1.2.1.1.apakšaktivitātes ietvaros </w:t>
      </w:r>
    </w:p>
    <w:p w:rsidR="00424BE9" w:rsidRDefault="00424BE9" w:rsidP="00E36F8F">
      <w:pPr>
        <w:rPr>
          <w:szCs w:val="24"/>
        </w:rPr>
      </w:pPr>
    </w:p>
    <w:p w:rsidR="00820F72" w:rsidRDefault="00E36F8F">
      <w:pPr>
        <w:ind w:firstLine="720"/>
        <w:rPr>
          <w:szCs w:val="24"/>
        </w:rPr>
      </w:pPr>
      <w:r w:rsidRPr="00E57797">
        <w:rPr>
          <w:szCs w:val="24"/>
        </w:rPr>
        <w:t xml:space="preserve">Kā redzams </w:t>
      </w:r>
      <w:r>
        <w:rPr>
          <w:szCs w:val="24"/>
        </w:rPr>
        <w:t>2.</w:t>
      </w:r>
      <w:r w:rsidR="00424BE9">
        <w:rPr>
          <w:szCs w:val="24"/>
        </w:rPr>
        <w:t>3</w:t>
      </w:r>
      <w:r>
        <w:rPr>
          <w:szCs w:val="24"/>
        </w:rPr>
        <w:t>.</w:t>
      </w:r>
      <w:r w:rsidRPr="00E57797">
        <w:rPr>
          <w:szCs w:val="24"/>
        </w:rPr>
        <w:t xml:space="preserve">attēlā, laika posmā no 2007./2008.ak.gada līdz 2015./2016.ak.gadam </w:t>
      </w:r>
      <w:r>
        <w:rPr>
          <w:szCs w:val="24"/>
        </w:rPr>
        <w:t xml:space="preserve">tajās koledžās, kas saņēma </w:t>
      </w:r>
      <w:r>
        <w:t>atbalstu 3.1.2.1.1.</w:t>
      </w:r>
      <w:r w:rsidRPr="00E14FCE">
        <w:t xml:space="preserve"> </w:t>
      </w:r>
      <w:proofErr w:type="spellStart"/>
      <w:r>
        <w:t>apakšaktivitātes</w:t>
      </w:r>
      <w:proofErr w:type="spellEnd"/>
      <w:r>
        <w:t xml:space="preserve"> ietvaros,</w:t>
      </w:r>
      <w:r w:rsidRPr="00E57797">
        <w:rPr>
          <w:szCs w:val="24"/>
        </w:rPr>
        <w:t xml:space="preserve"> studiju programmu skaits</w:t>
      </w:r>
      <w:r>
        <w:rPr>
          <w:szCs w:val="24"/>
        </w:rPr>
        <w:t xml:space="preserve"> ir palielinājies par 8 programmām:</w:t>
      </w:r>
    </w:p>
    <w:p w:rsidR="00E36F8F" w:rsidRPr="002B1AD5" w:rsidRDefault="00E36F8F" w:rsidP="00722156">
      <w:pPr>
        <w:pStyle w:val="ListParagraph"/>
        <w:numPr>
          <w:ilvl w:val="0"/>
          <w:numId w:val="41"/>
        </w:numPr>
        <w:contextualSpacing/>
        <w:rPr>
          <w:szCs w:val="24"/>
          <w:lang w:eastAsia="lv-LV"/>
        </w:rPr>
      </w:pPr>
      <w:r w:rsidRPr="00D54B6E">
        <w:rPr>
          <w:color w:val="000000"/>
          <w:szCs w:val="24"/>
          <w:lang w:eastAsia="lv-LV"/>
        </w:rPr>
        <w:t>Latvijas Universitātes Rīgas Medicīnas koledž</w:t>
      </w:r>
      <w:r>
        <w:rPr>
          <w:color w:val="000000"/>
          <w:szCs w:val="24"/>
          <w:lang w:eastAsia="lv-LV"/>
        </w:rPr>
        <w:t>ā</w:t>
      </w:r>
      <w:r>
        <w:rPr>
          <w:szCs w:val="24"/>
        </w:rPr>
        <w:t xml:space="preserve"> </w:t>
      </w:r>
      <w:r w:rsidRPr="00FF4F2A">
        <w:rPr>
          <w:szCs w:val="24"/>
          <w:lang w:eastAsia="lv-LV"/>
        </w:rPr>
        <w:t xml:space="preserve">– studiju programma </w:t>
      </w:r>
      <w:r w:rsidRPr="00A40FA3">
        <w:rPr>
          <w:szCs w:val="24"/>
          <w:lang w:eastAsia="lv-LV"/>
        </w:rPr>
        <w:t>Masāža un hidroterapija</w:t>
      </w:r>
      <w:r>
        <w:rPr>
          <w:i/>
          <w:szCs w:val="24"/>
          <w:lang w:eastAsia="lv-LV"/>
        </w:rPr>
        <w:t xml:space="preserve"> (īstenošana uzsākta </w:t>
      </w:r>
      <w:r w:rsidRPr="002B1AD5">
        <w:rPr>
          <w:i/>
          <w:szCs w:val="24"/>
          <w:lang w:eastAsia="lv-LV"/>
        </w:rPr>
        <w:t>2015./2016.ak.g.)</w:t>
      </w:r>
      <w:r w:rsidRPr="002B1AD5">
        <w:rPr>
          <w:szCs w:val="24"/>
          <w:lang w:eastAsia="lv-LV"/>
        </w:rPr>
        <w:t>;</w:t>
      </w:r>
    </w:p>
    <w:p w:rsidR="00E36F8F" w:rsidRPr="002B1AD5" w:rsidRDefault="00E36F8F" w:rsidP="00722156">
      <w:pPr>
        <w:pStyle w:val="ListParagraph"/>
        <w:numPr>
          <w:ilvl w:val="0"/>
          <w:numId w:val="41"/>
        </w:numPr>
        <w:contextualSpacing/>
        <w:rPr>
          <w:szCs w:val="24"/>
          <w:lang w:eastAsia="lv-LV"/>
        </w:rPr>
      </w:pPr>
      <w:r w:rsidRPr="00D54B6E">
        <w:rPr>
          <w:color w:val="000000"/>
          <w:szCs w:val="24"/>
          <w:lang w:eastAsia="lv-LV"/>
        </w:rPr>
        <w:t>Latvijas Universitātes P.Stradiņa medicīnas koledž</w:t>
      </w:r>
      <w:r>
        <w:rPr>
          <w:color w:val="000000"/>
          <w:szCs w:val="24"/>
          <w:lang w:eastAsia="lv-LV"/>
        </w:rPr>
        <w:t>ā</w:t>
      </w:r>
      <w:r w:rsidRPr="00FF4F2A">
        <w:rPr>
          <w:szCs w:val="24"/>
          <w:lang w:eastAsia="lv-LV"/>
        </w:rPr>
        <w:t xml:space="preserve"> – studiju programma </w:t>
      </w:r>
      <w:r w:rsidRPr="00A40FA3">
        <w:rPr>
          <w:szCs w:val="24"/>
          <w:lang w:eastAsia="lv-LV"/>
        </w:rPr>
        <w:t>Ārstnieciskā masāža</w:t>
      </w:r>
      <w:r>
        <w:rPr>
          <w:i/>
          <w:szCs w:val="24"/>
          <w:lang w:eastAsia="lv-LV"/>
        </w:rPr>
        <w:t xml:space="preserve"> (īstenošana uzsākta </w:t>
      </w:r>
      <w:r w:rsidRPr="002B1AD5">
        <w:rPr>
          <w:i/>
          <w:szCs w:val="24"/>
          <w:lang w:eastAsia="lv-LV"/>
        </w:rPr>
        <w:t>2015./2016.ak.g.)</w:t>
      </w:r>
      <w:r w:rsidRPr="002B1AD5">
        <w:rPr>
          <w:szCs w:val="24"/>
          <w:lang w:eastAsia="lv-LV"/>
        </w:rPr>
        <w:t>;</w:t>
      </w:r>
    </w:p>
    <w:p w:rsidR="00E36F8F" w:rsidRPr="002B1AD5" w:rsidRDefault="00E36F8F" w:rsidP="00722156">
      <w:pPr>
        <w:pStyle w:val="ListParagraph"/>
        <w:numPr>
          <w:ilvl w:val="0"/>
          <w:numId w:val="41"/>
        </w:numPr>
        <w:contextualSpacing/>
        <w:rPr>
          <w:szCs w:val="24"/>
          <w:lang w:eastAsia="lv-LV"/>
        </w:rPr>
      </w:pPr>
      <w:r w:rsidRPr="00D54B6E">
        <w:rPr>
          <w:color w:val="000000"/>
          <w:szCs w:val="24"/>
          <w:lang w:eastAsia="lv-LV"/>
        </w:rPr>
        <w:t xml:space="preserve">Rīgas Stradiņa universitātes </w:t>
      </w:r>
      <w:r>
        <w:rPr>
          <w:color w:val="000000"/>
          <w:szCs w:val="24"/>
          <w:lang w:eastAsia="lv-LV"/>
        </w:rPr>
        <w:t xml:space="preserve">Sarkanā Krusta medicīnas koledžā </w:t>
      </w:r>
      <w:r w:rsidRPr="00FF4F2A">
        <w:rPr>
          <w:color w:val="000000"/>
          <w:szCs w:val="24"/>
          <w:lang w:eastAsia="lv-LV"/>
        </w:rPr>
        <w:t xml:space="preserve">– studiju programma </w:t>
      </w:r>
      <w:r w:rsidRPr="00A40FA3">
        <w:rPr>
          <w:szCs w:val="24"/>
          <w:lang w:eastAsia="lv-LV"/>
        </w:rPr>
        <w:t>Ārstnieciskā masāža</w:t>
      </w:r>
      <w:r>
        <w:rPr>
          <w:i/>
          <w:szCs w:val="24"/>
          <w:lang w:eastAsia="lv-LV"/>
        </w:rPr>
        <w:t xml:space="preserve"> (īstenošana uzsākta </w:t>
      </w:r>
      <w:r w:rsidRPr="002B1AD5">
        <w:rPr>
          <w:i/>
          <w:szCs w:val="24"/>
          <w:lang w:eastAsia="lv-LV"/>
        </w:rPr>
        <w:t>2015./2016.ak.g.)</w:t>
      </w:r>
      <w:r w:rsidRPr="002B1AD5">
        <w:rPr>
          <w:szCs w:val="24"/>
          <w:lang w:eastAsia="lv-LV"/>
        </w:rPr>
        <w:t>;</w:t>
      </w:r>
    </w:p>
    <w:p w:rsidR="00E36F8F" w:rsidRPr="0047005F" w:rsidRDefault="00E36F8F" w:rsidP="00722156">
      <w:pPr>
        <w:pStyle w:val="ListParagraph"/>
        <w:numPr>
          <w:ilvl w:val="0"/>
          <w:numId w:val="41"/>
        </w:numPr>
        <w:contextualSpacing/>
        <w:rPr>
          <w:szCs w:val="24"/>
          <w:lang w:eastAsia="lv-LV"/>
        </w:rPr>
      </w:pPr>
      <w:r w:rsidRPr="00FF4F2A">
        <w:rPr>
          <w:szCs w:val="24"/>
        </w:rPr>
        <w:t>Olaines Mehānikas un tehnoloģijas koledžā</w:t>
      </w:r>
      <w:r w:rsidRPr="00FF4F2A">
        <w:rPr>
          <w:szCs w:val="24"/>
          <w:lang w:eastAsia="lv-LV"/>
        </w:rPr>
        <w:t xml:space="preserve"> – studiju programma </w:t>
      </w:r>
      <w:r w:rsidRPr="00A40FA3">
        <w:rPr>
          <w:szCs w:val="24"/>
          <w:lang w:eastAsia="lv-LV"/>
        </w:rPr>
        <w:t xml:space="preserve">Pārtikas produktu pārstrādes un ražošanas tehnoloģija </w:t>
      </w:r>
      <w:r w:rsidRPr="0047005F">
        <w:rPr>
          <w:i/>
          <w:szCs w:val="24"/>
          <w:lang w:eastAsia="lv-LV"/>
        </w:rPr>
        <w:t>(programma pārņemta no Rīgas Uzņēmējdarbības koledžas 2015./2016.ak.g.)</w:t>
      </w:r>
      <w:r w:rsidRPr="0047005F">
        <w:rPr>
          <w:szCs w:val="24"/>
          <w:lang w:eastAsia="lv-LV"/>
        </w:rPr>
        <w:t>;</w:t>
      </w:r>
    </w:p>
    <w:p w:rsidR="00E36F8F" w:rsidRPr="0047005F" w:rsidRDefault="00E36F8F" w:rsidP="00722156">
      <w:pPr>
        <w:pStyle w:val="ListParagraph"/>
        <w:numPr>
          <w:ilvl w:val="0"/>
          <w:numId w:val="41"/>
        </w:numPr>
        <w:contextualSpacing/>
        <w:rPr>
          <w:szCs w:val="24"/>
          <w:lang w:eastAsia="lv-LV"/>
        </w:rPr>
      </w:pPr>
      <w:r w:rsidRPr="0047005F">
        <w:t>Rīgas Celtniecības koledžā</w:t>
      </w:r>
      <w:r w:rsidRPr="0047005F">
        <w:rPr>
          <w:szCs w:val="24"/>
          <w:lang w:eastAsia="lv-LV"/>
        </w:rPr>
        <w:t xml:space="preserve"> – studiju programma </w:t>
      </w:r>
      <w:proofErr w:type="spellStart"/>
      <w:r w:rsidRPr="00A40FA3">
        <w:rPr>
          <w:szCs w:val="24"/>
          <w:lang w:eastAsia="lv-LV"/>
        </w:rPr>
        <w:t>Inženiersistēmas</w:t>
      </w:r>
      <w:proofErr w:type="spellEnd"/>
      <w:r w:rsidR="00A40FA3">
        <w:rPr>
          <w:szCs w:val="24"/>
          <w:lang w:eastAsia="lv-LV"/>
        </w:rPr>
        <w:t xml:space="preserve"> (</w:t>
      </w:r>
      <w:r w:rsidR="00A40FA3" w:rsidRPr="00A40FA3">
        <w:rPr>
          <w:i/>
          <w:szCs w:val="24"/>
          <w:lang w:eastAsia="lv-LV"/>
        </w:rPr>
        <w:t>īstenošana uzsākta</w:t>
      </w:r>
      <w:r w:rsidR="00A40FA3">
        <w:rPr>
          <w:szCs w:val="24"/>
          <w:lang w:eastAsia="lv-LV"/>
        </w:rPr>
        <w:t xml:space="preserve"> </w:t>
      </w:r>
      <w:r w:rsidR="00A40FA3" w:rsidRPr="0047005F">
        <w:rPr>
          <w:i/>
          <w:szCs w:val="24"/>
          <w:lang w:eastAsia="lv-LV"/>
        </w:rPr>
        <w:t>2015./2016.ak.g.)</w:t>
      </w:r>
      <w:r w:rsidR="00A40FA3" w:rsidRPr="0047005F">
        <w:rPr>
          <w:szCs w:val="24"/>
          <w:lang w:eastAsia="lv-LV"/>
        </w:rPr>
        <w:t>;</w:t>
      </w:r>
    </w:p>
    <w:p w:rsidR="00E36F8F" w:rsidRPr="0047005F" w:rsidRDefault="00E36F8F" w:rsidP="00722156">
      <w:pPr>
        <w:pStyle w:val="ListParagraph"/>
        <w:numPr>
          <w:ilvl w:val="0"/>
          <w:numId w:val="41"/>
        </w:numPr>
        <w:contextualSpacing/>
        <w:rPr>
          <w:szCs w:val="24"/>
          <w:lang w:eastAsia="lv-LV"/>
        </w:rPr>
      </w:pPr>
      <w:r w:rsidRPr="0047005F">
        <w:rPr>
          <w:szCs w:val="24"/>
        </w:rPr>
        <w:lastRenderedPageBreak/>
        <w:t xml:space="preserve">PIKC </w:t>
      </w:r>
      <w:r w:rsidR="00A40FA3">
        <w:rPr>
          <w:szCs w:val="24"/>
        </w:rPr>
        <w:t>„</w:t>
      </w:r>
      <w:r w:rsidRPr="0047005F">
        <w:rPr>
          <w:szCs w:val="24"/>
        </w:rPr>
        <w:t>Rīgas Tehniskā koledž</w:t>
      </w:r>
      <w:r w:rsidR="00A40FA3">
        <w:rPr>
          <w:szCs w:val="24"/>
        </w:rPr>
        <w:t>a”</w:t>
      </w:r>
      <w:r w:rsidRPr="0047005F">
        <w:rPr>
          <w:szCs w:val="24"/>
          <w:lang w:eastAsia="lv-LV"/>
        </w:rPr>
        <w:t xml:space="preserve"> – studiju programmas </w:t>
      </w:r>
      <w:r w:rsidRPr="00A40FA3">
        <w:rPr>
          <w:szCs w:val="24"/>
          <w:lang w:eastAsia="lv-LV"/>
        </w:rPr>
        <w:t>Kokapstrāde</w:t>
      </w:r>
      <w:r w:rsidRPr="0047005F">
        <w:rPr>
          <w:i/>
          <w:szCs w:val="24"/>
          <w:lang w:eastAsia="lv-LV"/>
        </w:rPr>
        <w:t xml:space="preserve"> (īstenošana uzsākta 2011./2012.ak.g.)</w:t>
      </w:r>
      <w:r w:rsidR="00C95A47">
        <w:rPr>
          <w:i/>
          <w:szCs w:val="24"/>
          <w:lang w:eastAsia="lv-LV"/>
        </w:rPr>
        <w:t xml:space="preserve"> </w:t>
      </w:r>
      <w:r w:rsidRPr="0047005F">
        <w:rPr>
          <w:szCs w:val="24"/>
          <w:lang w:eastAsia="lv-LV"/>
        </w:rPr>
        <w:t xml:space="preserve">un </w:t>
      </w:r>
      <w:proofErr w:type="spellStart"/>
      <w:r w:rsidRPr="00A40FA3">
        <w:rPr>
          <w:szCs w:val="24"/>
          <w:lang w:eastAsia="lv-LV"/>
        </w:rPr>
        <w:t>Aukstumtehnika</w:t>
      </w:r>
      <w:proofErr w:type="spellEnd"/>
      <w:r w:rsidRPr="0047005F">
        <w:rPr>
          <w:i/>
          <w:szCs w:val="24"/>
          <w:lang w:eastAsia="lv-LV"/>
        </w:rPr>
        <w:t xml:space="preserve"> (īstenošana uzsākta Rīgas Uzņēmējdarbības koledžā 2012./2013.ak.g., pārņemta 2015./2016.ak.g.)</w:t>
      </w:r>
      <w:r w:rsidRPr="0047005F">
        <w:rPr>
          <w:szCs w:val="24"/>
          <w:lang w:eastAsia="lv-LV"/>
        </w:rPr>
        <w:t>;</w:t>
      </w:r>
    </w:p>
    <w:p w:rsidR="00E36F8F" w:rsidRPr="0047005F" w:rsidRDefault="00E36F8F" w:rsidP="00722156">
      <w:pPr>
        <w:pStyle w:val="ListParagraph"/>
        <w:numPr>
          <w:ilvl w:val="0"/>
          <w:numId w:val="41"/>
        </w:numPr>
        <w:contextualSpacing/>
        <w:rPr>
          <w:i/>
          <w:szCs w:val="24"/>
          <w:lang w:eastAsia="lv-LV"/>
        </w:rPr>
      </w:pPr>
      <w:r w:rsidRPr="0047005F">
        <w:rPr>
          <w:szCs w:val="24"/>
        </w:rPr>
        <w:t>Liepājas Jūrniecības koledžā</w:t>
      </w:r>
      <w:r w:rsidRPr="0047005F">
        <w:rPr>
          <w:szCs w:val="24"/>
          <w:lang w:eastAsia="lv-LV"/>
        </w:rPr>
        <w:t xml:space="preserve"> – studiju programma – </w:t>
      </w:r>
      <w:r w:rsidRPr="00A40FA3">
        <w:rPr>
          <w:szCs w:val="24"/>
          <w:lang w:eastAsia="lv-LV"/>
        </w:rPr>
        <w:t>Jūras transports - kuģa mehāniķis</w:t>
      </w:r>
      <w:r w:rsidRPr="0047005F">
        <w:rPr>
          <w:i/>
          <w:szCs w:val="24"/>
          <w:lang w:eastAsia="lv-LV"/>
        </w:rPr>
        <w:t xml:space="preserve"> (īstenošana uzsākta 2008./2009.ak.g.).</w:t>
      </w:r>
    </w:p>
    <w:p w:rsidR="00E36F8F" w:rsidRPr="0047005F" w:rsidRDefault="00E36F8F" w:rsidP="00E36F8F">
      <w:pPr>
        <w:rPr>
          <w:szCs w:val="24"/>
        </w:rPr>
      </w:pPr>
    </w:p>
    <w:p w:rsidR="00820F72" w:rsidRDefault="00E36F8F">
      <w:pPr>
        <w:ind w:firstLine="720"/>
        <w:rPr>
          <w:szCs w:val="24"/>
        </w:rPr>
      </w:pPr>
      <w:r w:rsidRPr="00E57797">
        <w:rPr>
          <w:szCs w:val="24"/>
        </w:rPr>
        <w:t>Reģionālajā griezumā ir notikušas sekojošas studiju programmu skaita izmaiņas:</w:t>
      </w:r>
    </w:p>
    <w:p w:rsidR="00E36F8F" w:rsidRPr="00E57797" w:rsidRDefault="00E36F8F" w:rsidP="00722156">
      <w:pPr>
        <w:pStyle w:val="ListParagraph"/>
        <w:numPr>
          <w:ilvl w:val="0"/>
          <w:numId w:val="40"/>
        </w:numPr>
        <w:contextualSpacing/>
        <w:rPr>
          <w:szCs w:val="24"/>
        </w:rPr>
      </w:pPr>
      <w:r w:rsidRPr="00E57797">
        <w:rPr>
          <w:szCs w:val="24"/>
        </w:rPr>
        <w:t xml:space="preserve">Kurzemes reģionā -  1 jauna programma </w:t>
      </w:r>
      <w:r>
        <w:rPr>
          <w:szCs w:val="24"/>
        </w:rPr>
        <w:t>(</w:t>
      </w:r>
      <w:r w:rsidRPr="00E57797">
        <w:rPr>
          <w:szCs w:val="24"/>
        </w:rPr>
        <w:t>Liepājas Jūrniecības koledžā</w:t>
      </w:r>
      <w:r>
        <w:rPr>
          <w:szCs w:val="24"/>
        </w:rPr>
        <w:t>)</w:t>
      </w:r>
      <w:r w:rsidRPr="00E57797">
        <w:rPr>
          <w:szCs w:val="24"/>
        </w:rPr>
        <w:t>;</w:t>
      </w:r>
    </w:p>
    <w:p w:rsidR="00E36F8F" w:rsidRDefault="00E36F8F" w:rsidP="00722156">
      <w:pPr>
        <w:pStyle w:val="ListParagraph"/>
        <w:numPr>
          <w:ilvl w:val="0"/>
          <w:numId w:val="40"/>
        </w:numPr>
        <w:contextualSpacing/>
        <w:rPr>
          <w:szCs w:val="24"/>
        </w:rPr>
      </w:pPr>
      <w:r w:rsidRPr="004322CD">
        <w:rPr>
          <w:szCs w:val="24"/>
        </w:rPr>
        <w:t>Rīgas reģionā - 7 jaunas programmas</w:t>
      </w:r>
      <w:r>
        <w:rPr>
          <w:szCs w:val="24"/>
        </w:rPr>
        <w:t>.</w:t>
      </w:r>
      <w:r w:rsidRPr="004322CD">
        <w:rPr>
          <w:szCs w:val="24"/>
        </w:rPr>
        <w:t xml:space="preserve"> </w:t>
      </w:r>
    </w:p>
    <w:p w:rsidR="00E36F8F" w:rsidRDefault="00E36F8F" w:rsidP="00E36F8F">
      <w:pPr>
        <w:rPr>
          <w:szCs w:val="24"/>
        </w:rPr>
      </w:pPr>
    </w:p>
    <w:p w:rsidR="00820F72" w:rsidRDefault="00E36F8F">
      <w:pPr>
        <w:ind w:firstLine="720"/>
        <w:rPr>
          <w:szCs w:val="24"/>
        </w:rPr>
      </w:pPr>
      <w:r>
        <w:rPr>
          <w:szCs w:val="24"/>
        </w:rPr>
        <w:t xml:space="preserve">Savukārt </w:t>
      </w:r>
      <w:r>
        <w:t xml:space="preserve">koledžas, </w:t>
      </w:r>
      <w:r w:rsidRPr="0047005F">
        <w:rPr>
          <w:b/>
        </w:rPr>
        <w:t xml:space="preserve">kas </w:t>
      </w:r>
      <w:r>
        <w:rPr>
          <w:b/>
        </w:rPr>
        <w:t>ne</w:t>
      </w:r>
      <w:r w:rsidRPr="0047005F">
        <w:rPr>
          <w:b/>
        </w:rPr>
        <w:t>saņēma</w:t>
      </w:r>
      <w:r>
        <w:t xml:space="preserve"> finansiālu atbalstu 3.1.2.1.1. </w:t>
      </w:r>
      <w:proofErr w:type="spellStart"/>
      <w:r>
        <w:t>apakšaktivitātes</w:t>
      </w:r>
      <w:proofErr w:type="spellEnd"/>
      <w:r>
        <w:t xml:space="preserve"> ietvaros, jaunas studiju programmas STEM jomas izglītības tematiskajās grupās nav izveidojušas. Izņēmums ir </w:t>
      </w:r>
      <w:r w:rsidRPr="00740720">
        <w:rPr>
          <w:szCs w:val="24"/>
        </w:rPr>
        <w:t>Rīgas Uzņēmējdarbības koledža</w:t>
      </w:r>
      <w:r>
        <w:rPr>
          <w:szCs w:val="24"/>
        </w:rPr>
        <w:t>, kas</w:t>
      </w:r>
      <w:r w:rsidRPr="00740720">
        <w:rPr>
          <w:szCs w:val="24"/>
        </w:rPr>
        <w:t xml:space="preserve"> </w:t>
      </w:r>
      <w:r w:rsidRPr="00740720">
        <w:rPr>
          <w:szCs w:val="24"/>
          <w:lang w:eastAsia="lv-LV"/>
        </w:rPr>
        <w:t xml:space="preserve">2012./2013.ak.g. izveidoja jaunu studiju programmu </w:t>
      </w:r>
      <w:proofErr w:type="spellStart"/>
      <w:r w:rsidRPr="00740720">
        <w:rPr>
          <w:szCs w:val="24"/>
          <w:lang w:eastAsia="lv-LV"/>
        </w:rPr>
        <w:t>Aukstumtehnika</w:t>
      </w:r>
      <w:proofErr w:type="spellEnd"/>
      <w:r w:rsidRPr="00740720">
        <w:rPr>
          <w:szCs w:val="24"/>
          <w:lang w:eastAsia="lv-LV"/>
        </w:rPr>
        <w:t xml:space="preserve">, bet reorganizācijas rezultātā šīs studiju programmas īstenošanu 2015./2016.ak.g. pārņēma </w:t>
      </w:r>
      <w:r w:rsidRPr="00740720">
        <w:rPr>
          <w:szCs w:val="24"/>
        </w:rPr>
        <w:t xml:space="preserve">PIKC </w:t>
      </w:r>
      <w:r w:rsidR="00851B00">
        <w:rPr>
          <w:szCs w:val="24"/>
        </w:rPr>
        <w:t>„</w:t>
      </w:r>
      <w:r w:rsidRPr="00740720">
        <w:rPr>
          <w:szCs w:val="24"/>
        </w:rPr>
        <w:t>Rīgas Tehniskā koledža</w:t>
      </w:r>
      <w:r w:rsidR="00851B00">
        <w:rPr>
          <w:szCs w:val="24"/>
        </w:rPr>
        <w:t>”</w:t>
      </w:r>
      <w:r w:rsidRPr="00740720">
        <w:rPr>
          <w:szCs w:val="24"/>
        </w:rPr>
        <w:t>.</w:t>
      </w:r>
      <w:r>
        <w:rPr>
          <w:szCs w:val="24"/>
        </w:rPr>
        <w:t xml:space="preserve"> </w:t>
      </w:r>
    </w:p>
    <w:p w:rsidR="00EC6B90" w:rsidRDefault="00EC6B90" w:rsidP="0008469B">
      <w:pPr>
        <w:tabs>
          <w:tab w:val="left" w:pos="0"/>
        </w:tabs>
        <w:ind w:firstLine="567"/>
        <w:rPr>
          <w:bCs/>
          <w:szCs w:val="24"/>
        </w:rPr>
      </w:pPr>
      <w:r w:rsidRPr="00FC5DA6">
        <w:rPr>
          <w:bCs/>
          <w:szCs w:val="24"/>
        </w:rPr>
        <w:t>Apkopojums par 3.1.2.1.1.apakšaktivitātes ietvaros īstenotajiem koledžu projektiem</w:t>
      </w:r>
      <w:r>
        <w:rPr>
          <w:bCs/>
          <w:szCs w:val="24"/>
        </w:rPr>
        <w:t>, tai skaitā par studiju programmām, kurās veikti ieguldījumi, un ieguldījumu kopsavilkums,</w:t>
      </w:r>
      <w:r w:rsidRPr="00FC5DA6">
        <w:rPr>
          <w:bCs/>
          <w:szCs w:val="24"/>
        </w:rPr>
        <w:t xml:space="preserve"> ir pieejam</w:t>
      </w:r>
      <w:r w:rsidR="00E41B36">
        <w:rPr>
          <w:bCs/>
          <w:szCs w:val="24"/>
        </w:rPr>
        <w:t>s</w:t>
      </w:r>
      <w:r w:rsidRPr="00FC5DA6">
        <w:rPr>
          <w:bCs/>
          <w:szCs w:val="24"/>
        </w:rPr>
        <w:t xml:space="preserve"> novērtējuma </w:t>
      </w:r>
      <w:r w:rsidR="00604953">
        <w:rPr>
          <w:bCs/>
          <w:szCs w:val="24"/>
        </w:rPr>
        <w:t>3</w:t>
      </w:r>
      <w:r w:rsidRPr="00FC5DA6">
        <w:rPr>
          <w:bCs/>
          <w:szCs w:val="24"/>
        </w:rPr>
        <w:t>.pielikum</w:t>
      </w:r>
      <w:r>
        <w:rPr>
          <w:bCs/>
          <w:szCs w:val="24"/>
        </w:rPr>
        <w:t xml:space="preserve">a </w:t>
      </w:r>
      <w:r>
        <w:rPr>
          <w:szCs w:val="24"/>
        </w:rPr>
        <w:t>2</w:t>
      </w:r>
      <w:r w:rsidRPr="00B36164">
        <w:rPr>
          <w:szCs w:val="24"/>
        </w:rPr>
        <w:t>.sadaļā „</w:t>
      </w:r>
      <w:r w:rsidR="00C43701" w:rsidRPr="00C43701">
        <w:rPr>
          <w:szCs w:val="24"/>
        </w:rPr>
        <w:t>3.1.2.1.1.apakšaktivitātes ietvaros īstenotie koledžu projekti</w:t>
      </w:r>
      <w:r w:rsidRPr="00B36164">
        <w:rPr>
          <w:szCs w:val="24"/>
        </w:rPr>
        <w:t>” (</w:t>
      </w:r>
      <w:r>
        <w:rPr>
          <w:szCs w:val="24"/>
        </w:rPr>
        <w:t>2</w:t>
      </w:r>
      <w:r w:rsidRPr="00B36164">
        <w:rPr>
          <w:szCs w:val="24"/>
        </w:rPr>
        <w:t>.izklājlapa)</w:t>
      </w:r>
      <w:r w:rsidRPr="00FC5DA6">
        <w:rPr>
          <w:bCs/>
          <w:szCs w:val="24"/>
        </w:rPr>
        <w:t>.</w:t>
      </w:r>
    </w:p>
    <w:p w:rsidR="0008469B" w:rsidRPr="00F82230" w:rsidRDefault="001350B8" w:rsidP="0008469B">
      <w:pPr>
        <w:tabs>
          <w:tab w:val="left" w:pos="0"/>
        </w:tabs>
        <w:ind w:firstLine="567"/>
        <w:rPr>
          <w:szCs w:val="24"/>
          <w:lang w:eastAsia="lv-LV"/>
        </w:rPr>
      </w:pPr>
      <w:r w:rsidRPr="001350B8">
        <w:rPr>
          <w:szCs w:val="24"/>
        </w:rPr>
        <w:t>Izvērtējumi vai auditu ziņojumi par 2007. – 2013. gada plānošanas perioda 3</w:t>
      </w:r>
      <w:r w:rsidRPr="001350B8">
        <w:rPr>
          <w:bCs/>
          <w:szCs w:val="24"/>
        </w:rPr>
        <w:t>.1.2.1.1.apakš</w:t>
      </w:r>
      <w:r w:rsidRPr="001350B8">
        <w:rPr>
          <w:szCs w:val="24"/>
        </w:rPr>
        <w:t>aktivitāti nav veikti.</w:t>
      </w:r>
      <w:r w:rsidR="0008469B">
        <w:rPr>
          <w:szCs w:val="24"/>
        </w:rPr>
        <w:t xml:space="preserve"> </w:t>
      </w:r>
      <w:r w:rsidR="0008469B" w:rsidRPr="00FC5DA6">
        <w:rPr>
          <w:szCs w:val="24"/>
          <w:lang w:eastAsia="lv-LV"/>
        </w:rPr>
        <w:t>3</w:t>
      </w:r>
      <w:r w:rsidR="0008469B" w:rsidRPr="008A35F0">
        <w:rPr>
          <w:szCs w:val="24"/>
          <w:lang w:eastAsia="lv-LV"/>
        </w:rPr>
        <w:t>.1.2.1.1.apakš</w:t>
      </w:r>
      <w:r w:rsidR="0008469B" w:rsidRPr="00FC5DA6">
        <w:rPr>
          <w:szCs w:val="24"/>
          <w:lang w:eastAsia="lv-LV"/>
        </w:rPr>
        <w:t>aktivitātes ietvaros īstenoto augstskolu projektu realizēšana turpinā</w:t>
      </w:r>
      <w:r w:rsidR="00D46A94">
        <w:rPr>
          <w:szCs w:val="24"/>
          <w:lang w:eastAsia="lv-LV"/>
        </w:rPr>
        <w:t>jā</w:t>
      </w:r>
      <w:r w:rsidR="0008469B" w:rsidRPr="00FC5DA6">
        <w:rPr>
          <w:szCs w:val="24"/>
          <w:lang w:eastAsia="lv-LV"/>
        </w:rPr>
        <w:t>s līdz 2015.gada 31.decembrim.</w:t>
      </w:r>
      <w:r w:rsidR="0008469B">
        <w:rPr>
          <w:szCs w:val="24"/>
          <w:lang w:eastAsia="lv-LV"/>
        </w:rPr>
        <w:t xml:space="preserve"> </w:t>
      </w:r>
    </w:p>
    <w:p w:rsidR="00914EAF" w:rsidRDefault="00914EAF" w:rsidP="00DD41AA">
      <w:pPr>
        <w:pStyle w:val="abbreviationslist"/>
        <w:spacing w:before="0" w:after="0"/>
        <w:ind w:right="0" w:firstLine="720"/>
        <w:rPr>
          <w:sz w:val="24"/>
          <w:szCs w:val="24"/>
        </w:rPr>
      </w:pPr>
      <w:r w:rsidRPr="00F71286">
        <w:rPr>
          <w:bCs/>
          <w:sz w:val="24"/>
          <w:szCs w:val="24"/>
        </w:rPr>
        <w:t xml:space="preserve">Jāatzīmē, ka no juridisko personu dibinātajām koledžām vienīgi </w:t>
      </w:r>
      <w:proofErr w:type="spellStart"/>
      <w:r w:rsidR="00DD6A3D">
        <w:rPr>
          <w:sz w:val="24"/>
          <w:szCs w:val="24"/>
        </w:rPr>
        <w:t>Novikontas</w:t>
      </w:r>
      <w:proofErr w:type="spellEnd"/>
      <w:r w:rsidR="00DD6A3D">
        <w:rPr>
          <w:sz w:val="24"/>
          <w:szCs w:val="24"/>
        </w:rPr>
        <w:t xml:space="preserve"> j</w:t>
      </w:r>
      <w:r w:rsidRPr="00F71286">
        <w:rPr>
          <w:sz w:val="24"/>
          <w:szCs w:val="24"/>
        </w:rPr>
        <w:t xml:space="preserve">ūras koledža ir saņēmusi ERAF atbalstu, bet ne 3.1.2.1.1.apakšaktivitātē. Projekts „Navigācijas un mašīntelpas </w:t>
      </w:r>
      <w:proofErr w:type="spellStart"/>
      <w:r w:rsidRPr="00F71286">
        <w:rPr>
          <w:sz w:val="24"/>
          <w:szCs w:val="24"/>
        </w:rPr>
        <w:t>simulatoru</w:t>
      </w:r>
      <w:proofErr w:type="spellEnd"/>
      <w:r w:rsidRPr="00F71286">
        <w:rPr>
          <w:sz w:val="24"/>
          <w:szCs w:val="24"/>
        </w:rPr>
        <w:t xml:space="preserve"> iegāde jūrnieku apmācībai” 2011.gadā tika īstenots darbības programmas „Uzņēmējdarbība un inovācijas” </w:t>
      </w:r>
      <w:r w:rsidRPr="0008469B">
        <w:rPr>
          <w:b/>
          <w:sz w:val="24"/>
          <w:szCs w:val="24"/>
        </w:rPr>
        <w:t>2.1.2.2.2.apakšaktivitātes „Jaunu produktu un tehnoloģiju izstrāde – atbalsts jaunu produktu un tehnoloģiju ieviešanai ražošanā”</w:t>
      </w:r>
      <w:r w:rsidRPr="00F71286">
        <w:rPr>
          <w:sz w:val="24"/>
          <w:szCs w:val="24"/>
        </w:rPr>
        <w:t xml:space="preserve"> ietvaros</w:t>
      </w:r>
      <w:r w:rsidR="00F71286" w:rsidRPr="00F71286">
        <w:rPr>
          <w:sz w:val="24"/>
          <w:szCs w:val="24"/>
        </w:rPr>
        <w:t xml:space="preserve"> ar projekta kopējo finansējumu 1,2 milj</w:t>
      </w:r>
      <w:r w:rsidR="00C63F1C">
        <w:rPr>
          <w:sz w:val="24"/>
          <w:szCs w:val="24"/>
        </w:rPr>
        <w:t>.</w:t>
      </w:r>
      <w:r w:rsidR="00F71286" w:rsidRPr="00F71286">
        <w:rPr>
          <w:sz w:val="24"/>
          <w:szCs w:val="24"/>
        </w:rPr>
        <w:t xml:space="preserve"> </w:t>
      </w:r>
      <w:proofErr w:type="spellStart"/>
      <w:r w:rsidR="00851B00" w:rsidRPr="006074BB">
        <w:rPr>
          <w:i/>
        </w:rPr>
        <w:t>euro</w:t>
      </w:r>
      <w:proofErr w:type="spellEnd"/>
      <w:r w:rsidR="00F71286" w:rsidRPr="00F71286">
        <w:rPr>
          <w:sz w:val="24"/>
          <w:szCs w:val="24"/>
        </w:rPr>
        <w:t xml:space="preserve">, tai skaitā ERAF finansējumu 0,41 milj. </w:t>
      </w:r>
      <w:proofErr w:type="spellStart"/>
      <w:r w:rsidR="00851B00" w:rsidRPr="006074BB">
        <w:rPr>
          <w:i/>
        </w:rPr>
        <w:t>euro</w:t>
      </w:r>
      <w:proofErr w:type="spellEnd"/>
      <w:r w:rsidR="00851B00" w:rsidRPr="00F71286">
        <w:rPr>
          <w:rStyle w:val="FootnoteReference"/>
          <w:bCs/>
          <w:sz w:val="24"/>
          <w:szCs w:val="24"/>
        </w:rPr>
        <w:t xml:space="preserve"> </w:t>
      </w:r>
      <w:r w:rsidRPr="00F71286">
        <w:rPr>
          <w:rStyle w:val="FootnoteReference"/>
          <w:bCs/>
          <w:sz w:val="24"/>
          <w:szCs w:val="24"/>
        </w:rPr>
        <w:footnoteReference w:id="48"/>
      </w:r>
      <w:r w:rsidRPr="00F71286">
        <w:rPr>
          <w:sz w:val="24"/>
          <w:szCs w:val="24"/>
        </w:rPr>
        <w:t>.</w:t>
      </w:r>
    </w:p>
    <w:p w:rsidR="005E03A5" w:rsidRPr="005E03A5" w:rsidRDefault="005E03A5" w:rsidP="005E03A5">
      <w:pPr>
        <w:pStyle w:val="Default"/>
        <w:ind w:firstLine="720"/>
        <w:jc w:val="both"/>
        <w:rPr>
          <w:bCs/>
        </w:rPr>
      </w:pPr>
    </w:p>
    <w:p w:rsidR="00F7350F" w:rsidRDefault="00F7350F" w:rsidP="00320C44">
      <w:pPr>
        <w:ind w:firstLine="720"/>
        <w:rPr>
          <w:b/>
          <w:szCs w:val="24"/>
        </w:rPr>
      </w:pPr>
    </w:p>
    <w:p w:rsidR="00F07509" w:rsidRDefault="00F07509" w:rsidP="003F34D8">
      <w:pPr>
        <w:pStyle w:val="Heading2"/>
      </w:pPr>
      <w:bookmarkStart w:id="22" w:name="_Toc445290195"/>
      <w:r w:rsidRPr="001D51D3">
        <w:t>2.2. KPFI investīcijas koledžu infrastruktūrā 2007.-2013.gada plānošanas periodā</w:t>
      </w:r>
      <w:bookmarkEnd w:id="22"/>
    </w:p>
    <w:p w:rsidR="001D51D3" w:rsidRPr="001D51D3" w:rsidRDefault="001D51D3" w:rsidP="001D51D3"/>
    <w:p w:rsidR="00193141" w:rsidRPr="00193141" w:rsidRDefault="00193141" w:rsidP="00193141">
      <w:pPr>
        <w:ind w:firstLine="720"/>
        <w:rPr>
          <w:szCs w:val="24"/>
          <w:lang w:eastAsia="lv-LV"/>
        </w:rPr>
      </w:pPr>
      <w:r w:rsidRPr="00193141">
        <w:rPr>
          <w:bCs/>
          <w:szCs w:val="24"/>
          <w:lang w:eastAsia="lv-LV"/>
        </w:rPr>
        <w:t xml:space="preserve">KPFI ir Latvijas Republikas valsts budžeta programma. </w:t>
      </w:r>
      <w:r w:rsidRPr="00193141">
        <w:rPr>
          <w:szCs w:val="24"/>
          <w:lang w:eastAsia="lv-LV"/>
        </w:rPr>
        <w:t>KPFI mērķis ir veicināt globālo klimata pārmaiņu novēršanu, pielāgošanos klimata pārmaiņu radītajām sekām un sekmēt siltumnīcefekta gāzu emisijas samazināšanu (piemēram, īstenojot pasākumus ēku energoefektivitātes uzlabošanai gan sabiedriskajā, gan privātajā sektorā, tehnoloģiju, kurās izmanto atjaunojamos energoresursus attīstīšanu un ieviešanu, kā arī īstenojot integrētus risinājumus siltumnīcefekta gāzu emisijas samazināšanai).</w:t>
      </w:r>
      <w:r>
        <w:rPr>
          <w:rStyle w:val="FootnoteReference"/>
          <w:szCs w:val="24"/>
          <w:lang w:eastAsia="lv-LV"/>
        </w:rPr>
        <w:footnoteReference w:id="49"/>
      </w:r>
    </w:p>
    <w:p w:rsidR="00193141" w:rsidRDefault="00F45C6D" w:rsidP="00320C44">
      <w:pPr>
        <w:ind w:firstLine="720"/>
        <w:rPr>
          <w:szCs w:val="24"/>
          <w:lang w:eastAsia="lv-LV"/>
        </w:rPr>
      </w:pPr>
      <w:r w:rsidRPr="00F45C6D">
        <w:rPr>
          <w:szCs w:val="24"/>
          <w:lang w:eastAsia="lv-LV"/>
        </w:rPr>
        <w:t>Vides aizsardzības un reģionālās attīstības ministrija ir KPFI budžeta programmas izpildītāja</w:t>
      </w:r>
      <w:r>
        <w:rPr>
          <w:szCs w:val="24"/>
          <w:lang w:eastAsia="lv-LV"/>
        </w:rPr>
        <w:t xml:space="preserve"> un pilda atbildīgās iestādes funkcijas tālāk minēto projektu atklāto konkursu ietvaros (novērtējuma 2.2.1.</w:t>
      </w:r>
      <w:r w:rsidR="004B0283">
        <w:rPr>
          <w:szCs w:val="24"/>
          <w:lang w:eastAsia="lv-LV"/>
        </w:rPr>
        <w:t>,</w:t>
      </w:r>
      <w:r>
        <w:rPr>
          <w:szCs w:val="24"/>
          <w:lang w:eastAsia="lv-LV"/>
        </w:rPr>
        <w:t xml:space="preserve"> 2.2.2.</w:t>
      </w:r>
      <w:r w:rsidR="00436933">
        <w:rPr>
          <w:szCs w:val="24"/>
          <w:lang w:eastAsia="lv-LV"/>
        </w:rPr>
        <w:t>,</w:t>
      </w:r>
      <w:r w:rsidR="004B0283">
        <w:rPr>
          <w:szCs w:val="24"/>
          <w:lang w:eastAsia="lv-LV"/>
        </w:rPr>
        <w:t xml:space="preserve"> 2.2.3.</w:t>
      </w:r>
      <w:r w:rsidR="00436933" w:rsidRPr="00436933">
        <w:rPr>
          <w:szCs w:val="24"/>
          <w:lang w:eastAsia="lv-LV"/>
        </w:rPr>
        <w:t xml:space="preserve"> </w:t>
      </w:r>
      <w:r w:rsidR="00436933">
        <w:rPr>
          <w:szCs w:val="24"/>
          <w:lang w:eastAsia="lv-LV"/>
        </w:rPr>
        <w:t>un 2.2.4.</w:t>
      </w:r>
      <w:r>
        <w:rPr>
          <w:szCs w:val="24"/>
          <w:lang w:eastAsia="lv-LV"/>
        </w:rPr>
        <w:t>sadaļa).</w:t>
      </w:r>
    </w:p>
    <w:p w:rsidR="00193141" w:rsidRPr="00A94D09" w:rsidRDefault="001D51D3" w:rsidP="00A94D09">
      <w:pPr>
        <w:pStyle w:val="Heading3"/>
        <w:ind w:firstLine="720"/>
      </w:pPr>
      <w:bookmarkStart w:id="23" w:name="_Toc445290196"/>
      <w:r w:rsidRPr="00A94D09">
        <w:t xml:space="preserve">2.2.1. </w:t>
      </w:r>
      <w:r w:rsidR="00193141" w:rsidRPr="00A94D09">
        <w:t>P</w:t>
      </w:r>
      <w:r w:rsidR="00F07509" w:rsidRPr="00A94D09">
        <w:t>rojektu atklāt</w:t>
      </w:r>
      <w:r w:rsidR="00193141" w:rsidRPr="00A94D09">
        <w:t>ais</w:t>
      </w:r>
      <w:r w:rsidR="00F07509" w:rsidRPr="00A94D09">
        <w:t xml:space="preserve"> konkurs</w:t>
      </w:r>
      <w:r w:rsidR="00193141" w:rsidRPr="00A94D09">
        <w:t>s</w:t>
      </w:r>
      <w:r w:rsidR="00F07509" w:rsidRPr="00A94D09">
        <w:t xml:space="preserve"> “Energoefektivitātes paaugstināšana augstākās izglītības iestāžu ēkās”</w:t>
      </w:r>
      <w:bookmarkEnd w:id="23"/>
      <w:r w:rsidR="00193141" w:rsidRPr="00A94D09">
        <w:t xml:space="preserve"> </w:t>
      </w:r>
    </w:p>
    <w:p w:rsidR="0089582C" w:rsidRDefault="0089582C" w:rsidP="00602CEC">
      <w:pPr>
        <w:ind w:firstLine="720"/>
        <w:rPr>
          <w:b/>
          <w:szCs w:val="24"/>
        </w:rPr>
      </w:pPr>
      <w:bookmarkStart w:id="24" w:name="325015"/>
      <w:bookmarkEnd w:id="24"/>
    </w:p>
    <w:p w:rsidR="00602CEC" w:rsidRDefault="0089582C" w:rsidP="00602CEC">
      <w:pPr>
        <w:ind w:firstLine="720"/>
        <w:rPr>
          <w:szCs w:val="24"/>
          <w:lang w:eastAsia="lv-LV"/>
        </w:rPr>
      </w:pPr>
      <w:r w:rsidRPr="008E30EE">
        <w:rPr>
          <w:szCs w:val="24"/>
          <w:lang w:eastAsia="lv-LV"/>
        </w:rPr>
        <w:t xml:space="preserve">Konkursa “Energoefektivitātes paaugstināšana augstākās izglītības iestāžu ēkās” </w:t>
      </w:r>
      <w:r w:rsidR="00BE4FD0" w:rsidRPr="008E30EE">
        <w:rPr>
          <w:szCs w:val="24"/>
          <w:lang w:eastAsia="lv-LV"/>
        </w:rPr>
        <w:t xml:space="preserve">ietvaros </w:t>
      </w:r>
      <w:r w:rsidRPr="008E30EE">
        <w:rPr>
          <w:szCs w:val="24"/>
          <w:lang w:eastAsia="lv-LV"/>
        </w:rPr>
        <w:t xml:space="preserve">projektus īstenoja </w:t>
      </w:r>
      <w:r w:rsidR="00F57FF9" w:rsidRPr="00F57FF9">
        <w:rPr>
          <w:szCs w:val="24"/>
          <w:lang w:eastAsia="lv-LV"/>
        </w:rPr>
        <w:t>5</w:t>
      </w:r>
      <w:r w:rsidRPr="00F57FF9">
        <w:rPr>
          <w:szCs w:val="24"/>
          <w:lang w:eastAsia="lv-LV"/>
        </w:rPr>
        <w:t xml:space="preserve"> koledžas - Jēkabpils </w:t>
      </w:r>
      <w:proofErr w:type="spellStart"/>
      <w:r w:rsidRPr="00F57FF9">
        <w:rPr>
          <w:szCs w:val="24"/>
          <w:lang w:eastAsia="lv-LV"/>
        </w:rPr>
        <w:t>Agrobiznesa</w:t>
      </w:r>
      <w:proofErr w:type="spellEnd"/>
      <w:r w:rsidRPr="00F57FF9">
        <w:rPr>
          <w:szCs w:val="24"/>
          <w:lang w:eastAsia="lv-LV"/>
        </w:rPr>
        <w:t xml:space="preserve"> koledža, Latvijas Kultūras </w:t>
      </w:r>
      <w:r w:rsidRPr="00F57FF9">
        <w:rPr>
          <w:szCs w:val="24"/>
          <w:lang w:eastAsia="lv-LV"/>
        </w:rPr>
        <w:lastRenderedPageBreak/>
        <w:t>akadēmijas Latvijas Kultūras koledža, Latvijas Universitātes Rīgas Medicīnas koledža, Malnavas koledža</w:t>
      </w:r>
      <w:r w:rsidR="00F57FF9" w:rsidRPr="00F57FF9">
        <w:rPr>
          <w:szCs w:val="24"/>
          <w:lang w:eastAsia="lv-LV"/>
        </w:rPr>
        <w:t xml:space="preserve"> un</w:t>
      </w:r>
      <w:r w:rsidRPr="00F57FF9">
        <w:rPr>
          <w:szCs w:val="24"/>
          <w:lang w:eastAsia="lv-LV"/>
        </w:rPr>
        <w:t xml:space="preserve"> Rīgas Celtniecības koledža.</w:t>
      </w:r>
      <w:r w:rsidRPr="00F57FF9">
        <w:rPr>
          <w:rStyle w:val="FootnoteReference"/>
          <w:szCs w:val="24"/>
          <w:lang w:eastAsia="lv-LV"/>
        </w:rPr>
        <w:footnoteReference w:id="50"/>
      </w:r>
      <w:r w:rsidR="001B2C5A" w:rsidRPr="00F57FF9">
        <w:rPr>
          <w:szCs w:val="24"/>
          <w:lang w:eastAsia="lv-LV"/>
        </w:rPr>
        <w:t xml:space="preserve"> Projekti </w:t>
      </w:r>
      <w:r w:rsidR="005F70CE" w:rsidRPr="00F57FF9">
        <w:rPr>
          <w:szCs w:val="24"/>
          <w:lang w:eastAsia="lv-LV"/>
        </w:rPr>
        <w:t xml:space="preserve">ir </w:t>
      </w:r>
      <w:r w:rsidR="001B2C5A" w:rsidRPr="00F57FF9">
        <w:rPr>
          <w:szCs w:val="24"/>
          <w:lang w:eastAsia="lv-LV"/>
        </w:rPr>
        <w:t>uzsākti 2010.gada 3., 4.ceturksnī un īstenoti līdz 201</w:t>
      </w:r>
      <w:r w:rsidR="00F57FF9" w:rsidRPr="00F57FF9">
        <w:rPr>
          <w:szCs w:val="24"/>
          <w:lang w:eastAsia="lv-LV"/>
        </w:rPr>
        <w:t>3</w:t>
      </w:r>
      <w:r w:rsidR="001B2C5A" w:rsidRPr="00F57FF9">
        <w:rPr>
          <w:szCs w:val="24"/>
          <w:lang w:eastAsia="lv-LV"/>
        </w:rPr>
        <w:t xml:space="preserve">.gada </w:t>
      </w:r>
      <w:r w:rsidR="00F57FF9" w:rsidRPr="00F57FF9">
        <w:rPr>
          <w:szCs w:val="24"/>
          <w:lang w:eastAsia="lv-LV"/>
        </w:rPr>
        <w:t>3.ceturksnim</w:t>
      </w:r>
      <w:r w:rsidR="001B2C5A" w:rsidRPr="00F57FF9">
        <w:rPr>
          <w:szCs w:val="24"/>
          <w:lang w:eastAsia="lv-LV"/>
        </w:rPr>
        <w:t>.</w:t>
      </w:r>
      <w:r w:rsidR="009E53C9" w:rsidRPr="00F57FF9">
        <w:rPr>
          <w:szCs w:val="24"/>
          <w:lang w:eastAsia="lv-LV"/>
        </w:rPr>
        <w:t xml:space="preserve"> </w:t>
      </w:r>
      <w:r w:rsidR="0072792D" w:rsidRPr="00F57FF9">
        <w:rPr>
          <w:szCs w:val="24"/>
          <w:lang w:eastAsia="lv-LV"/>
        </w:rPr>
        <w:t xml:space="preserve">Koledžu projekti šī konkursa ietvaros īstenoti </w:t>
      </w:r>
      <w:r w:rsidR="00F57FF9" w:rsidRPr="00F57FF9">
        <w:rPr>
          <w:szCs w:val="24"/>
          <w:lang w:eastAsia="lv-LV"/>
        </w:rPr>
        <w:t>3,7</w:t>
      </w:r>
      <w:r w:rsidR="0072792D" w:rsidRPr="00F57FF9">
        <w:rPr>
          <w:szCs w:val="24"/>
          <w:lang w:eastAsia="lv-LV"/>
        </w:rPr>
        <w:t xml:space="preserve"> milj. </w:t>
      </w:r>
      <w:proofErr w:type="spellStart"/>
      <w:r w:rsidR="0072792D" w:rsidRPr="00F57FF9">
        <w:rPr>
          <w:i/>
          <w:szCs w:val="24"/>
          <w:lang w:eastAsia="lv-LV"/>
        </w:rPr>
        <w:t>e</w:t>
      </w:r>
      <w:r w:rsidR="009D28A7" w:rsidRPr="00F57FF9">
        <w:rPr>
          <w:i/>
          <w:szCs w:val="24"/>
          <w:lang w:eastAsia="lv-LV"/>
        </w:rPr>
        <w:t>u</w:t>
      </w:r>
      <w:r w:rsidR="0072792D" w:rsidRPr="00F57FF9">
        <w:rPr>
          <w:i/>
          <w:szCs w:val="24"/>
          <w:lang w:eastAsia="lv-LV"/>
        </w:rPr>
        <w:t>ro</w:t>
      </w:r>
      <w:proofErr w:type="spellEnd"/>
      <w:r w:rsidR="0072792D" w:rsidRPr="00F57FF9">
        <w:rPr>
          <w:szCs w:val="24"/>
          <w:lang w:eastAsia="lv-LV"/>
        </w:rPr>
        <w:t xml:space="preserve"> apmērā.</w:t>
      </w:r>
      <w:r w:rsidR="002A2262">
        <w:rPr>
          <w:szCs w:val="24"/>
          <w:lang w:eastAsia="lv-LV"/>
        </w:rPr>
        <w:t xml:space="preserve"> Projektu ietvaros veikti energoefektivitātes paaugstināšanas pasākumi koledž</w:t>
      </w:r>
      <w:r w:rsidR="00776CD3">
        <w:rPr>
          <w:szCs w:val="24"/>
          <w:lang w:eastAsia="lv-LV"/>
        </w:rPr>
        <w:t>as</w:t>
      </w:r>
      <w:r w:rsidR="002A2262">
        <w:rPr>
          <w:szCs w:val="24"/>
          <w:lang w:eastAsia="lv-LV"/>
        </w:rPr>
        <w:t xml:space="preserve"> ēkās (</w:t>
      </w:r>
      <w:proofErr w:type="spellStart"/>
      <w:r w:rsidR="002A2262">
        <w:rPr>
          <w:szCs w:val="24"/>
          <w:lang w:eastAsia="lv-LV"/>
        </w:rPr>
        <w:t>LKuA</w:t>
      </w:r>
      <w:proofErr w:type="spellEnd"/>
      <w:r w:rsidR="002A2262">
        <w:rPr>
          <w:szCs w:val="24"/>
          <w:lang w:eastAsia="lv-LV"/>
        </w:rPr>
        <w:t xml:space="preserve"> LKK) vai dienesta viesnīcās (JAK, LU RMK), 2 projektos gan koledžas ēkā</w:t>
      </w:r>
      <w:r w:rsidR="00501423">
        <w:rPr>
          <w:szCs w:val="24"/>
          <w:lang w:eastAsia="lv-LV"/>
        </w:rPr>
        <w:t>s</w:t>
      </w:r>
      <w:r w:rsidR="002A2262">
        <w:rPr>
          <w:szCs w:val="24"/>
          <w:lang w:eastAsia="lv-LV"/>
        </w:rPr>
        <w:t>, gan dienesta viesnīcā</w:t>
      </w:r>
      <w:r w:rsidR="00501423">
        <w:rPr>
          <w:szCs w:val="24"/>
          <w:lang w:eastAsia="lv-LV"/>
        </w:rPr>
        <w:t>s</w:t>
      </w:r>
      <w:r w:rsidR="002A2262">
        <w:rPr>
          <w:szCs w:val="24"/>
          <w:lang w:eastAsia="lv-LV"/>
        </w:rPr>
        <w:t xml:space="preserve"> (MK, RCK).</w:t>
      </w:r>
    </w:p>
    <w:p w:rsidR="00F07509" w:rsidRPr="001D51D3" w:rsidRDefault="00193141" w:rsidP="001D51D3">
      <w:pPr>
        <w:pStyle w:val="Heading3"/>
        <w:ind w:firstLine="720"/>
        <w:rPr>
          <w:b w:val="0"/>
        </w:rPr>
      </w:pPr>
      <w:bookmarkStart w:id="25" w:name="_Toc445290197"/>
      <w:r w:rsidRPr="001D51D3">
        <w:rPr>
          <w:rStyle w:val="Strong"/>
          <w:b/>
          <w:szCs w:val="24"/>
        </w:rPr>
        <w:t>2.2.2. Projektu atklātais konkurss</w:t>
      </w:r>
      <w:r w:rsidR="00F07509" w:rsidRPr="001D51D3">
        <w:rPr>
          <w:b w:val="0"/>
        </w:rPr>
        <w:t xml:space="preserve"> </w:t>
      </w:r>
      <w:r w:rsidR="00F07509" w:rsidRPr="001D51D3">
        <w:rPr>
          <w:rStyle w:val="Strong"/>
          <w:b/>
          <w:szCs w:val="24"/>
        </w:rPr>
        <w:t>„Atjaunojamo energoresursu izmantošana siltumnīcefekta gāzu emisiju samazināšanai”</w:t>
      </w:r>
      <w:bookmarkEnd w:id="25"/>
    </w:p>
    <w:p w:rsidR="00373AC1" w:rsidRDefault="00373AC1" w:rsidP="007C030C">
      <w:pPr>
        <w:pStyle w:val="Default"/>
        <w:ind w:firstLine="720"/>
        <w:jc w:val="both"/>
      </w:pPr>
    </w:p>
    <w:p w:rsidR="00501423" w:rsidRPr="00386D68" w:rsidRDefault="00B36164" w:rsidP="00501423">
      <w:pPr>
        <w:ind w:firstLine="720"/>
        <w:rPr>
          <w:szCs w:val="24"/>
          <w:lang w:eastAsia="lv-LV"/>
        </w:rPr>
      </w:pPr>
      <w:r w:rsidRPr="00386D68">
        <w:rPr>
          <w:szCs w:val="24"/>
          <w:lang w:eastAsia="lv-LV"/>
        </w:rPr>
        <w:t xml:space="preserve">Konkursa </w:t>
      </w:r>
      <w:r w:rsidRPr="00386D68">
        <w:rPr>
          <w:b/>
          <w:szCs w:val="24"/>
          <w:lang w:eastAsia="lv-LV"/>
        </w:rPr>
        <w:t>“</w:t>
      </w:r>
      <w:r w:rsidRPr="00386D68">
        <w:rPr>
          <w:rStyle w:val="Strong"/>
          <w:b w:val="0"/>
          <w:szCs w:val="24"/>
        </w:rPr>
        <w:t>Atjaunojamo energoresursu izmantošana siltumnīcefekta gāzu emisiju samazināšanai</w:t>
      </w:r>
      <w:r w:rsidRPr="00386D68">
        <w:rPr>
          <w:b/>
          <w:szCs w:val="24"/>
          <w:lang w:eastAsia="lv-LV"/>
        </w:rPr>
        <w:t>”</w:t>
      </w:r>
      <w:r w:rsidRPr="00386D68">
        <w:rPr>
          <w:szCs w:val="24"/>
          <w:lang w:eastAsia="lv-LV"/>
        </w:rPr>
        <w:t xml:space="preserve"> ietvaros projektu īstenoja </w:t>
      </w:r>
      <w:r w:rsidR="00F57FF9" w:rsidRPr="00386D68">
        <w:rPr>
          <w:szCs w:val="24"/>
          <w:lang w:eastAsia="lv-LV"/>
        </w:rPr>
        <w:t>1</w:t>
      </w:r>
      <w:r w:rsidRPr="00386D68">
        <w:rPr>
          <w:szCs w:val="24"/>
          <w:lang w:eastAsia="lv-LV"/>
        </w:rPr>
        <w:t xml:space="preserve"> koledža - </w:t>
      </w:r>
      <w:r w:rsidRPr="00386D68">
        <w:rPr>
          <w:szCs w:val="24"/>
        </w:rPr>
        <w:t>Sociālās integrācijas valsts aģentūra</w:t>
      </w:r>
      <w:r w:rsidR="00F57FF9" w:rsidRPr="00386D68">
        <w:rPr>
          <w:szCs w:val="24"/>
        </w:rPr>
        <w:t xml:space="preserve"> par </w:t>
      </w:r>
      <w:r w:rsidR="00F57FF9" w:rsidRPr="00386D68">
        <w:rPr>
          <w:szCs w:val="24"/>
          <w:lang w:eastAsia="lv-LV"/>
        </w:rPr>
        <w:t>kopējo projekta summu</w:t>
      </w:r>
      <w:r w:rsidR="0072792D" w:rsidRPr="00386D68">
        <w:rPr>
          <w:szCs w:val="24"/>
          <w:lang w:eastAsia="lv-LV"/>
        </w:rPr>
        <w:t xml:space="preserve"> </w:t>
      </w:r>
      <w:r w:rsidR="00C27BD8" w:rsidRPr="00386D68">
        <w:rPr>
          <w:szCs w:val="24"/>
          <w:lang w:eastAsia="lv-LV"/>
        </w:rPr>
        <w:t>0,</w:t>
      </w:r>
      <w:r w:rsidR="00F57FF9" w:rsidRPr="00386D68">
        <w:rPr>
          <w:szCs w:val="24"/>
          <w:lang w:eastAsia="lv-LV"/>
        </w:rPr>
        <w:t>19</w:t>
      </w:r>
      <w:r w:rsidR="0072792D" w:rsidRPr="00386D68">
        <w:rPr>
          <w:szCs w:val="24"/>
          <w:lang w:eastAsia="lv-LV"/>
        </w:rPr>
        <w:t xml:space="preserve"> milj. </w:t>
      </w:r>
      <w:proofErr w:type="spellStart"/>
      <w:r w:rsidR="0072792D" w:rsidRPr="00386D68">
        <w:rPr>
          <w:i/>
          <w:szCs w:val="24"/>
          <w:lang w:eastAsia="lv-LV"/>
        </w:rPr>
        <w:t>e</w:t>
      </w:r>
      <w:r w:rsidR="009D28A7" w:rsidRPr="00386D68">
        <w:rPr>
          <w:i/>
          <w:szCs w:val="24"/>
          <w:lang w:eastAsia="lv-LV"/>
        </w:rPr>
        <w:t>u</w:t>
      </w:r>
      <w:r w:rsidR="0072792D" w:rsidRPr="00386D68">
        <w:rPr>
          <w:i/>
          <w:szCs w:val="24"/>
          <w:lang w:eastAsia="lv-LV"/>
        </w:rPr>
        <w:t>ro</w:t>
      </w:r>
      <w:proofErr w:type="spellEnd"/>
      <w:r w:rsidR="0072792D" w:rsidRPr="00386D68">
        <w:rPr>
          <w:szCs w:val="24"/>
          <w:lang w:eastAsia="lv-LV"/>
        </w:rPr>
        <w:t>.</w:t>
      </w:r>
      <w:r w:rsidRPr="00386D68">
        <w:rPr>
          <w:rStyle w:val="FootnoteReference"/>
          <w:szCs w:val="24"/>
          <w:lang w:eastAsia="lv-LV"/>
        </w:rPr>
        <w:footnoteReference w:id="51"/>
      </w:r>
      <w:r w:rsidRPr="00386D68">
        <w:rPr>
          <w:szCs w:val="24"/>
          <w:lang w:eastAsia="lv-LV"/>
        </w:rPr>
        <w:t xml:space="preserve"> </w:t>
      </w:r>
      <w:r w:rsidR="00501423" w:rsidRPr="00386D68">
        <w:rPr>
          <w:szCs w:val="24"/>
        </w:rPr>
        <w:t>Projekta mērķis – samazināt oglekļa dioksīda emisiju ēk</w:t>
      </w:r>
      <w:r w:rsidR="00386D68" w:rsidRPr="00386D68">
        <w:rPr>
          <w:szCs w:val="24"/>
        </w:rPr>
        <w:t>ā</w:t>
      </w:r>
      <w:r w:rsidR="00501423" w:rsidRPr="00386D68">
        <w:rPr>
          <w:szCs w:val="24"/>
        </w:rPr>
        <w:t>s Sociālās integrācijas valsts aģentūras telpās Dubultu pr.71, Jūrmal</w:t>
      </w:r>
      <w:r w:rsidR="00386D68" w:rsidRPr="00386D68">
        <w:rPr>
          <w:szCs w:val="24"/>
        </w:rPr>
        <w:t>ā</w:t>
      </w:r>
      <w:r w:rsidR="00501423" w:rsidRPr="00386D68">
        <w:rPr>
          <w:szCs w:val="24"/>
        </w:rPr>
        <w:t>, ieviešot tehnoloģijas, kur</w:t>
      </w:r>
      <w:r w:rsidR="00386D68" w:rsidRPr="00386D68">
        <w:rPr>
          <w:szCs w:val="24"/>
        </w:rPr>
        <w:t>ā</w:t>
      </w:r>
      <w:r w:rsidR="00501423" w:rsidRPr="00386D68">
        <w:rPr>
          <w:szCs w:val="24"/>
        </w:rPr>
        <w:t>s izmanto atjaunojamos energoresursus – saules kolektorus un siltuma sūkņus. Projekta īstenošanas laikā uzstādīti 3 siltum</w:t>
      </w:r>
      <w:r w:rsidR="00386D68" w:rsidRPr="00386D68">
        <w:rPr>
          <w:szCs w:val="24"/>
        </w:rPr>
        <w:t xml:space="preserve">a </w:t>
      </w:r>
      <w:r w:rsidR="00501423" w:rsidRPr="00386D68">
        <w:rPr>
          <w:szCs w:val="24"/>
        </w:rPr>
        <w:t xml:space="preserve">sūkņi un 80 tiešā caurplūduma vakuuma cauruļu kolektori ar </w:t>
      </w:r>
      <w:proofErr w:type="spellStart"/>
      <w:r w:rsidR="00501423" w:rsidRPr="00386D68">
        <w:rPr>
          <w:szCs w:val="24"/>
        </w:rPr>
        <w:t>priekšsildītājiem</w:t>
      </w:r>
      <w:proofErr w:type="spellEnd"/>
      <w:r w:rsidR="00501423" w:rsidRPr="00386D68">
        <w:rPr>
          <w:szCs w:val="24"/>
        </w:rPr>
        <w:t xml:space="preserve"> un boileriem, kas nodrošina karstā ūdens sagatavošanu ārstnieciskajām procedūrām (vannas, </w:t>
      </w:r>
      <w:proofErr w:type="spellStart"/>
      <w:r w:rsidR="00501423" w:rsidRPr="00386D68">
        <w:rPr>
          <w:szCs w:val="24"/>
        </w:rPr>
        <w:t>šarko</w:t>
      </w:r>
      <w:proofErr w:type="spellEnd"/>
      <w:r w:rsidR="00501423" w:rsidRPr="00386D68">
        <w:rPr>
          <w:szCs w:val="24"/>
        </w:rPr>
        <w:t xml:space="preserve"> dušas, baseins), klientu dzīvojamām istabām un siltuma pārpalikuma izmantošanu apkures vajadzībām.</w:t>
      </w:r>
    </w:p>
    <w:p w:rsidR="004B0283" w:rsidRDefault="004B0283" w:rsidP="0072792D">
      <w:pPr>
        <w:ind w:firstLine="720"/>
        <w:rPr>
          <w:szCs w:val="24"/>
          <w:lang w:eastAsia="lv-LV"/>
        </w:rPr>
      </w:pPr>
    </w:p>
    <w:p w:rsidR="004B0283" w:rsidRDefault="004B0283" w:rsidP="001D51D3">
      <w:pPr>
        <w:pStyle w:val="Heading3"/>
        <w:ind w:firstLine="720"/>
      </w:pPr>
      <w:bookmarkStart w:id="26" w:name="_Toc445290198"/>
      <w:r w:rsidRPr="00193141">
        <w:t>2.2.</w:t>
      </w:r>
      <w:r>
        <w:t>3</w:t>
      </w:r>
      <w:r w:rsidRPr="00193141">
        <w:t>. Projektu atklātais konkurss “</w:t>
      </w:r>
      <w:r w:rsidRPr="004B0283">
        <w:t>Kompleksi risinājumi siltumnīcefekta gāzu emisijas samazināšanai</w:t>
      </w:r>
      <w:r w:rsidRPr="00193141">
        <w:t>”</w:t>
      </w:r>
      <w:bookmarkEnd w:id="26"/>
    </w:p>
    <w:p w:rsidR="004B0283" w:rsidRDefault="004B0283" w:rsidP="0072792D">
      <w:pPr>
        <w:ind w:firstLine="720"/>
        <w:rPr>
          <w:b/>
          <w:szCs w:val="24"/>
        </w:rPr>
      </w:pPr>
    </w:p>
    <w:p w:rsidR="00CA038A" w:rsidRDefault="00CA038A" w:rsidP="00CA038A">
      <w:pPr>
        <w:pStyle w:val="Default"/>
        <w:ind w:firstLine="714"/>
        <w:jc w:val="both"/>
      </w:pPr>
      <w:r w:rsidRPr="00611818">
        <w:t xml:space="preserve">Konkursa </w:t>
      </w:r>
      <w:r w:rsidR="00846D31" w:rsidRPr="00846D31">
        <w:t>“</w:t>
      </w:r>
      <w:r w:rsidRPr="00846D31">
        <w:t>Kompleksi risinājumi siltumnīcefekta gāzu emisijas samazināšanai”</w:t>
      </w:r>
      <w:r w:rsidRPr="00611818">
        <w:t xml:space="preserve"> ietvaros projektus īstenoja </w:t>
      </w:r>
      <w:r w:rsidR="0008469B">
        <w:t>3</w:t>
      </w:r>
      <w:r w:rsidRPr="00611818">
        <w:t xml:space="preserve"> koledžas – </w:t>
      </w:r>
      <w:r w:rsidR="00C94339" w:rsidRPr="00611818">
        <w:t>Daugavpils Medicīnas koledža (konkursa 2.kārtas ietvaros)</w:t>
      </w:r>
      <w:r w:rsidRPr="00611818">
        <w:t>, PIKC „Rīgas Tehniskā koledža” (konkursa 4.kārtas ietvaros)</w:t>
      </w:r>
      <w:r w:rsidR="00345579" w:rsidRPr="00611818">
        <w:t xml:space="preserve"> </w:t>
      </w:r>
      <w:r w:rsidRPr="00611818">
        <w:t xml:space="preserve">un Liepājas Jūrniecības koledža (konkursa 5.kārtas ietvaros). Koledžu projekti šī konkursa ietvaros </w:t>
      </w:r>
      <w:r w:rsidRPr="00F57FF9">
        <w:t>īstenoti 1,</w:t>
      </w:r>
      <w:r w:rsidR="00F57FF9" w:rsidRPr="00F57FF9">
        <w:t>28</w:t>
      </w:r>
      <w:r w:rsidRPr="00F57FF9">
        <w:t xml:space="preserve"> milj. </w:t>
      </w:r>
      <w:proofErr w:type="spellStart"/>
      <w:r w:rsidRPr="00F57FF9">
        <w:rPr>
          <w:i/>
        </w:rPr>
        <w:t>euro</w:t>
      </w:r>
      <w:proofErr w:type="spellEnd"/>
      <w:r w:rsidRPr="00611818">
        <w:t xml:space="preserve"> apmērā.</w:t>
      </w:r>
      <w:r w:rsidRPr="00611818">
        <w:rPr>
          <w:rStyle w:val="FootnoteReference"/>
        </w:rPr>
        <w:footnoteReference w:id="52"/>
      </w:r>
      <w:r w:rsidR="00386D68">
        <w:t xml:space="preserve"> Projektu ietvaros energoefektivitātes pasākumi veikti dienesta viesnīcās (DMK, LJK) vai ēkas korpusā un sporta zālē (RTK).</w:t>
      </w:r>
    </w:p>
    <w:p w:rsidR="00386D68" w:rsidRDefault="00386D68" w:rsidP="00CA038A">
      <w:pPr>
        <w:pStyle w:val="Default"/>
        <w:ind w:firstLine="714"/>
        <w:jc w:val="both"/>
        <w:rPr>
          <w:highlight w:val="cyan"/>
        </w:rPr>
      </w:pPr>
    </w:p>
    <w:p w:rsidR="00386D68" w:rsidRDefault="00386D68" w:rsidP="00386D68">
      <w:pPr>
        <w:pStyle w:val="Heading3"/>
        <w:ind w:firstLine="714"/>
      </w:pPr>
      <w:bookmarkStart w:id="27" w:name="_Toc445290199"/>
      <w:r w:rsidRPr="00193141">
        <w:t>2.2.</w:t>
      </w:r>
      <w:r>
        <w:t>4</w:t>
      </w:r>
      <w:r w:rsidRPr="00193141">
        <w:t>. Projektu atklātais konkurss “</w:t>
      </w:r>
      <w:r w:rsidRPr="00386D68">
        <w:t>Kompleksi risinājumi siltumnīcefekta gāzu emisijas samazināšanai valsts un pašvaldību profesionālās izglītības iestāžu ēkās</w:t>
      </w:r>
      <w:r w:rsidRPr="00193141">
        <w:t>”</w:t>
      </w:r>
      <w:bookmarkEnd w:id="27"/>
    </w:p>
    <w:p w:rsidR="00386D68" w:rsidRPr="00386D68" w:rsidRDefault="00386D68" w:rsidP="00386D68">
      <w:pPr>
        <w:rPr>
          <w:highlight w:val="cyan"/>
        </w:rPr>
      </w:pPr>
    </w:p>
    <w:p w:rsidR="002A5574" w:rsidRDefault="004F2012" w:rsidP="00CA038A">
      <w:pPr>
        <w:pStyle w:val="Default"/>
        <w:ind w:firstLine="714"/>
        <w:jc w:val="both"/>
      </w:pPr>
      <w:r w:rsidRPr="004F2012">
        <w:t xml:space="preserve">Konkursa ietvaros projektu īstenoja </w:t>
      </w:r>
      <w:r w:rsidR="002A5574" w:rsidRPr="004F2012">
        <w:t>Sociālās integrācijas valsts aģentūra</w:t>
      </w:r>
      <w:r w:rsidR="005E5675" w:rsidRPr="004F2012">
        <w:t xml:space="preserve">. Projekts </w:t>
      </w:r>
      <w:r w:rsidR="002A5574" w:rsidRPr="004F2012">
        <w:t xml:space="preserve">„Oglekļa dioksīda emisijas samazināšana Sociālās integrācijas valsts aģentūras dienesta viesnīcas ēkās” paredzēja atbalstu Sociālās integrācijas valsts aģentūras dienesta viesnīcas, Dubultu prospektā 59, Jūrmalā, </w:t>
      </w:r>
      <w:r w:rsidR="005E5675" w:rsidRPr="004F2012">
        <w:t>energoefektivitātes pasākumiem 1,</w:t>
      </w:r>
      <w:r w:rsidRPr="004F2012">
        <w:t>29</w:t>
      </w:r>
      <w:r w:rsidR="005E5675" w:rsidRPr="004F2012">
        <w:t xml:space="preserve"> milj. </w:t>
      </w:r>
      <w:proofErr w:type="spellStart"/>
      <w:r w:rsidR="005E5675" w:rsidRPr="004F2012">
        <w:rPr>
          <w:i/>
        </w:rPr>
        <w:t>euro</w:t>
      </w:r>
      <w:proofErr w:type="spellEnd"/>
      <w:r w:rsidR="005E5675" w:rsidRPr="004F2012">
        <w:t xml:space="preserve"> apmērā</w:t>
      </w:r>
      <w:r w:rsidR="002A5574" w:rsidRPr="004F2012">
        <w:t>.</w:t>
      </w:r>
      <w:r w:rsidR="002A5574" w:rsidRPr="004F2012">
        <w:rPr>
          <w:rStyle w:val="FootnoteReference"/>
        </w:rPr>
        <w:footnoteReference w:id="53"/>
      </w:r>
    </w:p>
    <w:p w:rsidR="00CA29C2" w:rsidRDefault="00CA29C2" w:rsidP="00CA038A">
      <w:pPr>
        <w:pStyle w:val="Default"/>
        <w:ind w:firstLine="714"/>
        <w:jc w:val="both"/>
      </w:pPr>
    </w:p>
    <w:p w:rsidR="002A5574" w:rsidRDefault="00305412" w:rsidP="00CA038A">
      <w:pPr>
        <w:pStyle w:val="Default"/>
        <w:ind w:firstLine="714"/>
        <w:jc w:val="both"/>
        <w:rPr>
          <w:bCs/>
        </w:rPr>
      </w:pPr>
      <w:r>
        <w:t xml:space="preserve">Kopumā secināms, ka ar KPFI </w:t>
      </w:r>
      <w:r w:rsidR="000530FF">
        <w:t>finansējumu</w:t>
      </w:r>
      <w:r>
        <w:t xml:space="preserve"> īstenoti 10 projekti 6,46 milj. </w:t>
      </w:r>
      <w:proofErr w:type="spellStart"/>
      <w:r w:rsidRPr="004F2012">
        <w:rPr>
          <w:i/>
        </w:rPr>
        <w:t>euro</w:t>
      </w:r>
      <w:proofErr w:type="spellEnd"/>
      <w:r w:rsidRPr="004F2012">
        <w:t xml:space="preserve"> apmērā</w:t>
      </w:r>
      <w:r>
        <w:t xml:space="preserve">, atbalstu sniedzot 9 valsts koledžām (SIVA īstenojusi 2 projektus). </w:t>
      </w:r>
      <w:r w:rsidRPr="00FC5DA6">
        <w:rPr>
          <w:bCs/>
        </w:rPr>
        <w:t xml:space="preserve">No </w:t>
      </w:r>
      <w:r w:rsidR="000530FF">
        <w:rPr>
          <w:bCs/>
        </w:rPr>
        <w:t xml:space="preserve">šobrīd esošām </w:t>
      </w:r>
      <w:r w:rsidRPr="00FC5DA6">
        <w:rPr>
          <w:bCs/>
        </w:rPr>
        <w:t>17 koledžām, kas īsteno</w:t>
      </w:r>
      <w:r>
        <w:rPr>
          <w:bCs/>
        </w:rPr>
        <w:t xml:space="preserve"> STEM</w:t>
      </w:r>
      <w:r w:rsidR="004F39CA">
        <w:rPr>
          <w:bCs/>
        </w:rPr>
        <w:t xml:space="preserve"> </w:t>
      </w:r>
      <w:r w:rsidRPr="00FC5DA6">
        <w:rPr>
          <w:bCs/>
        </w:rPr>
        <w:t xml:space="preserve">pirmā līmeņa profesionālās augstākās izglītības studiju programmas, </w:t>
      </w:r>
      <w:r>
        <w:rPr>
          <w:bCs/>
        </w:rPr>
        <w:t>KPFI</w:t>
      </w:r>
      <w:r w:rsidRPr="00FC5DA6">
        <w:rPr>
          <w:bCs/>
        </w:rPr>
        <w:t xml:space="preserve"> finansējumu </w:t>
      </w:r>
      <w:r>
        <w:rPr>
          <w:bCs/>
        </w:rPr>
        <w:t>2007.-2013.gada plānošanas periodā</w:t>
      </w:r>
      <w:r w:rsidRPr="00FC5DA6">
        <w:rPr>
          <w:bCs/>
        </w:rPr>
        <w:t xml:space="preserve"> </w:t>
      </w:r>
      <w:r w:rsidR="000530FF">
        <w:rPr>
          <w:bCs/>
        </w:rPr>
        <w:t>nav saņēmušas</w:t>
      </w:r>
      <w:r w:rsidRPr="00FC5DA6">
        <w:rPr>
          <w:bCs/>
        </w:rPr>
        <w:t xml:space="preserve"> </w:t>
      </w:r>
      <w:r w:rsidR="000530FF">
        <w:rPr>
          <w:bCs/>
        </w:rPr>
        <w:t>4</w:t>
      </w:r>
      <w:r>
        <w:rPr>
          <w:bCs/>
        </w:rPr>
        <w:t xml:space="preserve"> valsts koledžas,</w:t>
      </w:r>
      <w:r w:rsidRPr="00FC5DA6">
        <w:rPr>
          <w:bCs/>
        </w:rPr>
        <w:t xml:space="preserve"> kā arī visas juridisko personu dibinātās koledžas, kas īsteno</w:t>
      </w:r>
      <w:r>
        <w:rPr>
          <w:bCs/>
        </w:rPr>
        <w:t xml:space="preserve"> STEM</w:t>
      </w:r>
      <w:r w:rsidR="004F39CA">
        <w:rPr>
          <w:bCs/>
        </w:rPr>
        <w:t xml:space="preserve"> </w:t>
      </w:r>
      <w:r w:rsidRPr="00FC5DA6">
        <w:rPr>
          <w:bCs/>
        </w:rPr>
        <w:t>pirmā līmeņa profesionālās augstākās izglītības studiju programmas</w:t>
      </w:r>
      <w:r w:rsidR="000530FF">
        <w:rPr>
          <w:bCs/>
        </w:rPr>
        <w:t xml:space="preserve"> (atbalsts sniegts 53 % koledžu, kas īsteno STEM programmas). Lielākoties ar KPFI atbalstu veikti energoefektivitātes pasākumi koledžu dienesta viesnīcu ēkās (7 projektos no 10). 4 projektos veikti energoefektivitātes </w:t>
      </w:r>
      <w:r w:rsidR="000530FF">
        <w:rPr>
          <w:bCs/>
        </w:rPr>
        <w:lastRenderedPageBreak/>
        <w:t>pasākumi koledžu ēkās. Jāatzīmē, ka KPFI ieguldījumi nav attiecināmi pret konkrētām studiju programmām, tie ir vērsti uz koledžu ēkām kopumā.</w:t>
      </w:r>
    </w:p>
    <w:p w:rsidR="009454D6" w:rsidRDefault="009454D6" w:rsidP="00CA038A">
      <w:pPr>
        <w:pStyle w:val="Default"/>
        <w:ind w:firstLine="714"/>
        <w:jc w:val="both"/>
        <w:rPr>
          <w:bCs/>
        </w:rPr>
      </w:pPr>
      <w:r w:rsidRPr="008E30EE">
        <w:t xml:space="preserve">Apkopojums par KPFI ieguldījumiem koledžu infrastruktūrā ir sniegts novērtējuma </w:t>
      </w:r>
      <w:r w:rsidR="000003FD">
        <w:t>3</w:t>
      </w:r>
      <w:r w:rsidRPr="008E30EE">
        <w:t xml:space="preserve">.pielikuma </w:t>
      </w:r>
      <w:r>
        <w:t>3</w:t>
      </w:r>
      <w:r w:rsidRPr="008E30EE">
        <w:t>.sadaļā „</w:t>
      </w:r>
      <w:r w:rsidR="00C43701" w:rsidRPr="00C43701">
        <w:t>KPFI atbalstītie koledžu projekti</w:t>
      </w:r>
      <w:r w:rsidRPr="008E30EE">
        <w:t>” (</w:t>
      </w:r>
      <w:r>
        <w:t>3</w:t>
      </w:r>
      <w:r w:rsidRPr="008E30EE">
        <w:t>.izklājlapa).</w:t>
      </w:r>
    </w:p>
    <w:p w:rsidR="00305412" w:rsidRPr="008178E9" w:rsidRDefault="00305412" w:rsidP="00CA038A">
      <w:pPr>
        <w:pStyle w:val="Default"/>
        <w:ind w:firstLine="714"/>
        <w:jc w:val="both"/>
      </w:pPr>
    </w:p>
    <w:p w:rsidR="00ED32CE" w:rsidRDefault="00D53983" w:rsidP="003F34D8">
      <w:pPr>
        <w:pStyle w:val="Heading2"/>
      </w:pPr>
      <w:bookmarkStart w:id="28" w:name="_Toc445290200"/>
      <w:r>
        <w:t>2.3. Citu</w:t>
      </w:r>
      <w:r w:rsidR="00F82230">
        <w:t xml:space="preserve"> finan</w:t>
      </w:r>
      <w:r>
        <w:t>šu instrumentu</w:t>
      </w:r>
      <w:r w:rsidR="00F82230" w:rsidRPr="00F82230">
        <w:t xml:space="preserve"> </w:t>
      </w:r>
      <w:r w:rsidRPr="00B06725">
        <w:t>investīcijas koledžu infrastruktūrā</w:t>
      </w:r>
      <w:r>
        <w:t xml:space="preserve"> 2007.-2013.gada plānošanas periodā</w:t>
      </w:r>
      <w:bookmarkEnd w:id="28"/>
    </w:p>
    <w:p w:rsidR="002C0BB2" w:rsidRDefault="002C0BB2" w:rsidP="002C0BB2">
      <w:pPr>
        <w:pStyle w:val="Default"/>
        <w:ind w:firstLine="720"/>
        <w:jc w:val="both"/>
        <w:rPr>
          <w:b/>
        </w:rPr>
      </w:pPr>
    </w:p>
    <w:p w:rsidR="00B62CCB" w:rsidRDefault="00B62CCB" w:rsidP="002C0BB2">
      <w:pPr>
        <w:pStyle w:val="Default"/>
        <w:ind w:firstLine="720"/>
        <w:jc w:val="both"/>
      </w:pPr>
      <w:r>
        <w:t xml:space="preserve">Koledžas, kas </w:t>
      </w:r>
      <w:r w:rsidRPr="00C92963">
        <w:t>īsteno STEM pirmā līmeņa profesionālās augstākās izglītības studiju programmas</w:t>
      </w:r>
      <w:r>
        <w:t xml:space="preserve">, atbalstu ir saņēmušas divu </w:t>
      </w:r>
      <w:r w:rsidRPr="00C92963">
        <w:t>pārrobežu sadarbības programm</w:t>
      </w:r>
      <w:r>
        <w:t>u ietvaros- Malnavas koledža</w:t>
      </w:r>
      <w:r w:rsidRPr="00C92963">
        <w:rPr>
          <w:rStyle w:val="st"/>
        </w:rPr>
        <w:t xml:space="preserve"> </w:t>
      </w:r>
      <w:r w:rsidRPr="005B7CC9">
        <w:rPr>
          <w:rStyle w:val="st"/>
          <w:b/>
        </w:rPr>
        <w:t>Igaunijas – Latvijas – Krievijas</w:t>
      </w:r>
      <w:r w:rsidRPr="005B7CC9">
        <w:rPr>
          <w:rStyle w:val="st"/>
          <w:rFonts w:ascii="Arial" w:hAnsi="Arial" w:cs="Arial"/>
          <w:b/>
          <w:color w:val="222222"/>
        </w:rPr>
        <w:t xml:space="preserve"> </w:t>
      </w:r>
      <w:r w:rsidRPr="005B7CC9">
        <w:rPr>
          <w:b/>
        </w:rPr>
        <w:t>pārrobežu sadarbības programmā</w:t>
      </w:r>
      <w:r>
        <w:t xml:space="preserve"> un Liepājas Jūrniecības koledža</w:t>
      </w:r>
      <w:r w:rsidRPr="00C92963">
        <w:t xml:space="preserve"> </w:t>
      </w:r>
      <w:r w:rsidRPr="005B7CC9">
        <w:rPr>
          <w:b/>
        </w:rPr>
        <w:t>Latvijas – Lietuvas pārrobežu sadarbības programmā</w:t>
      </w:r>
      <w:r>
        <w:t>.</w:t>
      </w:r>
    </w:p>
    <w:p w:rsidR="00CE4641" w:rsidRPr="00CE4641" w:rsidRDefault="007D44CC" w:rsidP="00CE4641">
      <w:pPr>
        <w:ind w:firstLine="720"/>
      </w:pPr>
      <w:r w:rsidRPr="005B7CC9">
        <w:t xml:space="preserve">Igaunijas – Latvijas – Krievijas </w:t>
      </w:r>
      <w:r w:rsidRPr="00392C59">
        <w:t xml:space="preserve">pārrobežu sadarbības programma ir viena no </w:t>
      </w:r>
      <w:hyperlink r:id="rId33" w:tgtFrame="_self" w:history="1">
        <w:r w:rsidRPr="00392C59">
          <w:rPr>
            <w:bCs/>
          </w:rPr>
          <w:t>Eiropas Savienības struktūrfondu 3. mērķa „Eiropas teritoriālā sadarbība” programmām</w:t>
        </w:r>
      </w:hyperlink>
      <w:r w:rsidRPr="00392C59">
        <w:t xml:space="preserve"> un tiek īstenota Eiropas kaimiņattiecību un partnerības instrumenta (EKPI) ietvaros. EKPI ir Eiropas Komisijas iniciatīva, kas aizvietos līdzšinējās ģeogrāfiskās un tematiskās sadarbības finanšu programmas ārējās robežās (piemēram, TACIS). </w:t>
      </w:r>
      <w:r w:rsidR="00CE4641">
        <w:t xml:space="preserve">Arī </w:t>
      </w:r>
      <w:r w:rsidR="00CE4641" w:rsidRPr="00453591">
        <w:rPr>
          <w:rFonts w:eastAsia="Calibri"/>
          <w:color w:val="000000"/>
          <w:szCs w:val="24"/>
          <w:lang w:eastAsia="lv-LV"/>
        </w:rPr>
        <w:t xml:space="preserve">Latvijas - Lietuvas pārrobežu sadarbības programma 2007.-2013.gadam ir viena no </w:t>
      </w:r>
      <w:hyperlink r:id="rId34" w:tgtFrame="_self" w:history="1">
        <w:r w:rsidR="00CE4641" w:rsidRPr="00453591">
          <w:rPr>
            <w:rFonts w:eastAsia="Calibri"/>
            <w:color w:val="000000"/>
            <w:szCs w:val="24"/>
            <w:lang w:eastAsia="lv-LV"/>
          </w:rPr>
          <w:t>Eiropas Savienības struktūrfondu 3. mērķa „Eiropas teritoriālā sadarbība” programmām</w:t>
        </w:r>
      </w:hyperlink>
      <w:r w:rsidR="00CE4641" w:rsidRPr="00453591">
        <w:rPr>
          <w:rFonts w:eastAsia="Calibri"/>
          <w:color w:val="000000"/>
          <w:szCs w:val="24"/>
          <w:lang w:eastAsia="lv-LV"/>
        </w:rPr>
        <w:t>.</w:t>
      </w:r>
      <w:r w:rsidR="00CE4641">
        <w:rPr>
          <w:rFonts w:eastAsia="Calibri"/>
          <w:color w:val="000000"/>
          <w:szCs w:val="24"/>
          <w:lang w:eastAsia="lv-LV"/>
        </w:rPr>
        <w:t xml:space="preserve"> </w:t>
      </w:r>
      <w:r w:rsidR="00CE4641" w:rsidRPr="00453591">
        <w:rPr>
          <w:rFonts w:eastAsia="Calibri"/>
          <w:color w:val="000000"/>
          <w:szCs w:val="24"/>
          <w:lang w:eastAsia="lv-LV"/>
        </w:rPr>
        <w:t>Programmas mērķis ir veicināt ilgtspējīgu un vienlīdzīgu pierobežas reģiona sociālekonomisko attīstību, lai padarītu to konkurētspējīgu ekonomiskajai un uzņēmējdarbības attīstībai un pievilcīgu dzīvošanai un apmeklēšanai.</w:t>
      </w:r>
      <w:r w:rsidR="00CE4641" w:rsidRPr="00453591">
        <w:rPr>
          <w:rFonts w:eastAsia="Calibri"/>
          <w:color w:val="000000"/>
          <w:szCs w:val="24"/>
          <w:vertAlign w:val="superscript"/>
        </w:rPr>
        <w:footnoteReference w:id="54"/>
      </w:r>
    </w:p>
    <w:p w:rsidR="005B7CC9" w:rsidRDefault="005B7CC9" w:rsidP="00A94D09">
      <w:pPr>
        <w:pStyle w:val="Heading3"/>
        <w:ind w:firstLine="720"/>
      </w:pPr>
      <w:bookmarkStart w:id="29" w:name="_Toc445290201"/>
      <w:r w:rsidRPr="00A94D09">
        <w:t>2.3.1. Igaunijas – Latvijas – Krievijas</w:t>
      </w:r>
      <w:r w:rsidRPr="005B7CC9">
        <w:rPr>
          <w:rStyle w:val="st"/>
          <w:rFonts w:ascii="Arial" w:hAnsi="Arial" w:cs="Arial"/>
          <w:b w:val="0"/>
          <w:color w:val="222222"/>
        </w:rPr>
        <w:t xml:space="preserve"> </w:t>
      </w:r>
      <w:r w:rsidRPr="005B7CC9">
        <w:t>pārrobežu sadarbības programm</w:t>
      </w:r>
      <w:r>
        <w:t>a</w:t>
      </w:r>
      <w:bookmarkEnd w:id="29"/>
    </w:p>
    <w:p w:rsidR="002C0BB2" w:rsidRPr="005B7CC9" w:rsidRDefault="002C0BB2" w:rsidP="002C0BB2">
      <w:pPr>
        <w:autoSpaceDE w:val="0"/>
        <w:autoSpaceDN w:val="0"/>
        <w:adjustRightInd w:val="0"/>
        <w:ind w:firstLine="720"/>
        <w:jc w:val="left"/>
        <w:rPr>
          <w:rFonts w:ascii="Verdana" w:eastAsia="Calibri" w:hAnsi="Verdana" w:cs="Verdana"/>
          <w:color w:val="000000"/>
          <w:szCs w:val="24"/>
          <w:lang w:eastAsia="lv-LV"/>
        </w:rPr>
      </w:pPr>
    </w:p>
    <w:p w:rsidR="005B7CC9" w:rsidRPr="005B7CC9" w:rsidRDefault="005B7CC9" w:rsidP="005011E4">
      <w:pPr>
        <w:pStyle w:val="Default"/>
        <w:ind w:firstLine="720"/>
        <w:jc w:val="both"/>
      </w:pPr>
      <w:r w:rsidRPr="005B7CC9">
        <w:t>Igaunijas – Latvijas – Krievijas pārrobežu sadarbības programmas Eiropas Kaimiņattiecību un partnerības instrumenta ietvaros 2007</w:t>
      </w:r>
      <w:r>
        <w:t>.</w:t>
      </w:r>
      <w:r w:rsidRPr="005B7CC9">
        <w:t>-2013.</w:t>
      </w:r>
      <w:r>
        <w:t>gada plānošanas periodā</w:t>
      </w:r>
      <w:r w:rsidR="00D92663" w:rsidRPr="00D92663">
        <w:t xml:space="preserve"> </w:t>
      </w:r>
      <w:r w:rsidR="00D92663" w:rsidRPr="005B7CC9">
        <w:t>tik</w:t>
      </w:r>
      <w:r w:rsidR="00672181">
        <w:t>a</w:t>
      </w:r>
      <w:r w:rsidR="00D92663" w:rsidRPr="005B7CC9">
        <w:t xml:space="preserve"> ieviests</w:t>
      </w:r>
      <w:r w:rsidR="00D92663">
        <w:t xml:space="preserve"> </w:t>
      </w:r>
      <w:r w:rsidR="00D92663" w:rsidRPr="0022587D">
        <w:rPr>
          <w:b/>
        </w:rPr>
        <w:t>projekts ELRII-285</w:t>
      </w:r>
      <w:r w:rsidR="00D92663" w:rsidRPr="005B7CC9">
        <w:t xml:space="preserve"> </w:t>
      </w:r>
      <w:r w:rsidR="00D92663" w:rsidRPr="0022587D">
        <w:rPr>
          <w:b/>
        </w:rPr>
        <w:t>„Augstākās profesionālās izglītības uzlabošana transporta un loģistikas jomā”</w:t>
      </w:r>
      <w:r w:rsidR="00D92663" w:rsidRPr="005B7CC9">
        <w:t xml:space="preserve"> (T&amp;L)</w:t>
      </w:r>
      <w:r>
        <w:t>.</w:t>
      </w:r>
      <w:r w:rsidRPr="005B7CC9">
        <w:t xml:space="preserve"> 07.06.2013. Vides aizsardzības un reģionālās attīstības ministrija un </w:t>
      </w:r>
      <w:r w:rsidRPr="00D92663">
        <w:rPr>
          <w:b/>
        </w:rPr>
        <w:t>Malnavas koledža</w:t>
      </w:r>
      <w:r w:rsidRPr="005B7CC9">
        <w:t xml:space="preserve"> parakstīja finansējuma līgumu </w:t>
      </w:r>
      <w:proofErr w:type="spellStart"/>
      <w:r w:rsidRPr="005B7CC9">
        <w:t>Nr.ESTLATRUS</w:t>
      </w:r>
      <w:proofErr w:type="spellEnd"/>
      <w:r w:rsidRPr="005B7CC9">
        <w:t xml:space="preserve">/1.1/ELRII-285/2012/27 par projekta realizāciju. Projekta kopējais budžets ir </w:t>
      </w:r>
      <w:r w:rsidRPr="00414528">
        <w:t xml:space="preserve">219 616,60 </w:t>
      </w:r>
      <w:proofErr w:type="spellStart"/>
      <w:r w:rsidR="006074BB" w:rsidRPr="006074BB">
        <w:rPr>
          <w:i/>
        </w:rPr>
        <w:t>euro</w:t>
      </w:r>
      <w:proofErr w:type="spellEnd"/>
      <w:r w:rsidRPr="00414528">
        <w:t>.</w:t>
      </w:r>
      <w:r w:rsidRPr="005B7CC9">
        <w:t xml:space="preserve"> </w:t>
      </w:r>
      <w:r w:rsidR="00414528" w:rsidRPr="00414528">
        <w:t>Malnavas koledžas</w:t>
      </w:r>
      <w:r w:rsidR="00414528">
        <w:t xml:space="preserve"> projekta daļa – 89 656 </w:t>
      </w:r>
      <w:proofErr w:type="spellStart"/>
      <w:r w:rsidR="006074BB" w:rsidRPr="006074BB">
        <w:rPr>
          <w:i/>
        </w:rPr>
        <w:t>euro</w:t>
      </w:r>
      <w:proofErr w:type="spellEnd"/>
      <w:r w:rsidR="00414528">
        <w:t xml:space="preserve">. </w:t>
      </w:r>
      <w:r w:rsidRPr="005B7CC9">
        <w:t>Projektu 90% apmērā finansē Eiropas Savienība un Krievijas Federācija. Malnavas koledža ir projekta vadošais partneris un projektu ievie</w:t>
      </w:r>
      <w:r w:rsidR="00672181">
        <w:t>sa</w:t>
      </w:r>
      <w:r w:rsidRPr="005B7CC9">
        <w:t xml:space="preserve"> kopā ar partneriem no Krievijas un Latvijas – Pleskavas lauksaimniecības tehnikumu (Krievija) un biedrību „Akadēmiskais parks” (Latvija).</w:t>
      </w:r>
    </w:p>
    <w:p w:rsidR="005B7CC9" w:rsidRPr="005B7CC9" w:rsidRDefault="005B7CC9" w:rsidP="002C0BB2">
      <w:pPr>
        <w:autoSpaceDE w:val="0"/>
        <w:autoSpaceDN w:val="0"/>
        <w:adjustRightInd w:val="0"/>
        <w:ind w:firstLine="720"/>
        <w:jc w:val="left"/>
        <w:rPr>
          <w:rFonts w:eastAsia="Calibri"/>
          <w:color w:val="000000"/>
          <w:szCs w:val="24"/>
          <w:lang w:eastAsia="lv-LV"/>
        </w:rPr>
      </w:pPr>
      <w:r w:rsidRPr="005B7CC9">
        <w:rPr>
          <w:rFonts w:eastAsia="Calibri"/>
          <w:color w:val="000000"/>
          <w:szCs w:val="24"/>
          <w:lang w:eastAsia="lv-LV"/>
        </w:rPr>
        <w:t xml:space="preserve">Projekta </w:t>
      </w:r>
      <w:r w:rsidRPr="005B7CC9">
        <w:rPr>
          <w:rFonts w:eastAsia="Calibri"/>
          <w:b/>
          <w:color w:val="000000"/>
          <w:szCs w:val="24"/>
          <w:lang w:eastAsia="lv-LV"/>
        </w:rPr>
        <w:t>vispārējais mērķis</w:t>
      </w:r>
      <w:r w:rsidRPr="005B7CC9">
        <w:rPr>
          <w:rFonts w:eastAsia="Calibri"/>
          <w:color w:val="000000"/>
          <w:szCs w:val="24"/>
          <w:lang w:eastAsia="lv-LV"/>
        </w:rPr>
        <w:t xml:space="preserve"> ir attīstīt darba tirgus potenciālu transporta un loģistikas nozarē Latvijas un Krievijas pierobežas teritorijā, lai uzlabotu projekta teritorijas pievilcību un mazinātu </w:t>
      </w:r>
      <w:proofErr w:type="spellStart"/>
      <w:r w:rsidRPr="005B7CC9">
        <w:rPr>
          <w:rFonts w:eastAsia="Calibri"/>
          <w:color w:val="000000"/>
          <w:szCs w:val="24"/>
          <w:lang w:eastAsia="lv-LV"/>
        </w:rPr>
        <w:t>depopulāciju</w:t>
      </w:r>
      <w:proofErr w:type="spellEnd"/>
      <w:r w:rsidRPr="005B7CC9">
        <w:rPr>
          <w:rFonts w:eastAsia="Calibri"/>
          <w:color w:val="000000"/>
          <w:szCs w:val="24"/>
          <w:lang w:eastAsia="lv-LV"/>
        </w:rPr>
        <w:t xml:space="preserve">. Projekta </w:t>
      </w:r>
      <w:r w:rsidRPr="005B7CC9">
        <w:rPr>
          <w:rFonts w:eastAsia="Calibri"/>
          <w:b/>
          <w:color w:val="000000"/>
          <w:szCs w:val="24"/>
          <w:lang w:eastAsia="lv-LV"/>
        </w:rPr>
        <w:t>specifiskie mērķi</w:t>
      </w:r>
      <w:r w:rsidRPr="005B7CC9">
        <w:rPr>
          <w:rFonts w:eastAsia="Calibri"/>
          <w:color w:val="000000"/>
          <w:szCs w:val="24"/>
          <w:lang w:eastAsia="lv-LV"/>
        </w:rPr>
        <w:t xml:space="preserve">: </w:t>
      </w:r>
    </w:p>
    <w:p w:rsidR="005B7CC9" w:rsidRPr="007F763E" w:rsidRDefault="005B7CC9" w:rsidP="00722156">
      <w:pPr>
        <w:pStyle w:val="ListParagraph"/>
        <w:numPr>
          <w:ilvl w:val="1"/>
          <w:numId w:val="15"/>
        </w:numPr>
        <w:autoSpaceDE w:val="0"/>
        <w:autoSpaceDN w:val="0"/>
        <w:adjustRightInd w:val="0"/>
        <w:ind w:left="714" w:hanging="357"/>
        <w:jc w:val="left"/>
        <w:rPr>
          <w:rFonts w:eastAsia="Calibri"/>
          <w:color w:val="000000"/>
          <w:szCs w:val="24"/>
          <w:lang w:eastAsia="lv-LV"/>
        </w:rPr>
      </w:pPr>
      <w:r w:rsidRPr="007F763E">
        <w:rPr>
          <w:rFonts w:eastAsia="Calibri"/>
          <w:color w:val="000000"/>
          <w:szCs w:val="24"/>
          <w:lang w:eastAsia="lv-LV"/>
        </w:rPr>
        <w:t>Attīstīt sadarbību starp profesionā</w:t>
      </w:r>
      <w:r w:rsidR="001C06FF">
        <w:rPr>
          <w:rFonts w:eastAsia="Calibri"/>
          <w:color w:val="000000"/>
          <w:szCs w:val="24"/>
          <w:lang w:eastAsia="lv-LV"/>
        </w:rPr>
        <w:t>lā</w:t>
      </w:r>
      <w:r w:rsidRPr="007F763E">
        <w:rPr>
          <w:rFonts w:eastAsia="Calibri"/>
          <w:color w:val="000000"/>
          <w:szCs w:val="24"/>
          <w:lang w:eastAsia="lv-LV"/>
        </w:rPr>
        <w:t xml:space="preserve">s izglītības iestādēm un biznesa asociācijām transporta un loģistikas jomā; </w:t>
      </w:r>
    </w:p>
    <w:p w:rsidR="005B7CC9" w:rsidRPr="007F763E" w:rsidRDefault="005B7CC9" w:rsidP="00722156">
      <w:pPr>
        <w:pStyle w:val="ListParagraph"/>
        <w:numPr>
          <w:ilvl w:val="1"/>
          <w:numId w:val="15"/>
        </w:numPr>
        <w:autoSpaceDE w:val="0"/>
        <w:autoSpaceDN w:val="0"/>
        <w:adjustRightInd w:val="0"/>
        <w:ind w:left="714" w:hanging="357"/>
        <w:jc w:val="left"/>
        <w:rPr>
          <w:rFonts w:eastAsia="Calibri"/>
          <w:color w:val="000000"/>
          <w:szCs w:val="24"/>
          <w:lang w:eastAsia="lv-LV"/>
        </w:rPr>
      </w:pPr>
      <w:r w:rsidRPr="007F763E">
        <w:rPr>
          <w:rFonts w:eastAsia="Calibri"/>
          <w:color w:val="000000"/>
          <w:szCs w:val="24"/>
          <w:lang w:eastAsia="lv-LV"/>
        </w:rPr>
        <w:t xml:space="preserve">Uzlabot esošo profesionālās izglītības programmu, balstoties uz faktiskām vajadzībām transporta un loģistikas jomā; </w:t>
      </w:r>
    </w:p>
    <w:p w:rsidR="005B7CC9" w:rsidRPr="007F763E" w:rsidRDefault="005B7CC9" w:rsidP="00722156">
      <w:pPr>
        <w:pStyle w:val="ListParagraph"/>
        <w:numPr>
          <w:ilvl w:val="1"/>
          <w:numId w:val="15"/>
        </w:numPr>
        <w:autoSpaceDE w:val="0"/>
        <w:autoSpaceDN w:val="0"/>
        <w:adjustRightInd w:val="0"/>
        <w:ind w:left="714" w:hanging="357"/>
        <w:jc w:val="left"/>
        <w:rPr>
          <w:rFonts w:eastAsia="Calibri"/>
          <w:color w:val="000000"/>
          <w:szCs w:val="24"/>
          <w:lang w:eastAsia="lv-LV"/>
        </w:rPr>
      </w:pPr>
      <w:r w:rsidRPr="007F763E">
        <w:rPr>
          <w:rFonts w:eastAsia="Calibri"/>
          <w:color w:val="000000"/>
          <w:szCs w:val="24"/>
          <w:lang w:eastAsia="lv-LV"/>
        </w:rPr>
        <w:t xml:space="preserve">Uzlabot profesionālās izglītības programmas pieejamību Latgales un Pleskavas reģionos. </w:t>
      </w:r>
    </w:p>
    <w:p w:rsidR="005B7CC9" w:rsidRPr="005B7CC9" w:rsidRDefault="005B7CC9" w:rsidP="002C0BB2">
      <w:pPr>
        <w:autoSpaceDE w:val="0"/>
        <w:autoSpaceDN w:val="0"/>
        <w:adjustRightInd w:val="0"/>
        <w:ind w:firstLine="720"/>
        <w:jc w:val="left"/>
        <w:rPr>
          <w:rFonts w:eastAsia="Calibri"/>
          <w:color w:val="000000"/>
          <w:szCs w:val="24"/>
          <w:lang w:eastAsia="lv-LV"/>
        </w:rPr>
      </w:pPr>
      <w:r w:rsidRPr="005B7CC9">
        <w:rPr>
          <w:rFonts w:eastAsia="Calibri"/>
          <w:color w:val="000000"/>
          <w:szCs w:val="24"/>
          <w:lang w:eastAsia="lv-LV"/>
        </w:rPr>
        <w:t xml:space="preserve">Projekta </w:t>
      </w:r>
      <w:r w:rsidRPr="005B7CC9">
        <w:rPr>
          <w:rFonts w:eastAsia="Calibri"/>
          <w:b/>
          <w:color w:val="000000"/>
          <w:szCs w:val="24"/>
          <w:lang w:eastAsia="lv-LV"/>
        </w:rPr>
        <w:t>aktivitātes</w:t>
      </w:r>
      <w:r w:rsidRPr="005B7CC9">
        <w:rPr>
          <w:rFonts w:eastAsia="Calibri"/>
          <w:color w:val="000000"/>
          <w:szCs w:val="24"/>
          <w:lang w:eastAsia="lv-LV"/>
        </w:rPr>
        <w:t xml:space="preserve">: </w:t>
      </w:r>
    </w:p>
    <w:p w:rsidR="005B7CC9" w:rsidRPr="00937EEC" w:rsidRDefault="000E5720" w:rsidP="00722156">
      <w:pPr>
        <w:pStyle w:val="ListParagraph"/>
        <w:numPr>
          <w:ilvl w:val="1"/>
          <w:numId w:val="16"/>
        </w:numPr>
        <w:autoSpaceDE w:val="0"/>
        <w:autoSpaceDN w:val="0"/>
        <w:adjustRightInd w:val="0"/>
        <w:ind w:left="714" w:hanging="357"/>
        <w:jc w:val="left"/>
        <w:rPr>
          <w:rFonts w:eastAsia="Calibri"/>
          <w:color w:val="000000"/>
          <w:szCs w:val="24"/>
          <w:lang w:eastAsia="lv-LV"/>
        </w:rPr>
      </w:pPr>
      <w:r>
        <w:rPr>
          <w:rFonts w:eastAsia="Calibri"/>
          <w:color w:val="000000"/>
          <w:szCs w:val="24"/>
          <w:lang w:eastAsia="lv-LV"/>
        </w:rPr>
        <w:t>v</w:t>
      </w:r>
      <w:r w:rsidR="005B7CC9" w:rsidRPr="00937EEC">
        <w:rPr>
          <w:rFonts w:eastAsia="Calibri"/>
          <w:color w:val="000000"/>
          <w:szCs w:val="24"/>
          <w:lang w:eastAsia="lv-LV"/>
        </w:rPr>
        <w:t xml:space="preserve">adība un koordinācija; </w:t>
      </w:r>
    </w:p>
    <w:p w:rsidR="005B7CC9" w:rsidRPr="00937EEC" w:rsidRDefault="000E5720" w:rsidP="00722156">
      <w:pPr>
        <w:pStyle w:val="ListParagraph"/>
        <w:numPr>
          <w:ilvl w:val="1"/>
          <w:numId w:val="16"/>
        </w:numPr>
        <w:autoSpaceDE w:val="0"/>
        <w:autoSpaceDN w:val="0"/>
        <w:adjustRightInd w:val="0"/>
        <w:ind w:left="714" w:hanging="357"/>
        <w:jc w:val="left"/>
        <w:rPr>
          <w:rFonts w:eastAsia="Calibri"/>
          <w:color w:val="000000"/>
          <w:szCs w:val="24"/>
          <w:lang w:eastAsia="lv-LV"/>
        </w:rPr>
      </w:pPr>
      <w:r>
        <w:rPr>
          <w:rFonts w:eastAsia="Calibri"/>
          <w:color w:val="000000"/>
          <w:szCs w:val="24"/>
          <w:lang w:eastAsia="lv-LV"/>
        </w:rPr>
        <w:t>i</w:t>
      </w:r>
      <w:r w:rsidR="005B7CC9" w:rsidRPr="00937EEC">
        <w:rPr>
          <w:rFonts w:eastAsia="Calibri"/>
          <w:color w:val="000000"/>
          <w:szCs w:val="24"/>
          <w:lang w:eastAsia="lv-LV"/>
        </w:rPr>
        <w:t xml:space="preserve">nformācija un atpazīstamība; </w:t>
      </w:r>
    </w:p>
    <w:p w:rsidR="005B7CC9" w:rsidRPr="00937EEC" w:rsidRDefault="000E5720" w:rsidP="00722156">
      <w:pPr>
        <w:pStyle w:val="ListParagraph"/>
        <w:numPr>
          <w:ilvl w:val="1"/>
          <w:numId w:val="16"/>
        </w:numPr>
        <w:autoSpaceDE w:val="0"/>
        <w:autoSpaceDN w:val="0"/>
        <w:adjustRightInd w:val="0"/>
        <w:ind w:left="714" w:hanging="357"/>
        <w:jc w:val="left"/>
        <w:rPr>
          <w:rFonts w:eastAsia="Calibri"/>
          <w:color w:val="000000"/>
          <w:szCs w:val="24"/>
          <w:lang w:eastAsia="lv-LV"/>
        </w:rPr>
      </w:pPr>
      <w:r>
        <w:rPr>
          <w:rFonts w:eastAsia="Calibri"/>
          <w:color w:val="000000"/>
          <w:szCs w:val="24"/>
          <w:lang w:eastAsia="lv-LV"/>
        </w:rPr>
        <w:t>s</w:t>
      </w:r>
      <w:r w:rsidR="005B7CC9" w:rsidRPr="00937EEC">
        <w:rPr>
          <w:rFonts w:eastAsia="Calibri"/>
          <w:color w:val="000000"/>
          <w:szCs w:val="24"/>
          <w:lang w:eastAsia="lv-LV"/>
        </w:rPr>
        <w:t xml:space="preserve">adarbības attīstīšana; </w:t>
      </w:r>
    </w:p>
    <w:p w:rsidR="005B7CC9" w:rsidRPr="00937EEC" w:rsidRDefault="000E5720" w:rsidP="00722156">
      <w:pPr>
        <w:pStyle w:val="ListParagraph"/>
        <w:numPr>
          <w:ilvl w:val="1"/>
          <w:numId w:val="16"/>
        </w:numPr>
        <w:autoSpaceDE w:val="0"/>
        <w:autoSpaceDN w:val="0"/>
        <w:adjustRightInd w:val="0"/>
        <w:ind w:left="714" w:hanging="357"/>
        <w:jc w:val="left"/>
        <w:rPr>
          <w:rFonts w:eastAsia="Calibri"/>
          <w:color w:val="000000"/>
          <w:szCs w:val="24"/>
          <w:lang w:eastAsia="lv-LV"/>
        </w:rPr>
      </w:pPr>
      <w:r>
        <w:rPr>
          <w:rFonts w:eastAsia="Calibri"/>
          <w:color w:val="000000"/>
          <w:szCs w:val="24"/>
          <w:lang w:eastAsia="lv-LV"/>
        </w:rPr>
        <w:t>p</w:t>
      </w:r>
      <w:r w:rsidR="005B7CC9" w:rsidRPr="00937EEC">
        <w:rPr>
          <w:rFonts w:eastAsia="Calibri"/>
          <w:color w:val="000000"/>
          <w:szCs w:val="24"/>
          <w:lang w:eastAsia="lv-LV"/>
        </w:rPr>
        <w:t xml:space="preserve">rofesionālās izglītības programmas uzlabošana; </w:t>
      </w:r>
    </w:p>
    <w:p w:rsidR="005B7CC9" w:rsidRPr="00937EEC" w:rsidRDefault="000E5720" w:rsidP="00722156">
      <w:pPr>
        <w:pStyle w:val="ListParagraph"/>
        <w:numPr>
          <w:ilvl w:val="1"/>
          <w:numId w:val="16"/>
        </w:numPr>
        <w:autoSpaceDE w:val="0"/>
        <w:autoSpaceDN w:val="0"/>
        <w:adjustRightInd w:val="0"/>
        <w:ind w:left="714" w:hanging="357"/>
        <w:jc w:val="left"/>
        <w:rPr>
          <w:rFonts w:eastAsia="Calibri"/>
          <w:color w:val="000000"/>
          <w:szCs w:val="24"/>
          <w:lang w:eastAsia="lv-LV"/>
        </w:rPr>
      </w:pPr>
      <w:r>
        <w:rPr>
          <w:rFonts w:eastAsia="Calibri"/>
          <w:color w:val="000000"/>
          <w:szCs w:val="24"/>
          <w:lang w:eastAsia="lv-LV"/>
        </w:rPr>
        <w:t>p</w:t>
      </w:r>
      <w:r w:rsidR="005B7CC9" w:rsidRPr="00937EEC">
        <w:rPr>
          <w:rFonts w:eastAsia="Calibri"/>
          <w:color w:val="000000"/>
          <w:szCs w:val="24"/>
          <w:lang w:eastAsia="lv-LV"/>
        </w:rPr>
        <w:t xml:space="preserve">rofesionālās izglītības programmas pieejamības uzlabošana. </w:t>
      </w:r>
    </w:p>
    <w:p w:rsidR="005B7CC9" w:rsidRPr="00D92663" w:rsidRDefault="005B7CC9" w:rsidP="002C0BB2">
      <w:pPr>
        <w:pStyle w:val="Default"/>
        <w:ind w:firstLine="720"/>
        <w:jc w:val="both"/>
      </w:pPr>
      <w:r w:rsidRPr="00D92663">
        <w:lastRenderedPageBreak/>
        <w:t>Projekta rezultātā izglītības iestādes modernizē</w:t>
      </w:r>
      <w:r w:rsidR="00672181">
        <w:t>ja</w:t>
      </w:r>
      <w:r w:rsidRPr="00D92663">
        <w:t xml:space="preserve"> profesionālās izglītības programmu autotransportā, izstrādā</w:t>
      </w:r>
      <w:r w:rsidR="00672181">
        <w:t>ja</w:t>
      </w:r>
      <w:r w:rsidRPr="00D92663">
        <w:t xml:space="preserve"> jaunu moduli “Loģistika”, iegādā</w:t>
      </w:r>
      <w:r w:rsidR="00672181">
        <w:t>jās</w:t>
      </w:r>
      <w:r w:rsidRPr="00D92663">
        <w:t xml:space="preserve"> jaunas grāmatas un mācību materiālus, ieg</w:t>
      </w:r>
      <w:r w:rsidR="00672181">
        <w:t>uva</w:t>
      </w:r>
      <w:r w:rsidRPr="00D92663">
        <w:t xml:space="preserve"> tālmācības un video konferences aprīkojumu, uzlabo</w:t>
      </w:r>
      <w:r w:rsidR="00672181">
        <w:t>ja</w:t>
      </w:r>
      <w:r w:rsidRPr="00D92663">
        <w:t xml:space="preserve"> savas laboratorijas, izstrādā</w:t>
      </w:r>
      <w:r w:rsidR="00672181">
        <w:t>ja</w:t>
      </w:r>
      <w:r w:rsidRPr="00D92663">
        <w:t xml:space="preserve"> un ievies</w:t>
      </w:r>
      <w:r w:rsidR="00672181">
        <w:t>a</w:t>
      </w:r>
      <w:r w:rsidRPr="00D92663">
        <w:t xml:space="preserve"> tālmācības sistēmu, ar izglītības piedāvājumu piedalī</w:t>
      </w:r>
      <w:r w:rsidR="00672181">
        <w:t>jās</w:t>
      </w:r>
      <w:r w:rsidRPr="00D92663">
        <w:t xml:space="preserve"> starptautiskās un reģionālās izstādēs Latvijā, Kr</w:t>
      </w:r>
      <w:r w:rsidR="00672181">
        <w:t>ievijā un ārpus to robežām. Tika</w:t>
      </w:r>
      <w:r w:rsidRPr="00D92663">
        <w:t xml:space="preserve"> celta pasniedzēju kvalifikācija. Proje</w:t>
      </w:r>
      <w:r w:rsidR="00D92663">
        <w:t>k</w:t>
      </w:r>
      <w:r w:rsidRPr="00D92663">
        <w:t>ta darbā tik</w:t>
      </w:r>
      <w:r w:rsidR="00672181">
        <w:t>a</w:t>
      </w:r>
      <w:r w:rsidRPr="00D92663">
        <w:t xml:space="preserve"> iesaistīti darba devēji un uzklausīts to viedoklis, jo visām modernizācijas aktivitātēm jāatbilst esošajām un prognozējamām darba tirgus vajadzībām.</w:t>
      </w:r>
      <w:r w:rsidR="00D92663">
        <w:rPr>
          <w:rStyle w:val="FootnoteReference"/>
        </w:rPr>
        <w:footnoteReference w:id="55"/>
      </w:r>
    </w:p>
    <w:p w:rsidR="005B7CC9" w:rsidRDefault="00D92663" w:rsidP="00A94D09">
      <w:pPr>
        <w:pStyle w:val="Heading3"/>
        <w:ind w:firstLine="720"/>
      </w:pPr>
      <w:bookmarkStart w:id="30" w:name="_Toc445290202"/>
      <w:r w:rsidRPr="00A94D09">
        <w:t xml:space="preserve">2.3.2. </w:t>
      </w:r>
      <w:r w:rsidRPr="005B7CC9">
        <w:t>Latvijas – Lietuvas pārrobežu sadarbības programm</w:t>
      </w:r>
      <w:r>
        <w:t>a</w:t>
      </w:r>
      <w:bookmarkEnd w:id="30"/>
    </w:p>
    <w:p w:rsidR="00453591" w:rsidRDefault="00453591" w:rsidP="00453591">
      <w:pPr>
        <w:jc w:val="left"/>
        <w:rPr>
          <w:szCs w:val="24"/>
          <w:lang w:eastAsia="lv-LV"/>
        </w:rPr>
      </w:pPr>
    </w:p>
    <w:p w:rsidR="005B7CC9" w:rsidRPr="009614EB" w:rsidRDefault="00913221" w:rsidP="002C0BB2">
      <w:pPr>
        <w:pStyle w:val="Default"/>
        <w:ind w:firstLine="720"/>
        <w:jc w:val="both"/>
      </w:pPr>
      <w:r w:rsidRPr="00913221">
        <w:t>Latvijas – Lietuvas</w:t>
      </w:r>
      <w:r w:rsidRPr="005B7CC9">
        <w:rPr>
          <w:b/>
        </w:rPr>
        <w:t xml:space="preserve"> </w:t>
      </w:r>
      <w:r w:rsidRPr="005B7CC9">
        <w:t>pārrobežu sadarbības programmas ietvaros 2007</w:t>
      </w:r>
      <w:r>
        <w:t>.</w:t>
      </w:r>
      <w:r w:rsidRPr="005B7CC9">
        <w:t>-2013.</w:t>
      </w:r>
      <w:r>
        <w:t xml:space="preserve">gada plānošanas periodā </w:t>
      </w:r>
      <w:r w:rsidR="009614EB">
        <w:t>aktīvi</w:t>
      </w:r>
      <w:r>
        <w:t xml:space="preserve"> projektus ir īstenojusi </w:t>
      </w:r>
      <w:r w:rsidRPr="00913221">
        <w:rPr>
          <w:b/>
        </w:rPr>
        <w:t>Liepājas Jūrniecības koledža</w:t>
      </w:r>
      <w:r w:rsidR="009614EB">
        <w:rPr>
          <w:b/>
        </w:rPr>
        <w:t xml:space="preserve">, </w:t>
      </w:r>
      <w:r w:rsidR="009614EB" w:rsidRPr="009614EB">
        <w:t xml:space="preserve">kopumā </w:t>
      </w:r>
      <w:r w:rsidR="001614B4">
        <w:t>3</w:t>
      </w:r>
      <w:r w:rsidR="009614EB" w:rsidRPr="009614EB">
        <w:t xml:space="preserve"> </w:t>
      </w:r>
      <w:r w:rsidR="0087141C">
        <w:t xml:space="preserve">sadarbības </w:t>
      </w:r>
      <w:r w:rsidR="009614EB" w:rsidRPr="009614EB">
        <w:t>projektus</w:t>
      </w:r>
      <w:r w:rsidR="001614B4">
        <w:t>, koledžas attīstībai piesaistot</w:t>
      </w:r>
      <w:r w:rsidR="002D0042">
        <w:t xml:space="preserve"> </w:t>
      </w:r>
      <w:r w:rsidR="001614B4">
        <w:t xml:space="preserve">0,65 milj. </w:t>
      </w:r>
      <w:proofErr w:type="spellStart"/>
      <w:r w:rsidR="001614B4" w:rsidRPr="008B70B8">
        <w:rPr>
          <w:i/>
        </w:rPr>
        <w:t>euro</w:t>
      </w:r>
      <w:proofErr w:type="spellEnd"/>
      <w:r w:rsidR="001614B4">
        <w:t xml:space="preserve"> (kopējā sadarbības līgumu summa </w:t>
      </w:r>
      <w:r w:rsidR="00873C8D">
        <w:t>2</w:t>
      </w:r>
      <w:r w:rsidR="002D0042">
        <w:t xml:space="preserve"> milj. </w:t>
      </w:r>
      <w:proofErr w:type="spellStart"/>
      <w:r w:rsidR="002D0042" w:rsidRPr="008B70B8">
        <w:rPr>
          <w:i/>
        </w:rPr>
        <w:t>euro</w:t>
      </w:r>
      <w:proofErr w:type="spellEnd"/>
      <w:r w:rsidR="001614B4">
        <w:rPr>
          <w:i/>
        </w:rPr>
        <w:t>)</w:t>
      </w:r>
      <w:r w:rsidRPr="009614EB">
        <w:t>.</w:t>
      </w:r>
    </w:p>
    <w:p w:rsidR="00913221" w:rsidRPr="00F82230" w:rsidRDefault="00913221" w:rsidP="004F521B">
      <w:pPr>
        <w:pStyle w:val="Default"/>
        <w:ind w:firstLine="567"/>
        <w:jc w:val="both"/>
        <w:rPr>
          <w:b/>
        </w:rPr>
      </w:pPr>
    </w:p>
    <w:p w:rsidR="00913221" w:rsidRPr="002C0BB2" w:rsidRDefault="00913221" w:rsidP="002C0BB2">
      <w:pPr>
        <w:shd w:val="clear" w:color="auto" w:fill="FFFFFF"/>
        <w:ind w:firstLine="720"/>
        <w:rPr>
          <w:rFonts w:eastAsia="Calibri"/>
          <w:color w:val="000000"/>
          <w:szCs w:val="24"/>
          <w:lang w:eastAsia="lv-LV"/>
        </w:rPr>
      </w:pPr>
      <w:r w:rsidRPr="002C0BB2">
        <w:rPr>
          <w:rFonts w:eastAsia="Calibri"/>
          <w:color w:val="000000"/>
          <w:szCs w:val="24"/>
          <w:lang w:eastAsia="lv-LV"/>
        </w:rPr>
        <w:t xml:space="preserve">(1) </w:t>
      </w:r>
      <w:r w:rsidRPr="00D3709C">
        <w:rPr>
          <w:rFonts w:eastAsia="Calibri"/>
          <w:b/>
          <w:color w:val="000000"/>
          <w:szCs w:val="24"/>
          <w:lang w:eastAsia="lv-LV"/>
        </w:rPr>
        <w:t>Projekts:</w:t>
      </w:r>
      <w:r w:rsidRPr="002C0BB2">
        <w:rPr>
          <w:rFonts w:eastAsia="Calibri"/>
          <w:color w:val="000000"/>
          <w:szCs w:val="24"/>
          <w:lang w:eastAsia="lv-LV"/>
        </w:rPr>
        <w:t xml:space="preserve"> </w:t>
      </w:r>
      <w:r w:rsidR="002C0BB2">
        <w:rPr>
          <w:rFonts w:eastAsia="Calibri"/>
          <w:b/>
          <w:color w:val="000000"/>
          <w:szCs w:val="24"/>
          <w:lang w:eastAsia="lv-LV"/>
        </w:rPr>
        <w:t>Darba</w:t>
      </w:r>
      <w:r w:rsidRPr="002C0BB2">
        <w:rPr>
          <w:rFonts w:eastAsia="Calibri"/>
          <w:b/>
          <w:color w:val="000000"/>
          <w:szCs w:val="24"/>
          <w:lang w:eastAsia="lv-LV"/>
        </w:rPr>
        <w:t>spēka konkurences uzlabošana Latvijas – Lietuvas jūrniecības inženieru sektorā</w:t>
      </w:r>
      <w:r w:rsidR="002C0BB2">
        <w:rPr>
          <w:rStyle w:val="FootnoteReference"/>
          <w:rFonts w:eastAsia="Calibri"/>
          <w:b/>
          <w:color w:val="000000"/>
          <w:szCs w:val="24"/>
          <w:lang w:eastAsia="lv-LV"/>
        </w:rPr>
        <w:footnoteReference w:id="56"/>
      </w:r>
      <w:r w:rsidRPr="002C0BB2">
        <w:rPr>
          <w:rFonts w:eastAsia="Calibri"/>
          <w:color w:val="000000"/>
          <w:szCs w:val="24"/>
          <w:lang w:eastAsia="lv-LV"/>
        </w:rPr>
        <w:t xml:space="preserve"> </w:t>
      </w:r>
    </w:p>
    <w:p w:rsidR="00913221" w:rsidRPr="0022587D" w:rsidRDefault="00913221" w:rsidP="002C0BB2">
      <w:pPr>
        <w:shd w:val="clear" w:color="auto" w:fill="FFFFFF"/>
        <w:ind w:firstLine="720"/>
        <w:rPr>
          <w:rFonts w:eastAsia="Calibri"/>
          <w:color w:val="000000"/>
          <w:szCs w:val="24"/>
          <w:lang w:eastAsia="lv-LV"/>
        </w:rPr>
      </w:pPr>
      <w:r w:rsidRPr="0022587D">
        <w:rPr>
          <w:rFonts w:eastAsia="Calibri"/>
          <w:color w:val="000000"/>
          <w:szCs w:val="24"/>
          <w:lang w:eastAsia="lv-LV"/>
        </w:rPr>
        <w:t>Projekta īstenotāji ir Liepājas Jūrniecības koledža un Lietuvas Jūras akadēmija. Projekta īstenošanas laiks ir no 2012.gada aprīļa līdz 2013.gada oktobrim.</w:t>
      </w:r>
    </w:p>
    <w:p w:rsidR="00913221" w:rsidRPr="0022587D" w:rsidRDefault="00913221" w:rsidP="002C0BB2">
      <w:pPr>
        <w:shd w:val="clear" w:color="auto" w:fill="FFFFFF"/>
        <w:ind w:firstLine="720"/>
        <w:rPr>
          <w:rFonts w:eastAsia="Calibri"/>
          <w:color w:val="000000"/>
          <w:szCs w:val="24"/>
          <w:lang w:eastAsia="lv-LV"/>
        </w:rPr>
      </w:pPr>
      <w:r w:rsidRPr="0022587D">
        <w:rPr>
          <w:rFonts w:eastAsia="Calibri"/>
          <w:color w:val="000000"/>
          <w:szCs w:val="24"/>
          <w:lang w:eastAsia="lv-LV"/>
        </w:rPr>
        <w:t>Projekta vispārīgais mērķis: Nostiprināt sadarbību starp abām izglītības iestādēm topošo jūras inženieru speciālistu apmācībā, kā arī nodrošināt jūrniecības speciālistu mūžizglītības iespēju, kā arī sniegt kvalificētu atbalstu jūrniecības speciālistiem kvalifikācijas celšanas jomā, uzlabojot apmācības kvalitāti, programmas, studiju procesa infrastruktūru.</w:t>
      </w:r>
    </w:p>
    <w:p w:rsidR="007265C5" w:rsidRDefault="00913221" w:rsidP="007265C5">
      <w:pPr>
        <w:rPr>
          <w:rFonts w:eastAsia="Calibri"/>
          <w:color w:val="000000"/>
          <w:szCs w:val="24"/>
          <w:lang w:eastAsia="lv-LV"/>
        </w:rPr>
      </w:pPr>
      <w:r w:rsidRPr="0022587D">
        <w:rPr>
          <w:rFonts w:eastAsia="Calibri"/>
          <w:color w:val="000000"/>
          <w:szCs w:val="24"/>
          <w:lang w:eastAsia="lv-LV"/>
        </w:rPr>
        <w:t>Projekta</w:t>
      </w:r>
      <w:r w:rsidR="0023492E">
        <w:rPr>
          <w:rFonts w:eastAsia="Calibri"/>
          <w:color w:val="000000"/>
          <w:szCs w:val="24"/>
          <w:lang w:eastAsia="lv-LV"/>
        </w:rPr>
        <w:t>m</w:t>
      </w:r>
      <w:r w:rsidRPr="0022587D">
        <w:rPr>
          <w:rFonts w:eastAsia="Calibri"/>
          <w:color w:val="000000"/>
          <w:szCs w:val="24"/>
          <w:lang w:eastAsia="lv-LV"/>
        </w:rPr>
        <w:t xml:space="preserve"> </w:t>
      </w:r>
      <w:r w:rsidR="0023492E">
        <w:rPr>
          <w:rFonts w:eastAsia="Calibri"/>
          <w:color w:val="000000"/>
          <w:szCs w:val="24"/>
          <w:lang w:eastAsia="lv-LV"/>
        </w:rPr>
        <w:t>piešķirtais</w:t>
      </w:r>
      <w:r w:rsidR="0023492E" w:rsidRPr="0022587D">
        <w:rPr>
          <w:rFonts w:eastAsia="Calibri"/>
          <w:color w:val="000000"/>
          <w:szCs w:val="24"/>
          <w:lang w:eastAsia="lv-LV"/>
        </w:rPr>
        <w:t xml:space="preserve"> </w:t>
      </w:r>
      <w:r w:rsidRPr="0022587D">
        <w:rPr>
          <w:rFonts w:eastAsia="Calibri"/>
          <w:color w:val="000000"/>
          <w:szCs w:val="24"/>
          <w:lang w:eastAsia="lv-LV"/>
        </w:rPr>
        <w:t>finansējums ir 974</w:t>
      </w:r>
      <w:r w:rsidR="001614B4">
        <w:rPr>
          <w:rFonts w:eastAsia="Calibri"/>
          <w:color w:val="000000"/>
          <w:szCs w:val="24"/>
          <w:lang w:eastAsia="lv-LV"/>
        </w:rPr>
        <w:t xml:space="preserve"> </w:t>
      </w:r>
      <w:r w:rsidRPr="0022587D">
        <w:rPr>
          <w:rFonts w:eastAsia="Calibri"/>
          <w:color w:val="000000"/>
          <w:szCs w:val="24"/>
          <w:lang w:eastAsia="lv-LV"/>
        </w:rPr>
        <w:t xml:space="preserve">521 </w:t>
      </w:r>
      <w:proofErr w:type="spellStart"/>
      <w:r w:rsidR="006074BB" w:rsidRPr="006074BB">
        <w:rPr>
          <w:i/>
        </w:rPr>
        <w:t>euro</w:t>
      </w:r>
      <w:proofErr w:type="spellEnd"/>
      <w:r w:rsidRPr="0022587D">
        <w:rPr>
          <w:rFonts w:eastAsia="Calibri"/>
          <w:color w:val="000000"/>
          <w:szCs w:val="24"/>
          <w:lang w:eastAsia="lv-LV"/>
        </w:rPr>
        <w:t xml:space="preserve">, tai skaitā </w:t>
      </w:r>
      <w:r w:rsidR="0087141C">
        <w:rPr>
          <w:rFonts w:eastAsia="Calibri"/>
          <w:color w:val="000000"/>
          <w:szCs w:val="24"/>
          <w:lang w:eastAsia="lv-LV"/>
        </w:rPr>
        <w:t>ERAF</w:t>
      </w:r>
      <w:r w:rsidRPr="0022587D">
        <w:rPr>
          <w:rFonts w:eastAsia="Calibri"/>
          <w:color w:val="000000"/>
          <w:szCs w:val="24"/>
          <w:lang w:eastAsia="lv-LV"/>
        </w:rPr>
        <w:t xml:space="preserve"> – 801</w:t>
      </w:r>
      <w:r w:rsidR="001614B4">
        <w:rPr>
          <w:rFonts w:eastAsia="Calibri"/>
          <w:color w:val="000000"/>
          <w:szCs w:val="24"/>
          <w:lang w:eastAsia="lv-LV"/>
        </w:rPr>
        <w:t xml:space="preserve"> </w:t>
      </w:r>
      <w:r w:rsidRPr="0022587D">
        <w:rPr>
          <w:rFonts w:eastAsia="Calibri"/>
          <w:color w:val="000000"/>
          <w:szCs w:val="24"/>
          <w:lang w:eastAsia="lv-LV"/>
        </w:rPr>
        <w:t xml:space="preserve">632 </w:t>
      </w:r>
      <w:proofErr w:type="spellStart"/>
      <w:r w:rsidR="006074BB" w:rsidRPr="006074BB">
        <w:rPr>
          <w:i/>
        </w:rPr>
        <w:t>euro</w:t>
      </w:r>
      <w:proofErr w:type="spellEnd"/>
      <w:r w:rsidRPr="0022587D">
        <w:rPr>
          <w:rFonts w:eastAsia="Calibri"/>
          <w:color w:val="000000"/>
          <w:szCs w:val="24"/>
          <w:lang w:eastAsia="lv-LV"/>
        </w:rPr>
        <w:t>.</w:t>
      </w:r>
      <w:r w:rsidR="001614B4">
        <w:rPr>
          <w:rFonts w:eastAsia="Calibri"/>
          <w:color w:val="000000"/>
          <w:szCs w:val="24"/>
          <w:lang w:eastAsia="lv-LV"/>
        </w:rPr>
        <w:t xml:space="preserve"> LJK projekta daļa </w:t>
      </w:r>
      <w:r w:rsidR="0023492E">
        <w:rPr>
          <w:rFonts w:eastAsia="Calibri"/>
          <w:color w:val="000000"/>
          <w:szCs w:val="24"/>
          <w:lang w:eastAsia="lv-LV"/>
        </w:rPr>
        <w:t xml:space="preserve">(apgūtais finansējums) </w:t>
      </w:r>
      <w:r w:rsidR="001614B4">
        <w:rPr>
          <w:rFonts w:eastAsia="Calibri"/>
          <w:color w:val="000000"/>
          <w:szCs w:val="24"/>
          <w:lang w:eastAsia="lv-LV"/>
        </w:rPr>
        <w:t xml:space="preserve">– 316 038 </w:t>
      </w:r>
      <w:proofErr w:type="spellStart"/>
      <w:r w:rsidR="006074BB" w:rsidRPr="006074BB">
        <w:rPr>
          <w:i/>
        </w:rPr>
        <w:t>euro</w:t>
      </w:r>
      <w:proofErr w:type="spellEnd"/>
      <w:r w:rsidR="00D92F79">
        <w:rPr>
          <w:rFonts w:eastAsia="Calibri"/>
          <w:color w:val="000000"/>
          <w:szCs w:val="24"/>
          <w:lang w:eastAsia="lv-LV"/>
        </w:rPr>
        <w:t xml:space="preserve">, </w:t>
      </w:r>
      <w:r w:rsidR="007265C5" w:rsidRPr="007265C5">
        <w:rPr>
          <w:szCs w:val="24"/>
        </w:rPr>
        <w:t xml:space="preserve">no tiem investīcijas infrastruktūrā: ēku remonti – 46 404,46 </w:t>
      </w:r>
      <w:proofErr w:type="spellStart"/>
      <w:r w:rsidR="00D92F79" w:rsidRPr="0023492E">
        <w:rPr>
          <w:i/>
        </w:rPr>
        <w:t>euro</w:t>
      </w:r>
      <w:proofErr w:type="spellEnd"/>
      <w:r w:rsidR="007265C5" w:rsidRPr="007265C5">
        <w:rPr>
          <w:szCs w:val="24"/>
        </w:rPr>
        <w:t xml:space="preserve">; elektroniskās laboratorijas aprīkojums – 201 110,57 </w:t>
      </w:r>
      <w:proofErr w:type="spellStart"/>
      <w:r w:rsidR="00D92F79" w:rsidRPr="0023492E">
        <w:rPr>
          <w:i/>
        </w:rPr>
        <w:t>euro</w:t>
      </w:r>
      <w:proofErr w:type="spellEnd"/>
      <w:r w:rsidR="007265C5" w:rsidRPr="007265C5">
        <w:t xml:space="preserve">; </w:t>
      </w:r>
      <w:r w:rsidR="007265C5" w:rsidRPr="007265C5">
        <w:rPr>
          <w:szCs w:val="24"/>
        </w:rPr>
        <w:t xml:space="preserve">konsoles programma mašīntelpas </w:t>
      </w:r>
      <w:proofErr w:type="spellStart"/>
      <w:r w:rsidR="007265C5" w:rsidRPr="007265C5">
        <w:rPr>
          <w:szCs w:val="24"/>
        </w:rPr>
        <w:t>simulatoram</w:t>
      </w:r>
      <w:proofErr w:type="spellEnd"/>
      <w:r w:rsidR="007265C5" w:rsidRPr="007265C5">
        <w:rPr>
          <w:szCs w:val="24"/>
        </w:rPr>
        <w:t xml:space="preserve"> (</w:t>
      </w:r>
      <w:proofErr w:type="spellStart"/>
      <w:r w:rsidR="007265C5" w:rsidRPr="00AC7BA6">
        <w:rPr>
          <w:i/>
          <w:szCs w:val="24"/>
        </w:rPr>
        <w:t>Engine</w:t>
      </w:r>
      <w:proofErr w:type="spellEnd"/>
      <w:r w:rsidR="007265C5" w:rsidRPr="00AC7BA6">
        <w:rPr>
          <w:i/>
          <w:szCs w:val="24"/>
        </w:rPr>
        <w:t xml:space="preserve"> </w:t>
      </w:r>
      <w:proofErr w:type="spellStart"/>
      <w:r w:rsidR="007265C5" w:rsidRPr="00AC7BA6">
        <w:rPr>
          <w:i/>
          <w:szCs w:val="24"/>
        </w:rPr>
        <w:t>room</w:t>
      </w:r>
      <w:proofErr w:type="spellEnd"/>
      <w:r w:rsidR="007265C5" w:rsidRPr="00AC7BA6">
        <w:rPr>
          <w:i/>
          <w:szCs w:val="24"/>
        </w:rPr>
        <w:t xml:space="preserve"> </w:t>
      </w:r>
      <w:proofErr w:type="spellStart"/>
      <w:r w:rsidR="007265C5" w:rsidRPr="00AC7BA6">
        <w:rPr>
          <w:i/>
          <w:szCs w:val="24"/>
        </w:rPr>
        <w:t>simulator</w:t>
      </w:r>
      <w:proofErr w:type="spellEnd"/>
      <w:r w:rsidR="007265C5" w:rsidRPr="007265C5">
        <w:rPr>
          <w:szCs w:val="24"/>
        </w:rPr>
        <w:t xml:space="preserve">) – 16 528,08 </w:t>
      </w:r>
      <w:proofErr w:type="spellStart"/>
      <w:r w:rsidR="00D92F79" w:rsidRPr="0023492E">
        <w:rPr>
          <w:i/>
        </w:rPr>
        <w:t>euro</w:t>
      </w:r>
      <w:proofErr w:type="spellEnd"/>
      <w:r w:rsidR="007265C5" w:rsidRPr="007265C5">
        <w:t>.</w:t>
      </w:r>
    </w:p>
    <w:p w:rsidR="00913221" w:rsidRPr="0022587D" w:rsidRDefault="00913221" w:rsidP="002C0BB2">
      <w:pPr>
        <w:shd w:val="clear" w:color="auto" w:fill="FFFFFF"/>
        <w:ind w:firstLine="720"/>
        <w:rPr>
          <w:rFonts w:eastAsia="Calibri"/>
          <w:color w:val="000000"/>
          <w:szCs w:val="24"/>
          <w:lang w:eastAsia="lv-LV"/>
        </w:rPr>
      </w:pPr>
      <w:r w:rsidRPr="0022587D">
        <w:rPr>
          <w:rFonts w:eastAsia="Calibri"/>
          <w:color w:val="000000"/>
          <w:szCs w:val="24"/>
          <w:lang w:eastAsia="lv-LV"/>
        </w:rPr>
        <w:t>Mērķa auditorija: LJK studējošie, kvalifikācijas paaugstināšanas kursu klausītāji (vadības līmeņi) un akadēmiskais personāls.</w:t>
      </w:r>
    </w:p>
    <w:p w:rsidR="00913221" w:rsidRDefault="00913221" w:rsidP="002C0BB2">
      <w:pPr>
        <w:shd w:val="clear" w:color="auto" w:fill="FFFFFF"/>
        <w:ind w:firstLine="720"/>
        <w:rPr>
          <w:color w:val="000000"/>
          <w:szCs w:val="24"/>
          <w:lang w:eastAsia="lv-LV"/>
        </w:rPr>
      </w:pPr>
      <w:r w:rsidRPr="0022587D">
        <w:rPr>
          <w:rFonts w:eastAsia="Calibri"/>
          <w:color w:val="000000"/>
          <w:szCs w:val="24"/>
          <w:lang w:eastAsia="lv-LV"/>
        </w:rPr>
        <w:t xml:space="preserve">Galvenās aktivitātes: </w:t>
      </w:r>
      <w:r w:rsidR="009C08A1">
        <w:rPr>
          <w:rFonts w:eastAsia="Calibri"/>
          <w:color w:val="000000"/>
          <w:szCs w:val="24"/>
          <w:lang w:eastAsia="lv-LV"/>
        </w:rPr>
        <w:t>P</w:t>
      </w:r>
      <w:r w:rsidRPr="0022587D">
        <w:rPr>
          <w:rFonts w:eastAsia="Calibri"/>
          <w:color w:val="000000"/>
          <w:szCs w:val="24"/>
          <w:lang w:eastAsia="lv-LV"/>
        </w:rPr>
        <w:t>rojekta rezultātā izremontētas un pārbūvētas telpas, kurās izvietot</w:t>
      </w:r>
      <w:r w:rsidR="002C0BB2" w:rsidRPr="0022587D">
        <w:rPr>
          <w:rFonts w:eastAsia="Calibri"/>
          <w:color w:val="000000"/>
          <w:szCs w:val="24"/>
          <w:lang w:eastAsia="lv-LV"/>
        </w:rPr>
        <w:t xml:space="preserve">i angļu valodas un kuģu </w:t>
      </w:r>
      <w:proofErr w:type="spellStart"/>
      <w:r w:rsidR="002C0BB2" w:rsidRPr="0022587D">
        <w:rPr>
          <w:rFonts w:eastAsia="Calibri"/>
          <w:color w:val="000000"/>
          <w:szCs w:val="24"/>
          <w:lang w:eastAsia="lv-LV"/>
        </w:rPr>
        <w:t>elektro</w:t>
      </w:r>
      <w:r w:rsidRPr="0022587D">
        <w:rPr>
          <w:rFonts w:eastAsia="Calibri"/>
          <w:color w:val="000000"/>
          <w:szCs w:val="24"/>
          <w:lang w:eastAsia="lv-LV"/>
        </w:rPr>
        <w:t>automātikas</w:t>
      </w:r>
      <w:proofErr w:type="spellEnd"/>
      <w:r w:rsidRPr="0022587D">
        <w:rPr>
          <w:rFonts w:eastAsia="Calibri"/>
          <w:color w:val="000000"/>
          <w:szCs w:val="24"/>
          <w:lang w:eastAsia="lv-LV"/>
        </w:rPr>
        <w:t xml:space="preserve"> kabineti. Izremontētās telpas aprīkotas ar jaunām mēbelēm un datoriem. Projekta ietvaros pārskatītas un at</w:t>
      </w:r>
      <w:r w:rsidR="002C0BB2" w:rsidRPr="0022587D">
        <w:rPr>
          <w:rFonts w:eastAsia="Calibri"/>
          <w:color w:val="000000"/>
          <w:szCs w:val="24"/>
          <w:lang w:eastAsia="lv-LV"/>
        </w:rPr>
        <w:t>jaunotas</w:t>
      </w:r>
      <w:r w:rsidR="002C0BB2">
        <w:rPr>
          <w:rFonts w:eastAsia="Calibri"/>
          <w:color w:val="000000"/>
          <w:szCs w:val="24"/>
          <w:lang w:eastAsia="lv-LV"/>
        </w:rPr>
        <w:t xml:space="preserve"> mācību programmas, uzrakstīti </w:t>
      </w:r>
      <w:r w:rsidRPr="002C0BB2">
        <w:rPr>
          <w:rFonts w:eastAsia="Calibri"/>
          <w:color w:val="000000"/>
          <w:szCs w:val="24"/>
          <w:lang w:eastAsia="lv-LV"/>
        </w:rPr>
        <w:t>mācību materiāli un metodiskie norādījumi jūr</w:t>
      </w:r>
      <w:r w:rsidR="002C0BB2">
        <w:rPr>
          <w:rFonts w:eastAsia="Calibri"/>
          <w:color w:val="000000"/>
          <w:szCs w:val="24"/>
          <w:lang w:eastAsia="lv-LV"/>
        </w:rPr>
        <w:t>nieku angļu valodas apguvei, tā</w:t>
      </w:r>
      <w:r w:rsidRPr="002C0BB2">
        <w:rPr>
          <w:rFonts w:eastAsia="Calibri"/>
          <w:color w:val="000000"/>
          <w:szCs w:val="24"/>
          <w:lang w:eastAsia="lv-LV"/>
        </w:rPr>
        <w:t xml:space="preserve">pat arī </w:t>
      </w:r>
      <w:proofErr w:type="spellStart"/>
      <w:r w:rsidRPr="002C0BB2">
        <w:rPr>
          <w:rFonts w:eastAsia="Calibri"/>
          <w:color w:val="000000"/>
          <w:szCs w:val="24"/>
          <w:lang w:eastAsia="lv-LV"/>
        </w:rPr>
        <w:t>elektroautomātikas</w:t>
      </w:r>
      <w:proofErr w:type="spellEnd"/>
      <w:r w:rsidRPr="002C0BB2">
        <w:rPr>
          <w:rFonts w:eastAsia="Calibri"/>
          <w:color w:val="000000"/>
          <w:szCs w:val="24"/>
          <w:lang w:eastAsia="lv-LV"/>
        </w:rPr>
        <w:t xml:space="preserve"> apguvei. </w:t>
      </w:r>
      <w:r w:rsidR="009C08A1">
        <w:rPr>
          <w:rFonts w:eastAsia="Calibri"/>
          <w:color w:val="000000"/>
          <w:szCs w:val="24"/>
          <w:lang w:eastAsia="lv-LV"/>
        </w:rPr>
        <w:t>V</w:t>
      </w:r>
      <w:r w:rsidRPr="002C0BB2">
        <w:rPr>
          <w:rFonts w:eastAsia="Calibri"/>
          <w:color w:val="000000"/>
          <w:szCs w:val="24"/>
          <w:lang w:eastAsia="lv-LV"/>
        </w:rPr>
        <w:t xml:space="preserve">eikta </w:t>
      </w:r>
      <w:proofErr w:type="spellStart"/>
      <w:r w:rsidRPr="002C0BB2">
        <w:rPr>
          <w:rFonts w:eastAsia="Calibri"/>
          <w:color w:val="000000"/>
          <w:szCs w:val="24"/>
          <w:lang w:eastAsia="lv-LV"/>
        </w:rPr>
        <w:t>pilotgrupas</w:t>
      </w:r>
      <w:proofErr w:type="spellEnd"/>
      <w:r w:rsidRPr="002C0BB2">
        <w:rPr>
          <w:rFonts w:eastAsia="Calibri"/>
          <w:color w:val="000000"/>
          <w:szCs w:val="24"/>
          <w:lang w:eastAsia="lv-LV"/>
        </w:rPr>
        <w:t xml:space="preserve"> apmācība uz jaunās programmas bāzes. Programmas realizēšanā piedalās 10 cilvēki no Klaipēdas Jūras akadēmijas un 5 cilvēki no Liepājas Jūrniecības koledžas. Projekta gaitā </w:t>
      </w:r>
      <w:r w:rsidR="009C08A1">
        <w:rPr>
          <w:rFonts w:eastAsia="Calibri"/>
          <w:color w:val="000000"/>
          <w:szCs w:val="24"/>
          <w:lang w:eastAsia="lv-LV"/>
        </w:rPr>
        <w:t>realizēta</w:t>
      </w:r>
      <w:r w:rsidRPr="002C0BB2">
        <w:rPr>
          <w:rFonts w:eastAsia="Calibri"/>
          <w:color w:val="000000"/>
          <w:szCs w:val="24"/>
          <w:lang w:eastAsia="lv-LV"/>
        </w:rPr>
        <w:t xml:space="preserve"> pasniedzēju kvalifikācijas paaugstināšana kādā no ārzemju mācību iestādēm,</w:t>
      </w:r>
      <w:r w:rsidRPr="002C0BB2">
        <w:rPr>
          <w:color w:val="000000"/>
          <w:szCs w:val="24"/>
          <w:lang w:eastAsia="lv-LV"/>
        </w:rPr>
        <w:t xml:space="preserve"> kur</w:t>
      </w:r>
      <w:r w:rsidR="002C0BB2" w:rsidRPr="002C0BB2">
        <w:rPr>
          <w:color w:val="000000"/>
          <w:szCs w:val="24"/>
          <w:lang w:eastAsia="lv-LV"/>
        </w:rPr>
        <w:t>ās</w:t>
      </w:r>
      <w:r w:rsidRPr="002C0BB2">
        <w:rPr>
          <w:color w:val="000000"/>
          <w:szCs w:val="24"/>
          <w:lang w:eastAsia="lv-LV"/>
        </w:rPr>
        <w:t xml:space="preserve"> </w:t>
      </w:r>
      <w:r w:rsidR="009C08A1">
        <w:rPr>
          <w:color w:val="000000"/>
          <w:szCs w:val="24"/>
          <w:lang w:eastAsia="lv-LV"/>
        </w:rPr>
        <w:t>ir</w:t>
      </w:r>
      <w:r w:rsidR="002C0BB2" w:rsidRPr="002C0BB2">
        <w:rPr>
          <w:color w:val="000000"/>
          <w:szCs w:val="24"/>
          <w:lang w:eastAsia="lv-LV"/>
        </w:rPr>
        <w:t xml:space="preserve"> iespēja</w:t>
      </w:r>
      <w:r w:rsidRPr="002C0BB2">
        <w:rPr>
          <w:color w:val="000000"/>
          <w:szCs w:val="24"/>
          <w:lang w:eastAsia="lv-LV"/>
        </w:rPr>
        <w:t xml:space="preserve"> iepazīties ar mācību aprīkojumu un piedalī</w:t>
      </w:r>
      <w:r w:rsidR="002C0BB2" w:rsidRPr="002C0BB2">
        <w:rPr>
          <w:color w:val="000000"/>
          <w:szCs w:val="24"/>
          <w:lang w:eastAsia="lv-LV"/>
        </w:rPr>
        <w:t>t</w:t>
      </w:r>
      <w:r w:rsidRPr="002C0BB2">
        <w:rPr>
          <w:color w:val="000000"/>
          <w:szCs w:val="24"/>
          <w:lang w:eastAsia="lv-LV"/>
        </w:rPr>
        <w:t>ies praktisk</w:t>
      </w:r>
      <w:r w:rsidR="002C0BB2" w:rsidRPr="002C0BB2">
        <w:rPr>
          <w:color w:val="000000"/>
          <w:szCs w:val="24"/>
          <w:lang w:eastAsia="lv-LV"/>
        </w:rPr>
        <w:t>ajās nodarbībās.</w:t>
      </w:r>
      <w:r w:rsidRPr="002C0BB2">
        <w:rPr>
          <w:color w:val="000000"/>
          <w:szCs w:val="24"/>
          <w:lang w:eastAsia="lv-LV"/>
        </w:rPr>
        <w:t xml:space="preserve"> </w:t>
      </w:r>
    </w:p>
    <w:p w:rsidR="007B1425" w:rsidRDefault="007B1425" w:rsidP="002C0BB2">
      <w:pPr>
        <w:shd w:val="clear" w:color="auto" w:fill="FFFFFF"/>
        <w:ind w:firstLine="720"/>
        <w:rPr>
          <w:color w:val="000000"/>
          <w:szCs w:val="24"/>
          <w:lang w:eastAsia="lv-LV"/>
        </w:rPr>
      </w:pPr>
    </w:p>
    <w:p w:rsidR="00D3709C" w:rsidRPr="00D3709C" w:rsidRDefault="000F7163" w:rsidP="00D3709C">
      <w:pPr>
        <w:shd w:val="clear" w:color="auto" w:fill="FFFFFF"/>
        <w:ind w:firstLine="720"/>
        <w:rPr>
          <w:rFonts w:eastAsia="Calibri"/>
          <w:color w:val="000000"/>
          <w:szCs w:val="24"/>
          <w:lang w:eastAsia="lv-LV"/>
        </w:rPr>
      </w:pPr>
      <w:r w:rsidRPr="00D3709C">
        <w:rPr>
          <w:rFonts w:eastAsia="Calibri"/>
          <w:color w:val="000000"/>
          <w:szCs w:val="24"/>
          <w:lang w:eastAsia="lv-LV"/>
        </w:rPr>
        <w:t>(</w:t>
      </w:r>
      <w:r w:rsidR="001614B4">
        <w:rPr>
          <w:rFonts w:eastAsia="Calibri"/>
          <w:color w:val="000000"/>
          <w:szCs w:val="24"/>
          <w:lang w:eastAsia="lv-LV"/>
        </w:rPr>
        <w:t>2</w:t>
      </w:r>
      <w:r w:rsidRPr="00D3709C">
        <w:rPr>
          <w:rFonts w:eastAsia="Calibri"/>
          <w:color w:val="000000"/>
          <w:szCs w:val="24"/>
          <w:lang w:eastAsia="lv-LV"/>
        </w:rPr>
        <w:t xml:space="preserve">) </w:t>
      </w:r>
      <w:r w:rsidR="00D3709C" w:rsidRPr="00D3709C">
        <w:rPr>
          <w:rFonts w:eastAsia="Calibri"/>
          <w:b/>
          <w:iCs/>
          <w:szCs w:val="24"/>
          <w:lang w:eastAsia="lv-LV"/>
        </w:rPr>
        <w:t>Projekts:</w:t>
      </w:r>
      <w:r w:rsidR="00D3709C">
        <w:rPr>
          <w:rFonts w:eastAsia="Calibri"/>
          <w:color w:val="000000"/>
          <w:szCs w:val="24"/>
          <w:lang w:eastAsia="lv-LV"/>
        </w:rPr>
        <w:t xml:space="preserve"> </w:t>
      </w:r>
      <w:r w:rsidR="00D3709C" w:rsidRPr="00D3709C">
        <w:rPr>
          <w:rFonts w:eastAsia="Calibri"/>
          <w:b/>
          <w:color w:val="000000"/>
          <w:szCs w:val="24"/>
          <w:lang w:eastAsia="lv-LV"/>
        </w:rPr>
        <w:t>Darbaspēka konkurences uzlabošana Latvijas – Lietuvas jūrniecības sektorā</w:t>
      </w:r>
      <w:r w:rsidR="00D3709C">
        <w:rPr>
          <w:rStyle w:val="FootnoteReference"/>
          <w:rFonts w:eastAsia="Calibri"/>
          <w:color w:val="000000"/>
          <w:szCs w:val="24"/>
          <w:lang w:eastAsia="lv-LV"/>
        </w:rPr>
        <w:footnoteReference w:id="57"/>
      </w:r>
    </w:p>
    <w:p w:rsidR="00D3709C" w:rsidRPr="0022587D" w:rsidRDefault="00D3709C" w:rsidP="00D3709C">
      <w:pPr>
        <w:shd w:val="clear" w:color="auto" w:fill="FFFFFF"/>
        <w:ind w:firstLine="720"/>
        <w:rPr>
          <w:rFonts w:eastAsia="Calibri"/>
          <w:color w:val="000000"/>
          <w:szCs w:val="24"/>
          <w:lang w:eastAsia="lv-LV"/>
        </w:rPr>
      </w:pPr>
      <w:r w:rsidRPr="0022587D">
        <w:rPr>
          <w:rFonts w:eastAsia="Calibri"/>
          <w:iCs/>
          <w:szCs w:val="24"/>
          <w:lang w:eastAsia="lv-LV"/>
        </w:rPr>
        <w:t xml:space="preserve">Projekta īstenotāji ir </w:t>
      </w:r>
      <w:r w:rsidRPr="0022587D">
        <w:rPr>
          <w:rFonts w:eastAsia="Calibri"/>
          <w:color w:val="000000"/>
          <w:szCs w:val="24"/>
          <w:lang w:eastAsia="lv-LV"/>
        </w:rPr>
        <w:t xml:space="preserve">Liepājas Jūrniecības koledža un Lietuvas Jūras akadēmija, projekta </w:t>
      </w:r>
      <w:r w:rsidRPr="0022587D">
        <w:rPr>
          <w:rFonts w:eastAsia="Calibri"/>
          <w:iCs/>
          <w:szCs w:val="24"/>
          <w:lang w:eastAsia="lv-LV"/>
        </w:rPr>
        <w:t xml:space="preserve">īstenošanas laiks ir no </w:t>
      </w:r>
      <w:r w:rsidRPr="0022587D">
        <w:rPr>
          <w:rFonts w:eastAsia="Calibri"/>
          <w:color w:val="000000"/>
          <w:szCs w:val="24"/>
          <w:lang w:eastAsia="lv-LV"/>
        </w:rPr>
        <w:t>2009.gada aprīļa līdz 2011.gada martam.</w:t>
      </w:r>
    </w:p>
    <w:p w:rsidR="00D3709C" w:rsidRPr="0022587D" w:rsidRDefault="00D3709C" w:rsidP="00D3709C">
      <w:pPr>
        <w:shd w:val="clear" w:color="auto" w:fill="FFFFFF"/>
        <w:ind w:firstLine="720"/>
        <w:rPr>
          <w:rFonts w:eastAsia="Calibri"/>
          <w:color w:val="000000"/>
          <w:szCs w:val="24"/>
          <w:lang w:eastAsia="lv-LV"/>
        </w:rPr>
      </w:pPr>
      <w:r w:rsidRPr="0022587D">
        <w:rPr>
          <w:rFonts w:eastAsia="Calibri"/>
          <w:iCs/>
          <w:szCs w:val="24"/>
          <w:lang w:eastAsia="lv-LV"/>
        </w:rPr>
        <w:t xml:space="preserve">Projekta vispārīgais mērķis ir </w:t>
      </w:r>
      <w:r w:rsidRPr="0022587D">
        <w:rPr>
          <w:rFonts w:eastAsia="Calibri"/>
          <w:color w:val="000000"/>
          <w:szCs w:val="24"/>
          <w:lang w:eastAsia="lv-LV"/>
        </w:rPr>
        <w:t>paaugstināt Latvijas un Lietuvas jūrnieku konkurētspēju pasaules darba tirgus jūrniecības sektorā un uzlabot jūrniecības izglītības kvalitāti un speciālistu apmācības kvalitāti atkārtotas apmācības kursos.</w:t>
      </w:r>
    </w:p>
    <w:p w:rsidR="00D3709C" w:rsidRPr="0023492E" w:rsidRDefault="00D3709C" w:rsidP="0023492E">
      <w:pPr>
        <w:rPr>
          <w:rFonts w:eastAsia="Calibri"/>
          <w:color w:val="000000"/>
          <w:szCs w:val="24"/>
          <w:lang w:eastAsia="lv-LV"/>
        </w:rPr>
      </w:pPr>
      <w:r w:rsidRPr="0022587D">
        <w:rPr>
          <w:rFonts w:eastAsia="Calibri"/>
          <w:iCs/>
          <w:szCs w:val="24"/>
          <w:lang w:eastAsia="lv-LV"/>
        </w:rPr>
        <w:t>Projekta</w:t>
      </w:r>
      <w:r w:rsidR="0023492E">
        <w:rPr>
          <w:rFonts w:eastAsia="Calibri"/>
          <w:iCs/>
          <w:szCs w:val="24"/>
          <w:lang w:eastAsia="lv-LV"/>
        </w:rPr>
        <w:t>m</w:t>
      </w:r>
      <w:r w:rsidRPr="0022587D">
        <w:rPr>
          <w:rFonts w:eastAsia="Calibri"/>
          <w:iCs/>
          <w:szCs w:val="24"/>
          <w:lang w:eastAsia="lv-LV"/>
        </w:rPr>
        <w:t xml:space="preserve"> </w:t>
      </w:r>
      <w:r w:rsidR="0023492E">
        <w:rPr>
          <w:rFonts w:eastAsia="Calibri"/>
          <w:iCs/>
          <w:szCs w:val="24"/>
          <w:lang w:eastAsia="lv-LV"/>
        </w:rPr>
        <w:t>piešķirtais</w:t>
      </w:r>
      <w:r w:rsidR="0023492E" w:rsidRPr="0022587D">
        <w:rPr>
          <w:rFonts w:eastAsia="Calibri"/>
          <w:iCs/>
          <w:szCs w:val="24"/>
          <w:lang w:eastAsia="lv-LV"/>
        </w:rPr>
        <w:t xml:space="preserve"> </w:t>
      </w:r>
      <w:r w:rsidRPr="0022587D">
        <w:rPr>
          <w:rFonts w:eastAsia="Calibri"/>
          <w:iCs/>
          <w:szCs w:val="24"/>
          <w:lang w:eastAsia="lv-LV"/>
        </w:rPr>
        <w:t xml:space="preserve">finansējums ir </w:t>
      </w:r>
      <w:r w:rsidRPr="0022587D">
        <w:rPr>
          <w:rFonts w:eastAsia="Calibri"/>
          <w:color w:val="000000"/>
          <w:szCs w:val="24"/>
          <w:lang w:eastAsia="lv-LV"/>
        </w:rPr>
        <w:t xml:space="preserve">735 681 </w:t>
      </w:r>
      <w:proofErr w:type="spellStart"/>
      <w:r w:rsidR="006074BB" w:rsidRPr="006074BB">
        <w:rPr>
          <w:i/>
        </w:rPr>
        <w:t>euro</w:t>
      </w:r>
      <w:proofErr w:type="spellEnd"/>
      <w:r w:rsidRPr="0022587D">
        <w:rPr>
          <w:rFonts w:eastAsia="Calibri"/>
          <w:color w:val="000000"/>
          <w:szCs w:val="24"/>
          <w:lang w:eastAsia="lv-LV"/>
        </w:rPr>
        <w:t xml:space="preserve">, tai skaitā ERAF - 625 329 </w:t>
      </w:r>
      <w:proofErr w:type="spellStart"/>
      <w:r w:rsidR="006074BB" w:rsidRPr="006074BB">
        <w:rPr>
          <w:i/>
        </w:rPr>
        <w:t>euro</w:t>
      </w:r>
      <w:proofErr w:type="spellEnd"/>
      <w:r w:rsidRPr="0022587D">
        <w:rPr>
          <w:rFonts w:eastAsia="Calibri"/>
          <w:color w:val="000000"/>
          <w:szCs w:val="24"/>
          <w:lang w:eastAsia="lv-LV"/>
        </w:rPr>
        <w:t>.</w:t>
      </w:r>
      <w:r w:rsidR="001614B4" w:rsidRPr="001614B4">
        <w:rPr>
          <w:rFonts w:eastAsia="Calibri"/>
          <w:color w:val="000000"/>
          <w:szCs w:val="24"/>
          <w:lang w:eastAsia="lv-LV"/>
        </w:rPr>
        <w:t xml:space="preserve"> </w:t>
      </w:r>
      <w:r w:rsidR="001614B4">
        <w:rPr>
          <w:rFonts w:eastAsia="Calibri"/>
          <w:color w:val="000000"/>
          <w:szCs w:val="24"/>
          <w:lang w:eastAsia="lv-LV"/>
        </w:rPr>
        <w:t xml:space="preserve">LJK projekta daļa </w:t>
      </w:r>
      <w:r w:rsidR="0023492E">
        <w:rPr>
          <w:rFonts w:eastAsia="Calibri"/>
          <w:color w:val="000000"/>
          <w:szCs w:val="24"/>
          <w:lang w:eastAsia="lv-LV"/>
        </w:rPr>
        <w:t xml:space="preserve">(apgūtais finansējums) </w:t>
      </w:r>
      <w:r w:rsidR="001614B4">
        <w:rPr>
          <w:rFonts w:eastAsia="Calibri"/>
          <w:color w:val="000000"/>
          <w:szCs w:val="24"/>
          <w:lang w:eastAsia="lv-LV"/>
        </w:rPr>
        <w:t xml:space="preserve">– 232 417 </w:t>
      </w:r>
      <w:proofErr w:type="spellStart"/>
      <w:r w:rsidR="006074BB" w:rsidRPr="006074BB">
        <w:rPr>
          <w:i/>
        </w:rPr>
        <w:t>euro</w:t>
      </w:r>
      <w:proofErr w:type="spellEnd"/>
      <w:r w:rsidR="0023492E" w:rsidRPr="0023492E">
        <w:rPr>
          <w:rFonts w:eastAsia="Calibri"/>
          <w:color w:val="000000"/>
          <w:szCs w:val="24"/>
          <w:lang w:eastAsia="lv-LV"/>
        </w:rPr>
        <w:t xml:space="preserve">, </w:t>
      </w:r>
      <w:r w:rsidR="0023492E" w:rsidRPr="0023492E">
        <w:rPr>
          <w:szCs w:val="24"/>
        </w:rPr>
        <w:t xml:space="preserve">no tiem investīcijas infrastruktūrā: ēku </w:t>
      </w:r>
      <w:r w:rsidR="0023492E" w:rsidRPr="0023492E">
        <w:rPr>
          <w:szCs w:val="24"/>
        </w:rPr>
        <w:lastRenderedPageBreak/>
        <w:t xml:space="preserve">remonti – 9 635,35 </w:t>
      </w:r>
      <w:proofErr w:type="spellStart"/>
      <w:r w:rsidR="0023492E" w:rsidRPr="0023492E">
        <w:rPr>
          <w:i/>
        </w:rPr>
        <w:t>euro</w:t>
      </w:r>
      <w:proofErr w:type="spellEnd"/>
      <w:r w:rsidR="0023492E" w:rsidRPr="0023492E">
        <w:t>; a</w:t>
      </w:r>
      <w:r w:rsidR="0023492E" w:rsidRPr="0023492E">
        <w:rPr>
          <w:szCs w:val="24"/>
        </w:rPr>
        <w:t xml:space="preserve">prīkojums GMDSS </w:t>
      </w:r>
      <w:proofErr w:type="spellStart"/>
      <w:r w:rsidR="0023492E" w:rsidRPr="0023492E">
        <w:rPr>
          <w:szCs w:val="24"/>
        </w:rPr>
        <w:t>simulators</w:t>
      </w:r>
      <w:proofErr w:type="spellEnd"/>
      <w:r w:rsidR="0023492E" w:rsidRPr="0023492E">
        <w:rPr>
          <w:szCs w:val="24"/>
        </w:rPr>
        <w:t xml:space="preserve"> un mācību līdzekļi – 178 489,96 </w:t>
      </w:r>
      <w:proofErr w:type="spellStart"/>
      <w:r w:rsidR="0023492E" w:rsidRPr="0023492E">
        <w:rPr>
          <w:i/>
        </w:rPr>
        <w:t>euro</w:t>
      </w:r>
      <w:proofErr w:type="spellEnd"/>
      <w:r w:rsidR="0023492E" w:rsidRPr="0023492E">
        <w:t>.</w:t>
      </w:r>
    </w:p>
    <w:p w:rsidR="00D3709C" w:rsidRPr="0022587D" w:rsidRDefault="00D3709C" w:rsidP="00D3709C">
      <w:pPr>
        <w:shd w:val="clear" w:color="auto" w:fill="FFFFFF"/>
        <w:ind w:firstLine="720"/>
        <w:rPr>
          <w:rFonts w:eastAsia="Calibri"/>
          <w:color w:val="000000"/>
          <w:szCs w:val="24"/>
          <w:lang w:eastAsia="lv-LV"/>
        </w:rPr>
      </w:pPr>
      <w:r w:rsidRPr="0022587D">
        <w:rPr>
          <w:rFonts w:eastAsia="Calibri"/>
          <w:iCs/>
          <w:szCs w:val="24"/>
          <w:lang w:eastAsia="lv-LV"/>
        </w:rPr>
        <w:t xml:space="preserve">Mērķa auditorija: </w:t>
      </w:r>
      <w:r w:rsidRPr="0022587D">
        <w:rPr>
          <w:rFonts w:eastAsia="Calibri"/>
          <w:color w:val="000000"/>
          <w:szCs w:val="24"/>
          <w:lang w:eastAsia="lv-LV"/>
        </w:rPr>
        <w:t>LJK studējošie, kvalifikācijas paaugstināšanas kursu klausītāji (vadības līmeņi) un akadēmiskais personāls.</w:t>
      </w:r>
    </w:p>
    <w:p w:rsidR="000F7163" w:rsidRDefault="00D3709C" w:rsidP="00D3709C">
      <w:pPr>
        <w:shd w:val="clear" w:color="auto" w:fill="FFFFFF"/>
        <w:ind w:firstLine="720"/>
        <w:rPr>
          <w:rFonts w:eastAsia="Calibri"/>
          <w:color w:val="000000"/>
          <w:szCs w:val="24"/>
          <w:lang w:eastAsia="lv-LV"/>
        </w:rPr>
      </w:pPr>
      <w:r w:rsidRPr="0022587D">
        <w:rPr>
          <w:rFonts w:eastAsia="Calibri"/>
          <w:iCs/>
          <w:szCs w:val="24"/>
          <w:lang w:eastAsia="lv-LV"/>
        </w:rPr>
        <w:t>Galvenās aktivitātes:</w:t>
      </w:r>
      <w:r w:rsidRPr="0022587D">
        <w:rPr>
          <w:rFonts w:eastAsia="Calibri"/>
          <w:color w:val="000000"/>
          <w:szCs w:val="24"/>
          <w:lang w:eastAsia="lv-LV"/>
        </w:rPr>
        <w:t xml:space="preserve"> Pieredzes apmaiņas seminārs - Latvijas kolēģi dalās savā pieredzē par programmu izveidošanu un kvalifikācijas pilnveides kursu vadīšanu jūrniecības speciālistiem vadības līmenī. Lietuvas kolēģi pārņem latviešu pieredzi un izstrādā analoģiskas programmas Lietuvā. Lietuvas Jūras akadēmijas un Liepājas Jūrniecības koledžas speciālistu kvalifikācijas paaugstināšana kvalifikācijas celšanas kursos (</w:t>
      </w:r>
      <w:proofErr w:type="spellStart"/>
      <w:r w:rsidRPr="0022587D">
        <w:rPr>
          <w:rFonts w:eastAsia="Calibri"/>
          <w:i/>
          <w:color w:val="000000"/>
          <w:szCs w:val="24"/>
          <w:lang w:eastAsia="lv-LV"/>
        </w:rPr>
        <w:t>Warsash</w:t>
      </w:r>
      <w:proofErr w:type="spellEnd"/>
      <w:r w:rsidRPr="0022587D">
        <w:rPr>
          <w:rFonts w:eastAsia="Calibri"/>
          <w:i/>
          <w:color w:val="000000"/>
          <w:szCs w:val="24"/>
          <w:lang w:eastAsia="lv-LV"/>
        </w:rPr>
        <w:t xml:space="preserve"> </w:t>
      </w:r>
      <w:proofErr w:type="spellStart"/>
      <w:r w:rsidRPr="0022587D">
        <w:rPr>
          <w:rFonts w:eastAsia="Calibri"/>
          <w:i/>
          <w:color w:val="000000"/>
          <w:szCs w:val="24"/>
          <w:lang w:eastAsia="lv-LV"/>
        </w:rPr>
        <w:t>Maritime</w:t>
      </w:r>
      <w:proofErr w:type="spellEnd"/>
      <w:r w:rsidRPr="0022587D">
        <w:rPr>
          <w:rFonts w:eastAsia="Calibri"/>
          <w:i/>
          <w:color w:val="000000"/>
          <w:szCs w:val="24"/>
          <w:lang w:eastAsia="lv-LV"/>
        </w:rPr>
        <w:t xml:space="preserve"> </w:t>
      </w:r>
      <w:proofErr w:type="spellStart"/>
      <w:r w:rsidRPr="0022587D">
        <w:rPr>
          <w:rFonts w:eastAsia="Calibri"/>
          <w:i/>
          <w:color w:val="000000"/>
          <w:szCs w:val="24"/>
          <w:lang w:eastAsia="lv-LV"/>
        </w:rPr>
        <w:t>Academy</w:t>
      </w:r>
      <w:proofErr w:type="spellEnd"/>
      <w:r w:rsidRPr="0022587D">
        <w:rPr>
          <w:rFonts w:eastAsia="Calibri"/>
          <w:i/>
          <w:color w:val="000000"/>
          <w:szCs w:val="24"/>
          <w:lang w:eastAsia="lv-LV"/>
        </w:rPr>
        <w:t xml:space="preserve">, </w:t>
      </w:r>
      <w:proofErr w:type="spellStart"/>
      <w:r w:rsidRPr="0022587D">
        <w:rPr>
          <w:rFonts w:eastAsia="Calibri"/>
          <w:i/>
          <w:color w:val="000000"/>
          <w:szCs w:val="24"/>
          <w:lang w:eastAsia="lv-LV"/>
        </w:rPr>
        <w:t>the</w:t>
      </w:r>
      <w:proofErr w:type="spellEnd"/>
      <w:r w:rsidRPr="0022587D">
        <w:rPr>
          <w:rFonts w:eastAsia="Calibri"/>
          <w:i/>
          <w:color w:val="000000"/>
          <w:szCs w:val="24"/>
          <w:lang w:eastAsia="lv-LV"/>
        </w:rPr>
        <w:t xml:space="preserve"> U.K.</w:t>
      </w:r>
      <w:r w:rsidRPr="0022587D">
        <w:rPr>
          <w:rFonts w:eastAsia="Calibri"/>
          <w:color w:val="000000"/>
          <w:szCs w:val="24"/>
          <w:lang w:eastAsia="lv-LV"/>
        </w:rPr>
        <w:t>). Izglītības iestāžu infrastruktūras uzlabošana- GMDSS kabinetu renovācija; labiekārtošana un aprīkošana ar jaunām mēbelēm, datortehniku un atjaunoto GMDSS trenažiera programmatūru. Mācību līdzekļu sagatavošana un izdošana- rokasgrāmata GMDSS operatoriem vadības līmenī, rokasgrāmata kuģu mehāniķiem vadības līmenī un rokasgrāmata</w:t>
      </w:r>
      <w:r w:rsidRPr="00D3709C">
        <w:rPr>
          <w:rFonts w:eastAsia="Calibri"/>
          <w:color w:val="000000"/>
          <w:szCs w:val="24"/>
          <w:lang w:eastAsia="lv-LV"/>
        </w:rPr>
        <w:t xml:space="preserve"> kuģu vadītājiem vadības līmenī (latviešu, angļu un krievu valodās Latvijā; lietuviešu, angļu un krievu valodās Lietuvā)</w:t>
      </w:r>
      <w:r>
        <w:rPr>
          <w:rFonts w:eastAsia="Calibri"/>
          <w:color w:val="000000"/>
          <w:szCs w:val="24"/>
          <w:lang w:eastAsia="lv-LV"/>
        </w:rPr>
        <w:t xml:space="preserve">. </w:t>
      </w:r>
      <w:r w:rsidRPr="00D3709C">
        <w:rPr>
          <w:rFonts w:eastAsia="Calibri"/>
          <w:color w:val="000000"/>
          <w:szCs w:val="24"/>
          <w:lang w:eastAsia="lv-LV"/>
        </w:rPr>
        <w:t xml:space="preserve">Vadības līmeņu speciālistu trīs </w:t>
      </w:r>
      <w:proofErr w:type="spellStart"/>
      <w:r w:rsidRPr="00D3709C">
        <w:rPr>
          <w:rFonts w:eastAsia="Calibri"/>
          <w:color w:val="000000"/>
          <w:szCs w:val="24"/>
          <w:lang w:eastAsia="lv-LV"/>
        </w:rPr>
        <w:t>pilotgrupu</w:t>
      </w:r>
      <w:proofErr w:type="spellEnd"/>
      <w:r w:rsidRPr="00D3709C">
        <w:rPr>
          <w:rFonts w:eastAsia="Calibri"/>
          <w:color w:val="000000"/>
          <w:szCs w:val="24"/>
          <w:lang w:eastAsia="lv-LV"/>
        </w:rPr>
        <w:t xml:space="preserve"> apmācība</w:t>
      </w:r>
      <w:r>
        <w:rPr>
          <w:rFonts w:eastAsia="Calibri"/>
          <w:color w:val="000000"/>
          <w:szCs w:val="24"/>
          <w:lang w:eastAsia="lv-LV"/>
        </w:rPr>
        <w:t>s</w:t>
      </w:r>
      <w:r w:rsidRPr="00D3709C">
        <w:rPr>
          <w:rFonts w:eastAsia="Calibri"/>
          <w:color w:val="000000"/>
          <w:szCs w:val="24"/>
          <w:lang w:eastAsia="lv-LV"/>
        </w:rPr>
        <w:t xml:space="preserve"> pēc atjaunotās programmas, izmantojot jaunās rokasgrāmatas.</w:t>
      </w:r>
    </w:p>
    <w:p w:rsidR="007B1425" w:rsidRDefault="007B1425" w:rsidP="00D3709C">
      <w:pPr>
        <w:shd w:val="clear" w:color="auto" w:fill="FFFFFF"/>
        <w:ind w:firstLine="720"/>
        <w:rPr>
          <w:rFonts w:eastAsia="Calibri"/>
          <w:color w:val="000000"/>
          <w:szCs w:val="24"/>
          <w:lang w:eastAsia="lv-LV"/>
        </w:rPr>
      </w:pPr>
    </w:p>
    <w:p w:rsidR="005824CA" w:rsidRPr="005824CA" w:rsidRDefault="005824CA" w:rsidP="005824CA">
      <w:pPr>
        <w:shd w:val="clear" w:color="auto" w:fill="FFFFFF"/>
        <w:ind w:firstLine="720"/>
        <w:rPr>
          <w:rFonts w:eastAsia="Calibri"/>
          <w:color w:val="000000"/>
          <w:szCs w:val="24"/>
          <w:lang w:eastAsia="lv-LV"/>
        </w:rPr>
      </w:pPr>
      <w:r w:rsidRPr="005824CA">
        <w:rPr>
          <w:rFonts w:eastAsia="Calibri"/>
          <w:color w:val="000000"/>
          <w:szCs w:val="24"/>
          <w:lang w:eastAsia="lv-LV"/>
        </w:rPr>
        <w:t>(</w:t>
      </w:r>
      <w:r w:rsidR="001614B4">
        <w:rPr>
          <w:rFonts w:eastAsia="Calibri"/>
          <w:color w:val="000000"/>
          <w:szCs w:val="24"/>
          <w:lang w:eastAsia="lv-LV"/>
        </w:rPr>
        <w:t>3</w:t>
      </w:r>
      <w:r w:rsidRPr="005824CA">
        <w:rPr>
          <w:rFonts w:eastAsia="Calibri"/>
          <w:color w:val="000000"/>
          <w:szCs w:val="24"/>
          <w:lang w:eastAsia="lv-LV"/>
        </w:rPr>
        <w:t xml:space="preserve">) </w:t>
      </w:r>
      <w:r w:rsidRPr="005824CA">
        <w:rPr>
          <w:rFonts w:eastAsia="Calibri"/>
          <w:b/>
          <w:iCs/>
          <w:szCs w:val="24"/>
          <w:lang w:eastAsia="lv-LV"/>
        </w:rPr>
        <w:t xml:space="preserve">Projekts: </w:t>
      </w:r>
      <w:r w:rsidRPr="005B1E7A">
        <w:rPr>
          <w:b/>
          <w:color w:val="000000"/>
          <w:szCs w:val="24"/>
        </w:rPr>
        <w:t>Zināšanu un E-pakalpojumu centru izveide jūrniekiem LJK un LJA</w:t>
      </w:r>
      <w:r w:rsidRPr="005824CA">
        <w:rPr>
          <w:rStyle w:val="FootnoteReference"/>
          <w:color w:val="000000"/>
          <w:szCs w:val="24"/>
        </w:rPr>
        <w:footnoteReference w:id="58"/>
      </w:r>
    </w:p>
    <w:p w:rsidR="005B1E7A" w:rsidRPr="007F763E" w:rsidRDefault="005824CA" w:rsidP="005824CA">
      <w:pPr>
        <w:pStyle w:val="Default"/>
        <w:ind w:firstLine="720"/>
        <w:jc w:val="both"/>
      </w:pPr>
      <w:r w:rsidRPr="007F763E">
        <w:rPr>
          <w:iCs/>
        </w:rPr>
        <w:t>Projekta īstenotāji ir</w:t>
      </w:r>
      <w:r w:rsidRPr="007F763E">
        <w:t xml:space="preserve"> Liepājas Jūrniecības koledža un Lietuvas Jūras akadēmija.</w:t>
      </w:r>
      <w:r w:rsidRPr="007F763E">
        <w:br/>
      </w:r>
      <w:r w:rsidRPr="007F763E">
        <w:rPr>
          <w:iCs/>
        </w:rPr>
        <w:t>Projekta īstenošanas laiks ir no 01.</w:t>
      </w:r>
      <w:r w:rsidRPr="007F763E">
        <w:t>03.2014. – 31.03.2015.</w:t>
      </w:r>
    </w:p>
    <w:p w:rsidR="005B1E7A" w:rsidRPr="007F763E" w:rsidRDefault="005824CA" w:rsidP="005824CA">
      <w:pPr>
        <w:pStyle w:val="Default"/>
        <w:ind w:firstLine="720"/>
        <w:jc w:val="both"/>
      </w:pPr>
      <w:r w:rsidRPr="007F763E">
        <w:rPr>
          <w:iCs/>
        </w:rPr>
        <w:t>Projekta vispārīgais mērķis ir z</w:t>
      </w:r>
      <w:r w:rsidRPr="007F763E">
        <w:t>ināšanu un e-pakalpojuma centra izveide, ar kuru palīdzību tiks piedāvātas e-mācību iespējas (grāmatu pieejamība elektroniskā veidā, metodiskie materiāli). Nostiprināsies sadarbība starp abām izglītības iestādēm</w:t>
      </w:r>
      <w:r w:rsidR="00305412">
        <w:t>,</w:t>
      </w:r>
      <w:r w:rsidRPr="007F763E">
        <w:t xml:space="preserve"> un tiks uzlabota pasniedzēju kompetence e-mācību materiālu izveidē, kuri tiks integrēti mācību procesā.</w:t>
      </w:r>
    </w:p>
    <w:p w:rsidR="005B1E7A" w:rsidRPr="007F763E" w:rsidRDefault="005824CA" w:rsidP="00B019A9">
      <w:r w:rsidRPr="007F763E">
        <w:rPr>
          <w:iCs/>
        </w:rPr>
        <w:t>Projekta</w:t>
      </w:r>
      <w:r w:rsidR="00B019A9">
        <w:rPr>
          <w:iCs/>
        </w:rPr>
        <w:t>m</w:t>
      </w:r>
      <w:r w:rsidRPr="007F763E">
        <w:rPr>
          <w:iCs/>
        </w:rPr>
        <w:t xml:space="preserve"> </w:t>
      </w:r>
      <w:r w:rsidR="00B019A9">
        <w:rPr>
          <w:iCs/>
        </w:rPr>
        <w:t>piešķirtais</w:t>
      </w:r>
      <w:r w:rsidR="00B019A9" w:rsidRPr="007F763E">
        <w:rPr>
          <w:iCs/>
        </w:rPr>
        <w:t xml:space="preserve"> </w:t>
      </w:r>
      <w:r w:rsidRPr="007F763E">
        <w:rPr>
          <w:iCs/>
        </w:rPr>
        <w:t xml:space="preserve">finansējums: </w:t>
      </w:r>
      <w:r w:rsidR="00B019A9" w:rsidRPr="004940BA">
        <w:t>332 374,17</w:t>
      </w:r>
      <w:r w:rsidR="00B019A9">
        <w:t xml:space="preserve"> </w:t>
      </w:r>
      <w:proofErr w:type="spellStart"/>
      <w:r w:rsidR="006074BB" w:rsidRPr="006074BB">
        <w:rPr>
          <w:i/>
        </w:rPr>
        <w:t>euro</w:t>
      </w:r>
      <w:proofErr w:type="spellEnd"/>
      <w:r w:rsidRPr="007F763E">
        <w:t>, tai skaitā ER</w:t>
      </w:r>
      <w:r w:rsidR="005B1E7A" w:rsidRPr="007F763E">
        <w:t>A</w:t>
      </w:r>
      <w:r w:rsidRPr="007F763E">
        <w:t xml:space="preserve">F </w:t>
      </w:r>
      <w:r w:rsidR="001614B4">
        <w:t>–</w:t>
      </w:r>
      <w:r w:rsidRPr="007F763E">
        <w:t xml:space="preserve"> </w:t>
      </w:r>
      <w:r w:rsidR="00B019A9" w:rsidRPr="004940BA">
        <w:t xml:space="preserve">282 518,04 </w:t>
      </w:r>
      <w:proofErr w:type="spellStart"/>
      <w:r w:rsidR="006074BB" w:rsidRPr="006074BB">
        <w:rPr>
          <w:i/>
        </w:rPr>
        <w:t>euro</w:t>
      </w:r>
      <w:proofErr w:type="spellEnd"/>
      <w:r w:rsidRPr="007F763E">
        <w:t>.</w:t>
      </w:r>
      <w:r w:rsidR="001614B4" w:rsidRPr="001614B4">
        <w:t xml:space="preserve"> </w:t>
      </w:r>
      <w:r w:rsidR="001614B4">
        <w:t xml:space="preserve">LJK projekta daļa </w:t>
      </w:r>
      <w:r w:rsidR="00B019A9">
        <w:rPr>
          <w:rFonts w:eastAsia="Calibri"/>
          <w:color w:val="000000"/>
          <w:szCs w:val="24"/>
          <w:lang w:eastAsia="lv-LV"/>
        </w:rPr>
        <w:t>(apgūtais finansējums)</w:t>
      </w:r>
      <w:r w:rsidR="00B019A9">
        <w:t xml:space="preserve"> </w:t>
      </w:r>
      <w:r w:rsidR="001614B4">
        <w:t xml:space="preserve">– </w:t>
      </w:r>
      <w:r w:rsidR="00B019A9" w:rsidRPr="004940BA">
        <w:rPr>
          <w:szCs w:val="24"/>
        </w:rPr>
        <w:t>100</w:t>
      </w:r>
      <w:r w:rsidR="00B019A9">
        <w:rPr>
          <w:szCs w:val="24"/>
        </w:rPr>
        <w:t xml:space="preserve"> </w:t>
      </w:r>
      <w:r w:rsidR="00B019A9" w:rsidRPr="004940BA">
        <w:rPr>
          <w:szCs w:val="24"/>
        </w:rPr>
        <w:t>190,36</w:t>
      </w:r>
      <w:r w:rsidR="00B019A9">
        <w:rPr>
          <w:szCs w:val="24"/>
        </w:rPr>
        <w:t xml:space="preserve"> </w:t>
      </w:r>
      <w:proofErr w:type="spellStart"/>
      <w:r w:rsidR="006074BB" w:rsidRPr="006074BB">
        <w:rPr>
          <w:i/>
        </w:rPr>
        <w:t>euro</w:t>
      </w:r>
      <w:proofErr w:type="spellEnd"/>
      <w:r w:rsidR="00B019A9">
        <w:t xml:space="preserve">, </w:t>
      </w:r>
      <w:r w:rsidR="00B019A9" w:rsidRPr="00B019A9">
        <w:rPr>
          <w:szCs w:val="24"/>
        </w:rPr>
        <w:t>no tiem investīcijas infrastruktūrā: ēku remonti – 34</w:t>
      </w:r>
      <w:r w:rsidR="00B019A9">
        <w:rPr>
          <w:szCs w:val="24"/>
        </w:rPr>
        <w:t xml:space="preserve"> </w:t>
      </w:r>
      <w:r w:rsidR="00B019A9" w:rsidRPr="00B019A9">
        <w:rPr>
          <w:szCs w:val="24"/>
        </w:rPr>
        <w:t xml:space="preserve">148,27 </w:t>
      </w:r>
      <w:proofErr w:type="spellStart"/>
      <w:r w:rsidR="00B019A9" w:rsidRPr="006074BB">
        <w:rPr>
          <w:i/>
        </w:rPr>
        <w:t>euro</w:t>
      </w:r>
      <w:proofErr w:type="spellEnd"/>
      <w:r w:rsidR="00B019A9" w:rsidRPr="00B019A9">
        <w:rPr>
          <w:szCs w:val="24"/>
        </w:rPr>
        <w:t xml:space="preserve">; </w:t>
      </w:r>
      <w:r w:rsidR="00B019A9">
        <w:rPr>
          <w:szCs w:val="24"/>
        </w:rPr>
        <w:t>z</w:t>
      </w:r>
      <w:r w:rsidR="00B019A9" w:rsidRPr="00B019A9">
        <w:rPr>
          <w:szCs w:val="24"/>
        </w:rPr>
        <w:t>ināšanu un e-pakalpojumu centra izveide jūrniekiem, ieskaitot pamatlīdzekļu papildināšanu un bibliotēku krājumus – 25</w:t>
      </w:r>
      <w:r w:rsidR="00B019A9">
        <w:rPr>
          <w:szCs w:val="24"/>
        </w:rPr>
        <w:t xml:space="preserve"> </w:t>
      </w:r>
      <w:r w:rsidR="00B019A9" w:rsidRPr="00B019A9">
        <w:rPr>
          <w:szCs w:val="24"/>
        </w:rPr>
        <w:t xml:space="preserve">649,20 </w:t>
      </w:r>
      <w:proofErr w:type="spellStart"/>
      <w:r w:rsidR="00B019A9" w:rsidRPr="006074BB">
        <w:rPr>
          <w:i/>
        </w:rPr>
        <w:t>euro</w:t>
      </w:r>
      <w:proofErr w:type="spellEnd"/>
      <w:r w:rsidR="00B019A9" w:rsidRPr="00B019A9">
        <w:rPr>
          <w:szCs w:val="24"/>
        </w:rPr>
        <w:t>.</w:t>
      </w:r>
    </w:p>
    <w:p w:rsidR="005B1E7A" w:rsidRPr="007F763E" w:rsidRDefault="005824CA" w:rsidP="005824CA">
      <w:pPr>
        <w:pStyle w:val="Default"/>
        <w:ind w:firstLine="720"/>
        <w:jc w:val="both"/>
      </w:pPr>
      <w:r w:rsidRPr="007F763E">
        <w:rPr>
          <w:iCs/>
        </w:rPr>
        <w:t xml:space="preserve">Mērķa auditorija: </w:t>
      </w:r>
      <w:r w:rsidRPr="007F763E">
        <w:t>Liepājas Jūrniecības koledžas studējošie un akadēmiskais personāls</w:t>
      </w:r>
      <w:r w:rsidR="005B1E7A" w:rsidRPr="007F763E">
        <w:t>.</w:t>
      </w:r>
    </w:p>
    <w:p w:rsidR="00913221" w:rsidRDefault="005824CA" w:rsidP="005824CA">
      <w:pPr>
        <w:pStyle w:val="Default"/>
        <w:ind w:firstLine="720"/>
        <w:jc w:val="both"/>
      </w:pPr>
      <w:r w:rsidRPr="007F763E">
        <w:rPr>
          <w:iCs/>
        </w:rPr>
        <w:t xml:space="preserve">Galvenās aktivitātes: </w:t>
      </w:r>
      <w:r w:rsidR="00B019A9">
        <w:t>I</w:t>
      </w:r>
      <w:r w:rsidRPr="007F763E">
        <w:t>zremontēta telpa, kura aprīkota ar jaunām mēbelēm un datoriem.</w:t>
      </w:r>
      <w:r w:rsidR="005B1E7A" w:rsidRPr="007F763E">
        <w:t xml:space="preserve"> </w:t>
      </w:r>
      <w:r w:rsidR="00B019A9">
        <w:t>U</w:t>
      </w:r>
      <w:r w:rsidRPr="007F763E">
        <w:t>zstādītas nepieciešamās iekārtas un programmas e-pakalpojuma centra darbībai. Visas iegādātās iekārtas tiks savienotas, lai izveidotu vienotu datu bāzi starp LJK un LJA.</w:t>
      </w:r>
      <w:r w:rsidR="005B1E7A" w:rsidRPr="007F763E">
        <w:t xml:space="preserve"> </w:t>
      </w:r>
      <w:r w:rsidRPr="007F763E">
        <w:t>Kopā izveidoti 14 e-mācību materiāli, kuri iztulkoti angļu valodā un izvietoti uz</w:t>
      </w:r>
      <w:r w:rsidRPr="005824CA">
        <w:t xml:space="preserve"> e-pakalpojuma platformas un pieejami to lietotājiem, kuriem </w:t>
      </w:r>
      <w:r w:rsidR="00B019A9">
        <w:t>ir</w:t>
      </w:r>
      <w:r w:rsidR="00B019A9" w:rsidRPr="005824CA">
        <w:t xml:space="preserve"> </w:t>
      </w:r>
      <w:r w:rsidRPr="005824CA">
        <w:t>piekļuve.</w:t>
      </w:r>
      <w:r w:rsidRPr="005824CA">
        <w:br/>
      </w:r>
      <w:r w:rsidR="00B019A9">
        <w:t>O</w:t>
      </w:r>
      <w:r w:rsidRPr="005824CA">
        <w:t>rganizēti 2 pieredzes apmaiņas semināri, viens Latvijā un otrs Lietuvā, kurā piedalī</w:t>
      </w:r>
      <w:r w:rsidR="00B019A9">
        <w:t>jās</w:t>
      </w:r>
      <w:r w:rsidRPr="005824CA">
        <w:t xml:space="preserve"> pasniedzēj</w:t>
      </w:r>
      <w:r w:rsidR="007C0035">
        <w:t>i</w:t>
      </w:r>
      <w:r w:rsidRPr="005824CA">
        <w:t xml:space="preserve"> par to kā izveidot e-mācību materiālus.</w:t>
      </w:r>
      <w:r w:rsidRPr="005824CA">
        <w:br/>
      </w:r>
      <w:r w:rsidR="00B019A9">
        <w:t>I</w:t>
      </w:r>
      <w:r w:rsidRPr="005824CA">
        <w:t xml:space="preserve">zveidota </w:t>
      </w:r>
      <w:proofErr w:type="spellStart"/>
      <w:r w:rsidRPr="005824CA">
        <w:t>pilotgrupa</w:t>
      </w:r>
      <w:proofErr w:type="spellEnd"/>
      <w:r w:rsidRPr="005824CA">
        <w:t xml:space="preserve">, gan LJK, gan LMA, kuras sastāvā </w:t>
      </w:r>
      <w:r w:rsidR="00B019A9">
        <w:t>bija</w:t>
      </w:r>
      <w:r w:rsidR="00B019A9" w:rsidRPr="005824CA">
        <w:t xml:space="preserve"> </w:t>
      </w:r>
      <w:r w:rsidRPr="005824CA">
        <w:t xml:space="preserve">5 cilvēki no Liepājas Jūrniecības koledžas un 5 no Lietuvas Jūras akadēmijas. Viņu uzdevums </w:t>
      </w:r>
      <w:r w:rsidR="00B019A9">
        <w:t>bija</w:t>
      </w:r>
      <w:r w:rsidR="00B019A9" w:rsidRPr="005824CA">
        <w:t xml:space="preserve"> </w:t>
      </w:r>
      <w:r w:rsidRPr="005824CA">
        <w:t>izmēģināt jaunās e-mācību iespējas.</w:t>
      </w:r>
      <w:r w:rsidR="005B1E7A">
        <w:t xml:space="preserve"> </w:t>
      </w:r>
      <w:r w:rsidRPr="005824CA">
        <w:t>Projekta ietvaros organizēts viens pieredzes apmaiņas brauciens uz līdzīgu e-mācību centru, kurā piedalī</w:t>
      </w:r>
      <w:r w:rsidR="00B019A9">
        <w:t>jās</w:t>
      </w:r>
      <w:r w:rsidRPr="005824CA">
        <w:t xml:space="preserve"> 9 lektori no Lietuvas Jūras akadēmijas un 5 lektori no Liepājas Jūrniecības koledžas.</w:t>
      </w:r>
      <w:r w:rsidR="005B1E7A">
        <w:t xml:space="preserve"> </w:t>
      </w:r>
    </w:p>
    <w:p w:rsidR="007B1425" w:rsidRPr="005824CA" w:rsidRDefault="007B1425" w:rsidP="007B1425">
      <w:pPr>
        <w:pStyle w:val="Default"/>
        <w:ind w:firstLine="720"/>
        <w:jc w:val="both"/>
      </w:pPr>
    </w:p>
    <w:p w:rsidR="00DF5380" w:rsidRPr="00D42345" w:rsidRDefault="001350B8" w:rsidP="00DF5380">
      <w:pPr>
        <w:pStyle w:val="Default"/>
        <w:ind w:firstLine="720"/>
        <w:jc w:val="both"/>
      </w:pPr>
      <w:r w:rsidRPr="001350B8">
        <w:t>Jāatzīmē, ka abu pārrobežu sadarbības programmu ietvaros koledžu īstenotie sadarbības projekti nav bijuši vērsti tikai uz infrastruktūras uzlabošanu. Projektu ietvaros atbalsts sniegts arī mācību materiālu pilnveidei, akadēmiskā personāla apmācībai, pieredzes apmaiņas semināriem un braucieniem, kā arī jāņem vērā, ka no projekta līdzekļiem atbalsts tika sniegts arī projektu sadarbības partneriem. Līdz ar to sadarbības projektu ietvaros piešķirtais finansējums attiecībā uz koledžu infrastruktūru attiecināms tikai daļēji.</w:t>
      </w:r>
    </w:p>
    <w:p w:rsidR="009454D6" w:rsidRDefault="009454D6" w:rsidP="00DF5380">
      <w:pPr>
        <w:pStyle w:val="Default"/>
        <w:ind w:firstLine="720"/>
        <w:jc w:val="both"/>
      </w:pPr>
      <w:r w:rsidRPr="00D42345">
        <w:lastRenderedPageBreak/>
        <w:t>Apkopojums par abu pārrobežu sadarbības programmu atbalstītajiem koledžu</w:t>
      </w:r>
      <w:r w:rsidRPr="00672181">
        <w:t xml:space="preserve"> projektiem</w:t>
      </w:r>
      <w:r>
        <w:t xml:space="preserve">, kas cita starpā paredz </w:t>
      </w:r>
      <w:r w:rsidRPr="008E30EE">
        <w:t>ieguldījum</w:t>
      </w:r>
      <w:r>
        <w:t>us</w:t>
      </w:r>
      <w:r w:rsidRPr="008E30EE">
        <w:t xml:space="preserve"> </w:t>
      </w:r>
      <w:r>
        <w:t xml:space="preserve">arī </w:t>
      </w:r>
      <w:r w:rsidRPr="008E30EE">
        <w:t>koledžu infrastruktūrā</w:t>
      </w:r>
      <w:r>
        <w:t>,</w:t>
      </w:r>
      <w:r w:rsidRPr="008E30EE">
        <w:t xml:space="preserve"> ir sniegts novērtējuma </w:t>
      </w:r>
      <w:r w:rsidR="00604953">
        <w:t>3</w:t>
      </w:r>
      <w:r w:rsidRPr="008E30EE">
        <w:t xml:space="preserve">.pielikuma </w:t>
      </w:r>
      <w:r>
        <w:t>4</w:t>
      </w:r>
      <w:r w:rsidRPr="008E30EE">
        <w:t>.sadaļā „</w:t>
      </w:r>
      <w:r w:rsidR="00C43701" w:rsidRPr="00C43701">
        <w:t>Citu finanšu instrumentu atbalstītie koledžu projekti</w:t>
      </w:r>
      <w:r w:rsidRPr="008E30EE">
        <w:t>” (</w:t>
      </w:r>
      <w:r>
        <w:t>4</w:t>
      </w:r>
      <w:r w:rsidRPr="008E30EE">
        <w:t>.izklājlapa).</w:t>
      </w:r>
    </w:p>
    <w:p w:rsidR="00DF0FB9" w:rsidRDefault="00DF0FB9" w:rsidP="00021348"/>
    <w:p w:rsidR="00732DC0" w:rsidRDefault="00732DC0" w:rsidP="003F34D8">
      <w:pPr>
        <w:pStyle w:val="Heading2"/>
      </w:pPr>
      <w:bookmarkStart w:id="31" w:name="_Toc445290203"/>
    </w:p>
    <w:p w:rsidR="00CA29C2" w:rsidRDefault="00B01140" w:rsidP="003F34D8">
      <w:pPr>
        <w:pStyle w:val="Heading2"/>
      </w:pPr>
      <w:r w:rsidRPr="00A94D09">
        <w:t>2.4.</w:t>
      </w:r>
      <w:r w:rsidRPr="00A94D09">
        <w:rPr>
          <w:rStyle w:val="st"/>
          <w:b w:val="0"/>
        </w:rPr>
        <w:t xml:space="preserve"> </w:t>
      </w:r>
      <w:r w:rsidRPr="00A94D09">
        <w:t xml:space="preserve">Valsts budžeta ieguldījumi koledžu infrastruktūrā </w:t>
      </w:r>
    </w:p>
    <w:p w:rsidR="00B01140" w:rsidRPr="00A94D09" w:rsidRDefault="00B01140" w:rsidP="003F34D8">
      <w:pPr>
        <w:pStyle w:val="Heading2"/>
        <w:rPr>
          <w:rFonts w:eastAsia="Calibri"/>
          <w:color w:val="000000"/>
        </w:rPr>
      </w:pPr>
      <w:r w:rsidRPr="00A94D09">
        <w:t>2007.-2013.gada plānošanas periodā</w:t>
      </w:r>
      <w:bookmarkEnd w:id="31"/>
    </w:p>
    <w:p w:rsidR="00B01140" w:rsidRPr="00A94D09" w:rsidRDefault="00B01140" w:rsidP="008101E7">
      <w:pPr>
        <w:autoSpaceDE w:val="0"/>
        <w:autoSpaceDN w:val="0"/>
        <w:adjustRightInd w:val="0"/>
        <w:ind w:firstLine="720"/>
        <w:rPr>
          <w:rFonts w:eastAsia="Calibri"/>
          <w:bCs/>
          <w:iCs/>
          <w:color w:val="000000"/>
          <w:szCs w:val="24"/>
        </w:rPr>
      </w:pPr>
    </w:p>
    <w:p w:rsidR="00E212A8" w:rsidRPr="001E14E9" w:rsidRDefault="001E14E9" w:rsidP="00E212A8">
      <w:pPr>
        <w:autoSpaceDE w:val="0"/>
        <w:autoSpaceDN w:val="0"/>
        <w:adjustRightInd w:val="0"/>
        <w:ind w:firstLine="720"/>
        <w:rPr>
          <w:rFonts w:eastAsia="Calibri"/>
          <w:color w:val="000000"/>
          <w:szCs w:val="24"/>
          <w:lang w:eastAsia="lv-LV"/>
        </w:rPr>
      </w:pPr>
      <w:r w:rsidRPr="001E14E9">
        <w:rPr>
          <w:rFonts w:eastAsia="Calibri"/>
          <w:color w:val="000000"/>
          <w:szCs w:val="24"/>
          <w:lang w:eastAsia="lv-LV"/>
        </w:rPr>
        <w:t xml:space="preserve">Valsts budžeta ieguldījumu apjoms koledžu infrastruktūrā pēdējos gados vērtējams kā ļoti neliels. Ņemot vērā ierobežotos valsts budžeta līdzekļus, iespēju robežās koledžas veic nepieciešamos ēku remontdarbus, ēku uzturēšanu, bet tikai atsevišķām koledžām no valsts budžeta līdzekļiem ir veikti nelieli ieguldījumi infrastruktūrā, veicot ēku renovāciju vai rekonstrukciju. Kopumā iespējas </w:t>
      </w:r>
      <w:r>
        <w:rPr>
          <w:rFonts w:eastAsia="Calibri"/>
          <w:color w:val="000000"/>
          <w:szCs w:val="24"/>
          <w:lang w:eastAsia="lv-LV"/>
        </w:rPr>
        <w:t xml:space="preserve">veikt </w:t>
      </w:r>
      <w:r w:rsidRPr="001E14E9">
        <w:rPr>
          <w:rFonts w:eastAsia="Calibri"/>
          <w:color w:val="000000"/>
          <w:szCs w:val="24"/>
          <w:lang w:eastAsia="lv-LV"/>
        </w:rPr>
        <w:t xml:space="preserve">ieguldījumus koledžu infrastruktūrā no valsts budžeta līdzekļiem vērtējamas kā niecīgas </w:t>
      </w:r>
      <w:r>
        <w:rPr>
          <w:rFonts w:eastAsia="Calibri"/>
          <w:color w:val="000000"/>
          <w:szCs w:val="24"/>
          <w:lang w:eastAsia="lv-LV"/>
        </w:rPr>
        <w:t>–</w:t>
      </w:r>
      <w:r w:rsidRPr="001E14E9">
        <w:rPr>
          <w:rFonts w:eastAsia="Calibri"/>
          <w:color w:val="000000"/>
          <w:szCs w:val="24"/>
          <w:lang w:eastAsia="lv-LV"/>
        </w:rPr>
        <w:t xml:space="preserve"> pārsvarā ieguldījumi koledžu infrastruktūrā tiek veikti ERAF, KPFI un citu finanšu instrumentu ietvaros.</w:t>
      </w:r>
    </w:p>
    <w:p w:rsidR="006426A8" w:rsidRDefault="00E212A8">
      <w:pPr>
        <w:autoSpaceDE w:val="0"/>
        <w:autoSpaceDN w:val="0"/>
        <w:adjustRightInd w:val="0"/>
        <w:ind w:firstLine="720"/>
        <w:rPr>
          <w:rFonts w:eastAsia="Calibri"/>
          <w:bCs/>
          <w:iCs/>
          <w:color w:val="000000"/>
          <w:szCs w:val="24"/>
        </w:rPr>
      </w:pPr>
      <w:r w:rsidRPr="008E714D">
        <w:rPr>
          <w:rFonts w:eastAsia="Calibri"/>
          <w:bCs/>
          <w:iCs/>
          <w:color w:val="000000"/>
          <w:szCs w:val="24"/>
        </w:rPr>
        <w:t xml:space="preserve"> </w:t>
      </w:r>
    </w:p>
    <w:p w:rsidR="00D42345" w:rsidRPr="00D42345" w:rsidRDefault="001350B8">
      <w:pPr>
        <w:autoSpaceDE w:val="0"/>
        <w:autoSpaceDN w:val="0"/>
        <w:adjustRightInd w:val="0"/>
        <w:ind w:firstLine="720"/>
        <w:rPr>
          <w:rFonts w:eastAsia="Calibri"/>
          <w:bCs/>
          <w:iCs/>
          <w:color w:val="000000"/>
          <w:szCs w:val="24"/>
        </w:rPr>
      </w:pPr>
      <w:r w:rsidRPr="008E714D">
        <w:rPr>
          <w:rFonts w:eastAsia="Calibri"/>
          <w:bCs/>
          <w:iCs/>
          <w:color w:val="000000"/>
          <w:szCs w:val="24"/>
        </w:rPr>
        <w:t>V</w:t>
      </w:r>
      <w:r w:rsidRPr="001350B8">
        <w:rPr>
          <w:rFonts w:eastAsia="Calibri"/>
          <w:bCs/>
          <w:iCs/>
          <w:color w:val="000000"/>
          <w:szCs w:val="24"/>
        </w:rPr>
        <w:t xml:space="preserve">ērtējot ieguldījumus koledžu infrastruktūrā, secināms, ka šādu ieguldījumu tiešu ietekmi uz izglītības kvalitāti ir ļoti grūti novērtēt. Ņemot vērā to, ka kopumā augstākās izglītības institūcijās, tai skaitā koledžās, infrastruktūra bija novecojusi, tās atjaunošana bija nepieciešama ikdienas darbu turpināšanai, nevis attīstības veicināšanai. </w:t>
      </w:r>
    </w:p>
    <w:p w:rsidR="0087141C" w:rsidRDefault="001350B8">
      <w:pPr>
        <w:autoSpaceDE w:val="0"/>
        <w:autoSpaceDN w:val="0"/>
        <w:adjustRightInd w:val="0"/>
        <w:ind w:firstLine="720"/>
        <w:rPr>
          <w:szCs w:val="24"/>
        </w:rPr>
      </w:pPr>
      <w:r w:rsidRPr="00521C8D">
        <w:rPr>
          <w:szCs w:val="24"/>
        </w:rPr>
        <w:t xml:space="preserve">Viens no veidiem, kā novērtēt veikto ieguldījumu rezultātu ir augstākās izglītības </w:t>
      </w:r>
      <w:r w:rsidR="008101E7" w:rsidRPr="00521C8D">
        <w:rPr>
          <w:szCs w:val="24"/>
        </w:rPr>
        <w:t>institūcijā īstenotā studiju virziena akreditācija. Tās ietvaros tajā skaitā tiek vērtēti studiju virziena resursi un nodrošinājums. Ņemot vērā ES fondu modernizēto studiju programmu apjomu attiecīgā studiju virziena ietvaros, novērtējums šajā kritērijā būtu vismaz 3 (labi) vai 4 (teicami).</w:t>
      </w:r>
      <w:r w:rsidR="00572021">
        <w:rPr>
          <w:szCs w:val="24"/>
        </w:rPr>
        <w:t xml:space="preserve"> </w:t>
      </w:r>
    </w:p>
    <w:p w:rsidR="0087141C" w:rsidRPr="00572021" w:rsidRDefault="0087141C" w:rsidP="001225A3">
      <w:pPr>
        <w:autoSpaceDE w:val="0"/>
        <w:autoSpaceDN w:val="0"/>
        <w:adjustRightInd w:val="0"/>
        <w:ind w:firstLine="720"/>
        <w:rPr>
          <w:szCs w:val="24"/>
        </w:rPr>
      </w:pPr>
      <w:r w:rsidRPr="00572021">
        <w:rPr>
          <w:szCs w:val="24"/>
        </w:rPr>
        <w:t>Saskaņā</w:t>
      </w:r>
      <w:r w:rsidR="001225A3" w:rsidRPr="00572021">
        <w:rPr>
          <w:szCs w:val="24"/>
        </w:rPr>
        <w:t xml:space="preserve"> </w:t>
      </w:r>
      <w:r w:rsidRPr="00572021">
        <w:rPr>
          <w:szCs w:val="24"/>
        </w:rPr>
        <w:t>ar</w:t>
      </w:r>
      <w:bookmarkStart w:id="32" w:name="559608"/>
      <w:bookmarkEnd w:id="32"/>
      <w:r w:rsidR="001225A3" w:rsidRPr="00572021">
        <w:rPr>
          <w:szCs w:val="24"/>
        </w:rPr>
        <w:t xml:space="preserve"> MK 2015.gada 14.jūlija noteikumiem Nr. 407 „Augstskolu, koledžu un studiju virzienu akreditācijas noteikumi” </w:t>
      </w:r>
      <w:r w:rsidR="0009241C" w:rsidRPr="00572021">
        <w:rPr>
          <w:szCs w:val="24"/>
        </w:rPr>
        <w:t xml:space="preserve">(turpmāk - Akreditācijas noteikumi) </w:t>
      </w:r>
      <w:r w:rsidR="001225A3" w:rsidRPr="00572021">
        <w:rPr>
          <w:szCs w:val="24"/>
        </w:rPr>
        <w:t>3</w:t>
      </w:r>
      <w:r w:rsidRPr="00572021">
        <w:rPr>
          <w:szCs w:val="24"/>
        </w:rPr>
        <w:t>.pielikuma „</w:t>
      </w:r>
      <w:r w:rsidR="001225A3" w:rsidRPr="00572021">
        <w:rPr>
          <w:szCs w:val="24"/>
        </w:rPr>
        <w:t>Augstskolas un koledžas vērtēšanas kritēriji</w:t>
      </w:r>
      <w:r w:rsidRPr="00572021">
        <w:rPr>
          <w:szCs w:val="24"/>
        </w:rPr>
        <w:t xml:space="preserve">” </w:t>
      </w:r>
      <w:r w:rsidR="001225A3" w:rsidRPr="00572021">
        <w:rPr>
          <w:szCs w:val="24"/>
        </w:rPr>
        <w:t>2.punktu tiek vērtēta koledžu</w:t>
      </w:r>
      <w:r w:rsidRPr="00572021">
        <w:rPr>
          <w:szCs w:val="24"/>
        </w:rPr>
        <w:t xml:space="preserve"> </w:t>
      </w:r>
      <w:r w:rsidR="001225A3" w:rsidRPr="00572021">
        <w:rPr>
          <w:szCs w:val="24"/>
        </w:rPr>
        <w:t xml:space="preserve">un to filiāļu </w:t>
      </w:r>
      <w:r w:rsidRPr="00572021">
        <w:rPr>
          <w:szCs w:val="24"/>
        </w:rPr>
        <w:t>materiāltehniskās bāzes kv</w:t>
      </w:r>
      <w:r w:rsidR="001225A3" w:rsidRPr="00572021">
        <w:rPr>
          <w:szCs w:val="24"/>
        </w:rPr>
        <w:t>antitātes un kvalitātes atbilstība studiju virzieniem koledžā, tiem atbilstošajām īstenotajām studiju programmām un ar tiem saistītajai pētniecībai</w:t>
      </w:r>
      <w:r w:rsidRPr="00572021">
        <w:rPr>
          <w:szCs w:val="24"/>
        </w:rPr>
        <w:t>:</w:t>
      </w:r>
    </w:p>
    <w:p w:rsidR="0087141C" w:rsidRPr="00572021" w:rsidRDefault="0087141C" w:rsidP="00722156">
      <w:pPr>
        <w:pStyle w:val="ListParagraph"/>
        <w:numPr>
          <w:ilvl w:val="0"/>
          <w:numId w:val="35"/>
        </w:numPr>
        <w:ind w:left="714" w:hanging="357"/>
        <w:rPr>
          <w:szCs w:val="24"/>
        </w:rPr>
      </w:pPr>
      <w:r w:rsidRPr="00572021">
        <w:rPr>
          <w:szCs w:val="24"/>
        </w:rPr>
        <w:t>studiju programmu īstenošanas apstākļi, telpas, infrastruktūra, laboratorijas, nepieciešamās iekārtas, kā arī</w:t>
      </w:r>
      <w:r w:rsidR="001225A3" w:rsidRPr="00572021">
        <w:rPr>
          <w:szCs w:val="24"/>
        </w:rPr>
        <w:t xml:space="preserve"> </w:t>
      </w:r>
      <w:r w:rsidRPr="00572021">
        <w:rPr>
          <w:szCs w:val="24"/>
        </w:rPr>
        <w:t>cits materiāltehniskais nodrošinājums;</w:t>
      </w:r>
    </w:p>
    <w:p w:rsidR="0087141C" w:rsidRPr="00572021" w:rsidRDefault="0087141C" w:rsidP="00722156">
      <w:pPr>
        <w:pStyle w:val="ListParagraph"/>
        <w:numPr>
          <w:ilvl w:val="0"/>
          <w:numId w:val="35"/>
        </w:numPr>
        <w:ind w:left="714" w:hanging="357"/>
        <w:rPr>
          <w:szCs w:val="24"/>
        </w:rPr>
      </w:pPr>
      <w:r w:rsidRPr="00572021">
        <w:rPr>
          <w:szCs w:val="24"/>
        </w:rPr>
        <w:t>studiju, atpūtas un sadzīves apstākļi, tai skaitā</w:t>
      </w:r>
      <w:r w:rsidR="001225A3" w:rsidRPr="00572021">
        <w:rPr>
          <w:szCs w:val="24"/>
        </w:rPr>
        <w:t xml:space="preserve"> </w:t>
      </w:r>
      <w:r w:rsidRPr="00572021">
        <w:rPr>
          <w:szCs w:val="24"/>
        </w:rPr>
        <w:t>nodrošinātas dienesta viesnīcas.</w:t>
      </w:r>
    </w:p>
    <w:p w:rsidR="00352670" w:rsidRPr="00572021" w:rsidRDefault="0009241C" w:rsidP="0009241C">
      <w:pPr>
        <w:autoSpaceDE w:val="0"/>
        <w:autoSpaceDN w:val="0"/>
        <w:adjustRightInd w:val="0"/>
        <w:ind w:firstLine="720"/>
        <w:rPr>
          <w:szCs w:val="24"/>
        </w:rPr>
      </w:pPr>
      <w:bookmarkStart w:id="33" w:name="559616"/>
      <w:bookmarkEnd w:id="33"/>
      <w:r w:rsidRPr="00572021">
        <w:rPr>
          <w:szCs w:val="24"/>
        </w:rPr>
        <w:t>Minētā informācija koledžām ir jānorāda arī savos pašnovērtējumos (Akreditācijas noteikumu 1.pielikuma „Augstskolas vai koledžas pašnovērtējums” 2.punkts).</w:t>
      </w:r>
    </w:p>
    <w:p w:rsidR="00CB1359" w:rsidRPr="00572021" w:rsidRDefault="00CB1359" w:rsidP="0009241C">
      <w:pPr>
        <w:autoSpaceDE w:val="0"/>
        <w:autoSpaceDN w:val="0"/>
        <w:adjustRightInd w:val="0"/>
        <w:ind w:firstLine="720"/>
        <w:rPr>
          <w:szCs w:val="24"/>
        </w:rPr>
      </w:pPr>
      <w:r w:rsidRPr="00572021">
        <w:rPr>
          <w:szCs w:val="24"/>
        </w:rPr>
        <w:t xml:space="preserve">Vienlaikus </w:t>
      </w:r>
      <w:r w:rsidR="00352670" w:rsidRPr="00572021">
        <w:rPr>
          <w:szCs w:val="24"/>
        </w:rPr>
        <w:t xml:space="preserve">Akreditācijas noteikumu </w:t>
      </w:r>
      <w:r w:rsidRPr="00572021">
        <w:rPr>
          <w:szCs w:val="24"/>
        </w:rPr>
        <w:t>9.pielikuma „</w:t>
      </w:r>
      <w:bookmarkStart w:id="34" w:name="559639"/>
      <w:bookmarkEnd w:id="34"/>
      <w:r w:rsidRPr="00572021">
        <w:rPr>
          <w:szCs w:val="24"/>
        </w:rPr>
        <w:t>Studiju virziena vērtēšanas kritēriji” 3.3.apakšpunkts paredz vērtēt studiju virziena metodisko, informatīvo (tai skaitā bibliotēkas resursu) un materiāltehnisko nodrošinājumu, tā atbilstību apgūstamo profesiju reglamentējošo normatīvo aktu prasībām. Minētā informācija koledžām ir jānorāda arī studiju virziena pašnovērtējumos (Akreditācijas noteikumu 7.pielikuma „Studiju virziena pašnovērtējums” 7.3.apakšpunkts).</w:t>
      </w:r>
    </w:p>
    <w:p w:rsidR="002B567E" w:rsidRPr="00A94D09" w:rsidRDefault="002B567E" w:rsidP="00A94D09">
      <w:pPr>
        <w:pStyle w:val="Heading1"/>
        <w:spacing w:before="0" w:line="240" w:lineRule="auto"/>
        <w:jc w:val="center"/>
        <w:rPr>
          <w:szCs w:val="24"/>
        </w:rPr>
      </w:pPr>
      <w:r w:rsidRPr="003D11CD">
        <w:br w:type="page"/>
      </w:r>
      <w:bookmarkStart w:id="35" w:name="_Toc409448076"/>
      <w:bookmarkStart w:id="36" w:name="_Toc445290204"/>
      <w:r w:rsidR="00DB1230" w:rsidRPr="00A94D09">
        <w:lastRenderedPageBreak/>
        <w:t xml:space="preserve">3. </w:t>
      </w:r>
      <w:bookmarkStart w:id="37" w:name="_Toc385413137"/>
      <w:r w:rsidRPr="00A94D09">
        <w:t>Secinājumi par ieviešanas mehānismu 2007. – 2013. gada plānošanas periodā un nepieciešamajām izmaiņām 2014. – 2020. gada periodā kontekstā</w:t>
      </w:r>
      <w:bookmarkEnd w:id="35"/>
      <w:bookmarkEnd w:id="36"/>
      <w:bookmarkEnd w:id="37"/>
    </w:p>
    <w:p w:rsidR="0013747D" w:rsidRDefault="0013747D" w:rsidP="00DD6A3D">
      <w:pPr>
        <w:spacing w:after="60"/>
        <w:ind w:right="198" w:firstLine="567"/>
        <w:rPr>
          <w:szCs w:val="24"/>
        </w:rPr>
      </w:pPr>
    </w:p>
    <w:p w:rsidR="00882813" w:rsidRDefault="00882813" w:rsidP="00DD6A3D">
      <w:pPr>
        <w:spacing w:after="60"/>
        <w:ind w:firstLine="720"/>
        <w:rPr>
          <w:szCs w:val="24"/>
        </w:rPr>
      </w:pPr>
      <w:r>
        <w:rPr>
          <w:szCs w:val="24"/>
        </w:rPr>
        <w:t xml:space="preserve">Šajā sadaļā tiks apkopoti secinājumi par 2007.-2013.gada plānošanas perioda </w:t>
      </w:r>
      <w:r w:rsidRPr="00B06725">
        <w:rPr>
          <w:bCs/>
          <w:szCs w:val="24"/>
        </w:rPr>
        <w:t>3.1.2.1.1.</w:t>
      </w:r>
      <w:r w:rsidRPr="00B06725">
        <w:rPr>
          <w:szCs w:val="24"/>
        </w:rPr>
        <w:t>apakšaktivitātes</w:t>
      </w:r>
      <w:r>
        <w:rPr>
          <w:szCs w:val="24"/>
        </w:rPr>
        <w:t xml:space="preserve"> ieviešanas mehānismu, norādot pozitīvo pieredzi, ko būtu vērts pārņemt </w:t>
      </w:r>
      <w:r w:rsidRPr="009F616F">
        <w:rPr>
          <w:szCs w:val="24"/>
        </w:rPr>
        <w:t>2014</w:t>
      </w:r>
      <w:r>
        <w:rPr>
          <w:szCs w:val="24"/>
        </w:rPr>
        <w:t>.</w:t>
      </w:r>
      <w:r w:rsidRPr="009F616F">
        <w:rPr>
          <w:szCs w:val="24"/>
        </w:rPr>
        <w:t xml:space="preserve"> – 2020. gada plānošanas periodā</w:t>
      </w:r>
      <w:r>
        <w:rPr>
          <w:szCs w:val="24"/>
        </w:rPr>
        <w:t>, kā arī norādot traucējošos faktorus</w:t>
      </w:r>
      <w:r w:rsidRPr="00882813">
        <w:rPr>
          <w:szCs w:val="24"/>
        </w:rPr>
        <w:t xml:space="preserve"> </w:t>
      </w:r>
      <w:r w:rsidRPr="009F616F">
        <w:rPr>
          <w:szCs w:val="24"/>
        </w:rPr>
        <w:t>izvirzīto rezultātu un mērķu sasniegšanā</w:t>
      </w:r>
      <w:r>
        <w:rPr>
          <w:szCs w:val="24"/>
        </w:rPr>
        <w:t>.</w:t>
      </w:r>
    </w:p>
    <w:p w:rsidR="009E32ED" w:rsidRPr="00B81DAD" w:rsidRDefault="00B81DAD" w:rsidP="00DD6A3D">
      <w:pPr>
        <w:ind w:firstLine="720"/>
        <w:rPr>
          <w:szCs w:val="24"/>
        </w:rPr>
      </w:pPr>
      <w:r w:rsidRPr="00B81DAD">
        <w:rPr>
          <w:szCs w:val="24"/>
        </w:rPr>
        <w:t xml:space="preserve">Plānojot 2014.-2020. gada plānošanas perioda ES fondu investīcijas augstākajā izglītībā un zinātnē, </w:t>
      </w:r>
      <w:r w:rsidR="005948C2" w:rsidRPr="00B81DAD">
        <w:rPr>
          <w:szCs w:val="24"/>
        </w:rPr>
        <w:t>IZM sadarb</w:t>
      </w:r>
      <w:r w:rsidRPr="00B81DAD">
        <w:rPr>
          <w:szCs w:val="24"/>
        </w:rPr>
        <w:t>ībā ar VIAA</w:t>
      </w:r>
      <w:r w:rsidR="005948C2" w:rsidRPr="00B81DAD">
        <w:rPr>
          <w:szCs w:val="24"/>
        </w:rPr>
        <w:t xml:space="preserve"> organiz</w:t>
      </w:r>
      <w:r w:rsidR="007F5827">
        <w:rPr>
          <w:szCs w:val="24"/>
        </w:rPr>
        <w:t>ēja publiskās diskusijas. 2014.gada 23.</w:t>
      </w:r>
      <w:r w:rsidR="005948C2" w:rsidRPr="00B81DAD">
        <w:rPr>
          <w:szCs w:val="24"/>
        </w:rPr>
        <w:t>aprīlī notika diskusija “Augstākās izglītības politikas instrumentu izvēle un iekļaušana ES struktūrfondu 2014.-2020. gada plānošanas periodā”. Minētajās diskusijās secināts</w:t>
      </w:r>
      <w:r w:rsidR="009F7F1E" w:rsidRPr="00B81DAD">
        <w:rPr>
          <w:rStyle w:val="FootnoteReference"/>
          <w:szCs w:val="24"/>
        </w:rPr>
        <w:footnoteReference w:id="59"/>
      </w:r>
      <w:r w:rsidR="005948C2" w:rsidRPr="00B81DAD">
        <w:rPr>
          <w:szCs w:val="24"/>
        </w:rPr>
        <w:t>, ka ES struktūrfondu 2007.-2013. gada plānošanas perioda</w:t>
      </w:r>
      <w:r w:rsidR="005948C2" w:rsidRPr="00B81DAD">
        <w:rPr>
          <w:b/>
          <w:szCs w:val="24"/>
        </w:rPr>
        <w:t xml:space="preserve"> </w:t>
      </w:r>
      <w:r w:rsidR="005948C2" w:rsidRPr="00B81DAD">
        <w:rPr>
          <w:szCs w:val="24"/>
        </w:rPr>
        <w:t xml:space="preserve">atbalsts augstākās izglītības iestāžu infrastruktūras uzlabošanai bija ļoti būtisks un ļāva sakārtot novecojušo infrastruktūru, radīt mūsdienīgu un pievilcīgu mācību vidi, iegādāties modernu aprīkojumu. </w:t>
      </w:r>
    </w:p>
    <w:p w:rsidR="009E32ED" w:rsidRPr="00B81DAD" w:rsidRDefault="005948C2" w:rsidP="00DD6A3D">
      <w:pPr>
        <w:ind w:firstLine="720"/>
        <w:rPr>
          <w:szCs w:val="24"/>
        </w:rPr>
      </w:pPr>
      <w:r w:rsidRPr="00B81DAD">
        <w:rPr>
          <w:b/>
          <w:szCs w:val="24"/>
        </w:rPr>
        <w:t>Problēmas</w:t>
      </w:r>
      <w:r w:rsidRPr="00B81DAD">
        <w:rPr>
          <w:szCs w:val="24"/>
        </w:rPr>
        <w:t xml:space="preserve">: (1) infrastruktūras projektu īstenošana bija pārāk birokrātiska valstī pārspīlēto prasību dēļ, (2) iepirkumu procedūra nodrošina lētākā piedāvājuma izvēli, bet nenodrošina kvalitāti, (3) nebija paredzēts finansējums projektu administrēšanai, (4) projekti tika sasteigti saspringto termiņu dēļ, (5) nosakot pieejamo finansējumu, institucionāli netika ņemta vērā spēja eksportēt izglītības pakalpojumus, bet tikai galvenā atrašanās vieta, pat ne studentu īpatsvars no reģioniem, un līdz ar to atsevišķos gadījumos tika noteikti mazi koeficienti, (6) iegādājamā aprīkojuma pārklāšanās kā problēma, jo </w:t>
      </w:r>
      <w:r w:rsidR="009D28A7" w:rsidRPr="00B81DAD">
        <w:rPr>
          <w:szCs w:val="24"/>
        </w:rPr>
        <w:t>augstākās izglītības</w:t>
      </w:r>
      <w:r w:rsidRPr="00B81DAD">
        <w:rPr>
          <w:szCs w:val="24"/>
        </w:rPr>
        <w:t xml:space="preserve"> infrastruktūrai netika veikta stratēģiju saskaņošana pa institūcijām. </w:t>
      </w:r>
    </w:p>
    <w:p w:rsidR="005948C2" w:rsidRPr="00B81DAD" w:rsidRDefault="005948C2" w:rsidP="00DD6A3D">
      <w:pPr>
        <w:ind w:firstLine="720"/>
        <w:rPr>
          <w:szCs w:val="24"/>
        </w:rPr>
      </w:pPr>
      <w:r w:rsidRPr="00B81DAD">
        <w:rPr>
          <w:b/>
          <w:szCs w:val="24"/>
        </w:rPr>
        <w:t>Priekšlikumi</w:t>
      </w:r>
      <w:r w:rsidRPr="00B81DAD">
        <w:rPr>
          <w:szCs w:val="24"/>
        </w:rPr>
        <w:t>: (1) attīstot Augstākās izglītības iestāžu infrastruktūru 2014.-2020. gadu periodā, absolūta prioritāte dodama projektiem ar pabeigtu tehniskā projekta fāzi, jo tas ne tikai samazina risku, bet arī demonstrē institūcijas nodomu nopietnību, (2) attīstīt pilna cikla modernas konkurētspējīgas studijas ar struktūrfondu atbalstu, jo 2007.</w:t>
      </w:r>
      <w:r w:rsidR="0053391E">
        <w:rPr>
          <w:szCs w:val="24"/>
        </w:rPr>
        <w:t>-</w:t>
      </w:r>
      <w:r w:rsidRPr="00B81DAD">
        <w:rPr>
          <w:szCs w:val="24"/>
        </w:rPr>
        <w:t xml:space="preserve">2013. gadu periodā nav modernizētas visas prioritāras studiju programmas, (3) veikt valstī izveidoto </w:t>
      </w:r>
      <w:r w:rsidR="009D28A7" w:rsidRPr="00B81DAD">
        <w:rPr>
          <w:szCs w:val="24"/>
        </w:rPr>
        <w:t xml:space="preserve">Valsts nozīmes pētniecības centru </w:t>
      </w:r>
      <w:r w:rsidR="00882813" w:rsidRPr="00B81DAD">
        <w:rPr>
          <w:szCs w:val="24"/>
        </w:rPr>
        <w:t xml:space="preserve">(turpmāk - VNPC) </w:t>
      </w:r>
      <w:r w:rsidRPr="00B81DAD">
        <w:rPr>
          <w:szCs w:val="24"/>
        </w:rPr>
        <w:t>izvērtējumu, (4) projektu ieviešanas prasības valstī noteikt, pārņemot labo praksi no 7.Ietvara programmas projektu ieviešanas, (5) nodrošināt, lai ar katru projektu</w:t>
      </w:r>
      <w:r w:rsidRPr="00B81DAD">
        <w:rPr>
          <w:szCs w:val="24"/>
          <w:lang w:eastAsia="lv-LV"/>
        </w:rPr>
        <w:t xml:space="preserve"> strādā </w:t>
      </w:r>
      <w:r w:rsidR="00042BB8">
        <w:rPr>
          <w:szCs w:val="24"/>
          <w:lang w:eastAsia="lv-LV"/>
        </w:rPr>
        <w:t xml:space="preserve">viens un tas pats </w:t>
      </w:r>
      <w:r w:rsidRPr="00B81DAD">
        <w:rPr>
          <w:szCs w:val="24"/>
          <w:lang w:eastAsia="lv-LV"/>
        </w:rPr>
        <w:t>cilvēks, kurš uzrauga arī projekta saturisko kvalitāti</w:t>
      </w:r>
      <w:r w:rsidRPr="00B81DAD">
        <w:rPr>
          <w:szCs w:val="24"/>
        </w:rPr>
        <w:t>, (6) paredzēt finansējumu projekta administrēšanai, (6) izstrādāt VNPC pārvaldības modeli, nodrošinot iegādātās aparatūras pieejamību.</w:t>
      </w:r>
    </w:p>
    <w:p w:rsidR="009E32ED" w:rsidRPr="00B81DAD" w:rsidRDefault="009E32ED" w:rsidP="00DD6A3D">
      <w:pPr>
        <w:ind w:firstLine="720"/>
        <w:rPr>
          <w:szCs w:val="24"/>
        </w:rPr>
      </w:pPr>
      <w:r w:rsidRPr="00B81DAD">
        <w:rPr>
          <w:szCs w:val="24"/>
        </w:rPr>
        <w:t>D</w:t>
      </w:r>
      <w:r w:rsidR="005948C2" w:rsidRPr="00B81DAD">
        <w:rPr>
          <w:szCs w:val="24"/>
        </w:rPr>
        <w:t xml:space="preserve">iskusijās tika </w:t>
      </w:r>
      <w:r w:rsidRPr="00B81DAD">
        <w:rPr>
          <w:szCs w:val="24"/>
        </w:rPr>
        <w:t>iezīmēt</w:t>
      </w:r>
      <w:r w:rsidR="00A1442A" w:rsidRPr="00B81DAD">
        <w:rPr>
          <w:szCs w:val="24"/>
        </w:rPr>
        <w:t>i</w:t>
      </w:r>
      <w:r w:rsidR="00D44B9E" w:rsidRPr="00B81DAD">
        <w:rPr>
          <w:szCs w:val="24"/>
        </w:rPr>
        <w:t xml:space="preserve"> arī šād</w:t>
      </w:r>
      <w:r w:rsidR="00A1442A" w:rsidRPr="00B81DAD">
        <w:rPr>
          <w:szCs w:val="24"/>
        </w:rPr>
        <w:t>i</w:t>
      </w:r>
      <w:r w:rsidR="00D44B9E" w:rsidRPr="00B81DAD">
        <w:rPr>
          <w:szCs w:val="24"/>
        </w:rPr>
        <w:t xml:space="preserve"> problēm</w:t>
      </w:r>
      <w:r w:rsidR="00A1442A" w:rsidRPr="00B81DAD">
        <w:rPr>
          <w:szCs w:val="24"/>
        </w:rPr>
        <w:t>jautājumi</w:t>
      </w:r>
      <w:r w:rsidRPr="00B81DAD">
        <w:rPr>
          <w:szCs w:val="24"/>
        </w:rPr>
        <w:t xml:space="preserve"> saistībā ar augstākās izglītības iestāžu infrastruktūru:</w:t>
      </w:r>
    </w:p>
    <w:p w:rsidR="009E32ED" w:rsidRPr="00B81DAD" w:rsidRDefault="009E32ED" w:rsidP="00722156">
      <w:pPr>
        <w:pStyle w:val="ListParagraph"/>
        <w:numPr>
          <w:ilvl w:val="0"/>
          <w:numId w:val="12"/>
        </w:numPr>
        <w:ind w:left="714" w:hanging="357"/>
        <w:rPr>
          <w:szCs w:val="24"/>
        </w:rPr>
      </w:pPr>
      <w:r w:rsidRPr="00B81DAD">
        <w:rPr>
          <w:szCs w:val="24"/>
        </w:rPr>
        <w:t>K</w:t>
      </w:r>
      <w:r w:rsidR="00D44B9E" w:rsidRPr="00B81DAD">
        <w:rPr>
          <w:szCs w:val="24"/>
        </w:rPr>
        <w:t>oledžu un augstskolu, kuru studiju programmas nav prioritāro nozaru vidū, infrastruktūra ir novecojusi, nepieciešams plānot infrastruktūras un moderna aprīkojuma iegādi sadarbībā ar nozares uzņēmējiem</w:t>
      </w:r>
      <w:r w:rsidRPr="00B81DAD">
        <w:rPr>
          <w:szCs w:val="24"/>
        </w:rPr>
        <w:t>;</w:t>
      </w:r>
    </w:p>
    <w:p w:rsidR="005948C2" w:rsidRPr="00B81DAD" w:rsidRDefault="009E32ED" w:rsidP="00722156">
      <w:pPr>
        <w:pStyle w:val="ListParagraph"/>
        <w:numPr>
          <w:ilvl w:val="0"/>
          <w:numId w:val="12"/>
        </w:numPr>
        <w:ind w:left="714" w:hanging="357"/>
        <w:rPr>
          <w:szCs w:val="24"/>
        </w:rPr>
      </w:pPr>
      <w:r w:rsidRPr="00B81DAD">
        <w:rPr>
          <w:szCs w:val="24"/>
        </w:rPr>
        <w:t>Augstākās izglītības iestādēm trūkst finansējuma iegādātās, kopīgi izmantojamās aparatūras uzturēšanai. Priekšlikums augstākās izglītības iestādēm aktualizēt sadarbības stratēģijas infrastruktūras izmantošanai un sadarbībai ar uzņēmējiem.</w:t>
      </w:r>
    </w:p>
    <w:p w:rsidR="00A1442A" w:rsidRPr="00B81DAD" w:rsidRDefault="00A1442A" w:rsidP="00722156">
      <w:pPr>
        <w:pStyle w:val="ListParagraph"/>
        <w:numPr>
          <w:ilvl w:val="0"/>
          <w:numId w:val="12"/>
        </w:numPr>
        <w:ind w:left="714" w:hanging="357"/>
        <w:rPr>
          <w:szCs w:val="24"/>
        </w:rPr>
      </w:pPr>
      <w:r w:rsidRPr="00B81DAD">
        <w:rPr>
          <w:szCs w:val="24"/>
        </w:rPr>
        <w:t xml:space="preserve">Atbalstu nepieciešams plānot kopīgiem infrastruktūras objektiem, kam ir pieprasījums no tautsaimniecības puses un kur ir pietiekami liels studentu skaits. Šādus atvērta tipa infrastruktūras objektus var izmantot citas </w:t>
      </w:r>
      <w:r w:rsidR="00882813" w:rsidRPr="00B81DAD">
        <w:rPr>
          <w:szCs w:val="24"/>
        </w:rPr>
        <w:t>augstākās izglītības</w:t>
      </w:r>
      <w:r w:rsidRPr="00B81DAD">
        <w:rPr>
          <w:szCs w:val="24"/>
        </w:rPr>
        <w:t xml:space="preserve"> iestādes un uzņēmēji. Finansējums būtu nepieciešams arī uzturēšanai, izmantošanas izmaksām (darba grupas viedo materiālu, tehnoloģiju un </w:t>
      </w:r>
      <w:proofErr w:type="spellStart"/>
      <w:r w:rsidRPr="00B81DAD">
        <w:rPr>
          <w:szCs w:val="24"/>
        </w:rPr>
        <w:t>inženiersistēmu</w:t>
      </w:r>
      <w:proofErr w:type="spellEnd"/>
      <w:r w:rsidRPr="00B81DAD">
        <w:rPr>
          <w:szCs w:val="24"/>
        </w:rPr>
        <w:t xml:space="preserve"> jomā priekšlikums).</w:t>
      </w:r>
    </w:p>
    <w:p w:rsidR="009E32ED" w:rsidRPr="00B81DAD" w:rsidRDefault="009E32ED" w:rsidP="005F78DE">
      <w:pPr>
        <w:ind w:firstLine="720"/>
        <w:rPr>
          <w:szCs w:val="24"/>
        </w:rPr>
      </w:pPr>
      <w:r w:rsidRPr="00B81DAD">
        <w:rPr>
          <w:szCs w:val="24"/>
        </w:rPr>
        <w:t>Ne visi no diskusijās izteiktajiem priekšlikumiem un problēmām būtu attiecināmi uz koledžu infrastruktūru, tomēr daudzi no izteiktajiem priekšlikumiem būtu vērā ņemami.</w:t>
      </w:r>
    </w:p>
    <w:p w:rsidR="00B81DAD" w:rsidRPr="00100F93" w:rsidRDefault="001350B8" w:rsidP="005F78DE">
      <w:pPr>
        <w:ind w:firstLine="720"/>
        <w:rPr>
          <w:szCs w:val="24"/>
        </w:rPr>
      </w:pPr>
      <w:r w:rsidRPr="001350B8">
        <w:rPr>
          <w:szCs w:val="24"/>
        </w:rPr>
        <w:lastRenderedPageBreak/>
        <w:t xml:space="preserve">Apkopojot sākotnējā novērtējuma 2.sadaļā un iepriekš minētajās publiskajās diskusijās izteiktos secinājumus, kā </w:t>
      </w:r>
      <w:r w:rsidRPr="001350B8">
        <w:rPr>
          <w:b/>
          <w:szCs w:val="24"/>
        </w:rPr>
        <w:t>pozitīvo pieredzi</w:t>
      </w:r>
      <w:r w:rsidRPr="001350B8">
        <w:rPr>
          <w:szCs w:val="24"/>
        </w:rPr>
        <w:t xml:space="preserve"> varam minēt:</w:t>
      </w:r>
    </w:p>
    <w:p w:rsidR="00B81DAD" w:rsidRPr="00100F93" w:rsidRDefault="001350B8" w:rsidP="00722156">
      <w:pPr>
        <w:pStyle w:val="ListParagraph"/>
        <w:numPr>
          <w:ilvl w:val="0"/>
          <w:numId w:val="17"/>
        </w:numPr>
        <w:rPr>
          <w:szCs w:val="24"/>
        </w:rPr>
      </w:pPr>
      <w:r w:rsidRPr="001350B8">
        <w:rPr>
          <w:szCs w:val="24"/>
        </w:rPr>
        <w:t>ierobežota projektu iesniegumu atlase (turpmāk - IPIA).</w:t>
      </w:r>
      <w:r w:rsidRPr="001350B8">
        <w:rPr>
          <w:rStyle w:val="Heading1Char"/>
          <w:color w:val="auto"/>
          <w:sz w:val="24"/>
          <w:szCs w:val="24"/>
        </w:rPr>
        <w:t xml:space="preserve"> </w:t>
      </w:r>
      <w:r w:rsidRPr="001350B8">
        <w:rPr>
          <w:rStyle w:val="Heading1Char"/>
          <w:b w:val="0"/>
          <w:color w:val="auto"/>
          <w:sz w:val="24"/>
          <w:szCs w:val="24"/>
        </w:rPr>
        <w:t>IPIA ietvaros</w:t>
      </w:r>
      <w:r w:rsidRPr="001350B8">
        <w:rPr>
          <w:szCs w:val="24"/>
        </w:rPr>
        <w:t xml:space="preserve"> bija iepriekš zināms noteikts projektu iesniedzēju loks, t.i., koledžas, kuras uzaicināja iesniegt projektu iesniegumus. IPIA gadījumā tika apstiprināti un finansēti visi projektu iesniegumi, kuri atbilda projektu iesniegumu vērtēšanas kritērijiem.</w:t>
      </w:r>
      <w:r w:rsidRPr="001350B8">
        <w:rPr>
          <w:rFonts w:eastAsia="Calibri"/>
          <w:szCs w:val="24"/>
        </w:rPr>
        <w:t xml:space="preserve"> Netiek patērēti lieki resursi projektu iesniegumu vērtēšanas procesam</w:t>
      </w:r>
      <w:r w:rsidRPr="001350B8">
        <w:rPr>
          <w:szCs w:val="24"/>
        </w:rPr>
        <w:t>;</w:t>
      </w:r>
    </w:p>
    <w:p w:rsidR="00B81DAD" w:rsidRPr="00100F93" w:rsidRDefault="001350B8" w:rsidP="00722156">
      <w:pPr>
        <w:pStyle w:val="ListParagraph"/>
        <w:numPr>
          <w:ilvl w:val="0"/>
          <w:numId w:val="17"/>
        </w:numPr>
        <w:rPr>
          <w:szCs w:val="24"/>
        </w:rPr>
      </w:pPr>
      <w:r w:rsidRPr="001350B8">
        <w:t xml:space="preserve">augstākās izglītības institūcijas darbības un attīstības ilgtermiņa stratēģiju izstrāde. </w:t>
      </w:r>
      <w:r w:rsidRPr="001350B8">
        <w:rPr>
          <w:szCs w:val="24"/>
        </w:rPr>
        <w:t>Ar projektu iesniegumu vērtēšanas kritērijiem tika izvirzīts nosacījums, ka plānotajam ERAF ieguldījumam augstākās izglītības institūcijas infrastruktūras modernizācijā jāatbilst izstrādātajai augstākās izglītības institūcijas darbības un attīstības ilgtermiņa stratēģijai 2009.–2015.gadam;</w:t>
      </w:r>
    </w:p>
    <w:p w:rsidR="009A5F98" w:rsidRPr="00100F93" w:rsidRDefault="001350B8" w:rsidP="00722156">
      <w:pPr>
        <w:pStyle w:val="ListParagraph"/>
        <w:numPr>
          <w:ilvl w:val="0"/>
          <w:numId w:val="17"/>
        </w:numPr>
        <w:ind w:left="714" w:hanging="357"/>
        <w:rPr>
          <w:szCs w:val="24"/>
        </w:rPr>
      </w:pPr>
      <w:r w:rsidRPr="001350B8">
        <w:rPr>
          <w:szCs w:val="24"/>
        </w:rPr>
        <w:t>jāvērtē projektā plānoto aktivitāšu gatavība uzsākšanai. Priekšroka dodama projektiem ar augstu gatavības pakāpi, kā minimālo prasību nosakot vismaz vidēju gatavību;</w:t>
      </w:r>
    </w:p>
    <w:p w:rsidR="004147B6" w:rsidRPr="00100F93" w:rsidRDefault="001350B8" w:rsidP="00722156">
      <w:pPr>
        <w:pStyle w:val="ListParagraph"/>
        <w:numPr>
          <w:ilvl w:val="0"/>
          <w:numId w:val="17"/>
        </w:numPr>
        <w:ind w:left="714" w:hanging="357"/>
        <w:rPr>
          <w:szCs w:val="24"/>
        </w:rPr>
      </w:pPr>
      <w:r w:rsidRPr="001350B8">
        <w:rPr>
          <w:szCs w:val="24"/>
        </w:rPr>
        <w:t xml:space="preserve">izmaksu </w:t>
      </w:r>
      <w:proofErr w:type="spellStart"/>
      <w:r w:rsidRPr="001350B8">
        <w:rPr>
          <w:szCs w:val="24"/>
        </w:rPr>
        <w:t>attiecināmība</w:t>
      </w:r>
      <w:proofErr w:type="spellEnd"/>
      <w:r w:rsidRPr="001350B8">
        <w:rPr>
          <w:szCs w:val="24"/>
        </w:rPr>
        <w:t xml:space="preserve"> jau pirms vienošanās vai līguma par projekta īstenošanu noslēgšanas;</w:t>
      </w:r>
    </w:p>
    <w:p w:rsidR="00D42345" w:rsidRPr="00100F93" w:rsidRDefault="001350B8" w:rsidP="00722156">
      <w:pPr>
        <w:pStyle w:val="ListParagraph"/>
        <w:numPr>
          <w:ilvl w:val="0"/>
          <w:numId w:val="17"/>
        </w:numPr>
        <w:ind w:left="714" w:hanging="357"/>
        <w:rPr>
          <w:szCs w:val="24"/>
        </w:rPr>
      </w:pPr>
      <w:r w:rsidRPr="001350B8">
        <w:rPr>
          <w:szCs w:val="24"/>
        </w:rPr>
        <w:t>ERAF ieguldījumi ir sekmējuši studējošo skaita pieaugumu STEM studiju programmās;</w:t>
      </w:r>
    </w:p>
    <w:p w:rsidR="0001165D" w:rsidRPr="00100F93" w:rsidRDefault="001350B8" w:rsidP="00722156">
      <w:pPr>
        <w:pStyle w:val="ListParagraph"/>
        <w:numPr>
          <w:ilvl w:val="0"/>
          <w:numId w:val="17"/>
        </w:numPr>
        <w:ind w:left="714" w:hanging="357"/>
        <w:rPr>
          <w:szCs w:val="24"/>
        </w:rPr>
      </w:pPr>
      <w:r w:rsidRPr="001350B8">
        <w:rPr>
          <w:szCs w:val="24"/>
        </w:rPr>
        <w:t xml:space="preserve">ERAF ieguldījumi ir sekmējuši koledžu izglītības piedāvājuma palielinājumu STEM </w:t>
      </w:r>
      <w:r w:rsidR="00480C65">
        <w:rPr>
          <w:szCs w:val="24"/>
        </w:rPr>
        <w:t>virzienos.</w:t>
      </w:r>
      <w:r w:rsidRPr="001350B8">
        <w:rPr>
          <w:szCs w:val="24"/>
        </w:rPr>
        <w:t xml:space="preserve"> </w:t>
      </w:r>
    </w:p>
    <w:p w:rsidR="0001165D" w:rsidRPr="00100F93" w:rsidRDefault="0001165D" w:rsidP="0001165D">
      <w:pPr>
        <w:pStyle w:val="ListParagraph"/>
        <w:ind w:left="714"/>
        <w:rPr>
          <w:szCs w:val="24"/>
        </w:rPr>
      </w:pPr>
    </w:p>
    <w:p w:rsidR="0013295D" w:rsidRPr="00100F93" w:rsidRDefault="001350B8" w:rsidP="0013295D">
      <w:pPr>
        <w:ind w:firstLine="720"/>
        <w:rPr>
          <w:szCs w:val="24"/>
        </w:rPr>
      </w:pPr>
      <w:r w:rsidRPr="001350B8">
        <w:rPr>
          <w:szCs w:val="24"/>
        </w:rPr>
        <w:t xml:space="preserve">Attiecībā uz koledžu infrastruktūras attīstības iespējām 3.1.2.1.1.apakšaktivitātes ietvaros </w:t>
      </w:r>
      <w:r w:rsidRPr="001350B8">
        <w:rPr>
          <w:b/>
          <w:szCs w:val="24"/>
        </w:rPr>
        <w:t>negatīvi</w:t>
      </w:r>
      <w:r w:rsidRPr="001350B8">
        <w:rPr>
          <w:szCs w:val="24"/>
        </w:rPr>
        <w:t xml:space="preserve"> vērtējams tas, ka tika noteikti vienādi nosacījumi gan augstskolām, gan koledžām, tādējādi radot situāciju, ka koledžām savstarpēji jākonkurē arī ar lielajām augstskolām. Atšķirī</w:t>
      </w:r>
      <w:r w:rsidR="00100F93">
        <w:rPr>
          <w:szCs w:val="24"/>
        </w:rPr>
        <w:t>bā no augstskolām</w:t>
      </w:r>
      <w:r w:rsidRPr="001350B8">
        <w:rPr>
          <w:szCs w:val="24"/>
        </w:rPr>
        <w:t xml:space="preserve"> koledžām ir vāji attīstīta zinātniskā darbība, vāja starptautiskā sadarbība un maz akadēmiskā personāla ar doktora grādu. Rezultātā koledžas saņēma mazāku finansējumu, kā arī atsevišķas koledžas nevarēja īstenot projektu, jo neatbilda nosacījumam par projekta minimālo attiecināmo izmaksu summu atbilstoši pieejamā finansējuma aprēķina formulai.</w:t>
      </w:r>
      <w:r w:rsidRPr="001350B8">
        <w:rPr>
          <w:rFonts w:eastAsia="Calibri"/>
          <w:szCs w:val="22"/>
        </w:rPr>
        <w:t xml:space="preserve"> </w:t>
      </w:r>
    </w:p>
    <w:p w:rsidR="0013747D" w:rsidRPr="00100F93" w:rsidRDefault="001350B8" w:rsidP="00770D5E">
      <w:pPr>
        <w:ind w:firstLine="720"/>
        <w:rPr>
          <w:szCs w:val="24"/>
        </w:rPr>
      </w:pPr>
      <w:r w:rsidRPr="001350B8">
        <w:rPr>
          <w:szCs w:val="24"/>
        </w:rPr>
        <w:t>Tomēr kopumā 3.1.2.1.1.apakšaktivitātes īstenošana attiecībā uz koledžām noritēja saskaņā ar plānoto, bet ir vairāki faktori, kas ietekmējuši finanšu apguvi tajā, piemēram:</w:t>
      </w:r>
    </w:p>
    <w:p w:rsidR="0013747D" w:rsidRPr="00100F93" w:rsidRDefault="001350B8" w:rsidP="00722156">
      <w:pPr>
        <w:numPr>
          <w:ilvl w:val="0"/>
          <w:numId w:val="18"/>
        </w:numPr>
        <w:ind w:left="714" w:hanging="357"/>
        <w:rPr>
          <w:szCs w:val="24"/>
        </w:rPr>
      </w:pPr>
      <w:r w:rsidRPr="001350B8">
        <w:rPr>
          <w:szCs w:val="24"/>
        </w:rPr>
        <w:t xml:space="preserve">salīdzinoši zemā projektu gatavības pakāpe. Nepietiekamā dokumentu sagatavošanas kvalitāte un nepārdomātas izmaksas rada situācijas, kad dokumentu izskatīšana, saskaņošana aizkavējas un attiecīgi nav iespējama lēmuma pieņemšana par projektu apstiprināšanu vai noraidīšanu, līgumu slēgšana un projektu īstenošanas uzsākšana. Steigā sagatavotu projektu īstenošanā vēlāk rodas sarežģījumi un būtiski aizkavējas to ieviešana. </w:t>
      </w:r>
      <w:r w:rsidRPr="001350B8">
        <w:rPr>
          <w:szCs w:val="24"/>
          <w:lang w:eastAsia="lv-LV"/>
        </w:rPr>
        <w:t>Lai projektiem būtu augsta gatavība uzsākšanai, ir jāizstrādā būvdarbu tehniskais projekts un jāsagatavo tehniskā dokumentācija aprīkojuma iepirkumam, bet tas projekta iesniedzējam prasa sākotnējos ieguldījumus, kas ir jāsedz no saviem līdzekļiem, taču vairumā gadījumu brīvu finanšu lī</w:t>
      </w:r>
      <w:r w:rsidR="00846D31">
        <w:rPr>
          <w:szCs w:val="24"/>
          <w:lang w:eastAsia="lv-LV"/>
        </w:rPr>
        <w:t>dzekļu esamība ir problēma;</w:t>
      </w:r>
    </w:p>
    <w:p w:rsidR="0013747D" w:rsidRPr="00100F93" w:rsidRDefault="001350B8" w:rsidP="00722156">
      <w:pPr>
        <w:numPr>
          <w:ilvl w:val="0"/>
          <w:numId w:val="18"/>
        </w:numPr>
        <w:ind w:left="714" w:hanging="357"/>
        <w:rPr>
          <w:szCs w:val="24"/>
        </w:rPr>
      </w:pPr>
      <w:r w:rsidRPr="001350B8">
        <w:rPr>
          <w:szCs w:val="24"/>
        </w:rPr>
        <w:t>nepareiza apjomīgo iepirkumu plānošana, līdz ar to iepirkumu procedūru norisei tiek patērēts ilgāks lai</w:t>
      </w:r>
      <w:r w:rsidR="00846D31">
        <w:rPr>
          <w:szCs w:val="24"/>
        </w:rPr>
        <w:t>ks, nekā sākotnēji tika plānots;</w:t>
      </w:r>
    </w:p>
    <w:p w:rsidR="00053AF8" w:rsidRPr="00100F93" w:rsidRDefault="001350B8" w:rsidP="00722156">
      <w:pPr>
        <w:numPr>
          <w:ilvl w:val="0"/>
          <w:numId w:val="18"/>
        </w:numPr>
        <w:ind w:left="714" w:hanging="357"/>
        <w:rPr>
          <w:szCs w:val="24"/>
        </w:rPr>
      </w:pPr>
      <w:r w:rsidRPr="001350B8">
        <w:rPr>
          <w:szCs w:val="24"/>
        </w:rPr>
        <w:t>iepirkuma procedūras beidzas bez rezultātiem, jo iesniegti piedāvājumi par lielāku finansējumu, nekā projekta līdzekļi atļauj</w:t>
      </w:r>
      <w:r w:rsidR="00846D31">
        <w:rPr>
          <w:szCs w:val="24"/>
        </w:rPr>
        <w:t>;</w:t>
      </w:r>
      <w:r w:rsidRPr="001350B8">
        <w:rPr>
          <w:szCs w:val="24"/>
        </w:rPr>
        <w:t xml:space="preserve"> </w:t>
      </w:r>
    </w:p>
    <w:p w:rsidR="0013747D" w:rsidRPr="00100F93" w:rsidRDefault="001350B8" w:rsidP="00722156">
      <w:pPr>
        <w:numPr>
          <w:ilvl w:val="0"/>
          <w:numId w:val="18"/>
        </w:numPr>
        <w:ind w:left="714" w:hanging="357"/>
        <w:rPr>
          <w:szCs w:val="24"/>
        </w:rPr>
      </w:pPr>
      <w:r w:rsidRPr="001350B8">
        <w:rPr>
          <w:szCs w:val="24"/>
        </w:rPr>
        <w:t xml:space="preserve">būvniecības pakalpojumu kvalitāte; </w:t>
      </w:r>
    </w:p>
    <w:p w:rsidR="0013747D" w:rsidRPr="00100F93" w:rsidRDefault="001350B8" w:rsidP="00722156">
      <w:pPr>
        <w:numPr>
          <w:ilvl w:val="0"/>
          <w:numId w:val="18"/>
        </w:numPr>
        <w:ind w:left="714" w:hanging="357"/>
        <w:rPr>
          <w:szCs w:val="24"/>
        </w:rPr>
      </w:pPr>
      <w:r w:rsidRPr="001350B8">
        <w:rPr>
          <w:szCs w:val="24"/>
        </w:rPr>
        <w:t>kompetenta projekta vadības personāla trūkums. Jaunie darbinieki nav pieredzējuši projektu vadībā, nav pietiekami kvalificēti un to izaugsmei un apmācībai ir nepieciešams papildu laiks</w:t>
      </w:r>
      <w:r w:rsidR="00846D31">
        <w:rPr>
          <w:szCs w:val="24"/>
        </w:rPr>
        <w:t>;</w:t>
      </w:r>
    </w:p>
    <w:p w:rsidR="0013747D" w:rsidRPr="00100F93" w:rsidRDefault="001350B8" w:rsidP="00722156">
      <w:pPr>
        <w:numPr>
          <w:ilvl w:val="0"/>
          <w:numId w:val="18"/>
        </w:numPr>
        <w:ind w:left="714" w:hanging="357"/>
        <w:rPr>
          <w:szCs w:val="24"/>
        </w:rPr>
      </w:pPr>
      <w:r w:rsidRPr="001350B8">
        <w:rPr>
          <w:szCs w:val="24"/>
        </w:rPr>
        <w:t xml:space="preserve">izmaksu pieaugums (sadārdzinājums). Galvenā problēma ir straujais būvdarbu izmaksu pieaugums, kas kavē projektu īstenošanu. Jāatzīmē, ka daļa no finansējuma saņēmējiem nav pilnībā iepazinušies ar līguma nosacījumiem, kas apdraud sekmīgu projekta īstenošanu, t.i., precīzi neievēro Publisko iepirkumu likumu, neprecīzi </w:t>
      </w:r>
      <w:r w:rsidRPr="001350B8">
        <w:rPr>
          <w:szCs w:val="24"/>
        </w:rPr>
        <w:lastRenderedPageBreak/>
        <w:t xml:space="preserve">sagatavotas atskaites, nepilnīgi tehniskie projekti un nepilnīgi ievēroti būvniecību reglamentējošo normatīvi aktu prasības, kas pie objektu nodošanas ekspluatācijā var radīt problēmas. </w:t>
      </w:r>
    </w:p>
    <w:p w:rsidR="006A4308" w:rsidRPr="00100F93" w:rsidRDefault="006A4308" w:rsidP="00770D5E">
      <w:pPr>
        <w:ind w:firstLine="720"/>
        <w:rPr>
          <w:rFonts w:eastAsia="Calibri"/>
          <w:szCs w:val="22"/>
        </w:rPr>
      </w:pPr>
    </w:p>
    <w:p w:rsidR="00770D5E" w:rsidRDefault="001350B8" w:rsidP="00770D5E">
      <w:pPr>
        <w:ind w:firstLine="720"/>
        <w:rPr>
          <w:szCs w:val="24"/>
          <w:lang w:eastAsia="lv-LV"/>
        </w:rPr>
      </w:pPr>
      <w:r w:rsidRPr="001350B8">
        <w:rPr>
          <w:rFonts w:eastAsia="Calibri"/>
          <w:szCs w:val="22"/>
        </w:rPr>
        <w:t xml:space="preserve">No 2007.-2013.gada plānošanas perioda secināms, ka </w:t>
      </w:r>
      <w:r w:rsidRPr="001350B8">
        <w:rPr>
          <w:szCs w:val="24"/>
          <w:lang w:eastAsia="lv-LV"/>
        </w:rPr>
        <w:t>3.1.2.1.1.apakšaktivitātes ietvaros pieejamais finansējums nebija pietiekams, lai nosegtu visas koledžu vajadzības prioritāro studiju programmu attīstībai.</w:t>
      </w:r>
    </w:p>
    <w:p w:rsidR="006329B8" w:rsidRDefault="006329B8" w:rsidP="00770D5E">
      <w:pPr>
        <w:ind w:firstLine="720"/>
        <w:rPr>
          <w:szCs w:val="24"/>
          <w:lang w:eastAsia="lv-LV"/>
        </w:rPr>
      </w:pPr>
    </w:p>
    <w:p w:rsidR="006329B8" w:rsidRPr="00100F93" w:rsidRDefault="006329B8" w:rsidP="006329B8">
      <w:pPr>
        <w:ind w:firstLine="720"/>
        <w:rPr>
          <w:rFonts w:eastAsia="Calibri"/>
          <w:szCs w:val="22"/>
        </w:rPr>
      </w:pPr>
      <w:r>
        <w:rPr>
          <w:rFonts w:eastAsia="Calibri"/>
          <w:szCs w:val="22"/>
        </w:rPr>
        <w:t xml:space="preserve">2014.-2020.gada plānošanas periodā papildus iepriekšējam plānošanas periodam nepieciešams paredzēt </w:t>
      </w:r>
      <w:r>
        <w:rPr>
          <w:szCs w:val="24"/>
        </w:rPr>
        <w:t xml:space="preserve">plānoto ieguldīju sasaisti ar </w:t>
      </w:r>
      <w:r>
        <w:rPr>
          <w:szCs w:val="24"/>
          <w:bdr w:val="none" w:sz="0" w:space="0" w:color="auto" w:frame="1"/>
          <w:lang w:eastAsia="lv-LV"/>
        </w:rPr>
        <w:t>Latvijas Viedās specializācijas stratēģij</w:t>
      </w:r>
      <w:r w:rsidR="006B57BB">
        <w:rPr>
          <w:szCs w:val="24"/>
          <w:bdr w:val="none" w:sz="0" w:space="0" w:color="auto" w:frame="1"/>
          <w:lang w:eastAsia="lv-LV"/>
        </w:rPr>
        <w:t xml:space="preserve">ā noteiktajām izaugsmes </w:t>
      </w:r>
      <w:r w:rsidRPr="00DD2B0F">
        <w:rPr>
          <w:szCs w:val="24"/>
          <w:bdr w:val="none" w:sz="0" w:space="0" w:color="auto" w:frame="1"/>
          <w:lang w:eastAsia="lv-LV"/>
        </w:rPr>
        <w:t>prioritātēm</w:t>
      </w:r>
      <w:r>
        <w:rPr>
          <w:szCs w:val="24"/>
          <w:bdr w:val="none" w:sz="0" w:space="0" w:color="auto" w:frame="1"/>
          <w:lang w:eastAsia="lv-LV"/>
        </w:rPr>
        <w:t xml:space="preserve"> un </w:t>
      </w:r>
      <w:r w:rsidR="006B57BB">
        <w:rPr>
          <w:szCs w:val="24"/>
          <w:bdr w:val="none" w:sz="0" w:space="0" w:color="auto" w:frame="1"/>
          <w:lang w:eastAsia="lv-LV"/>
        </w:rPr>
        <w:t xml:space="preserve">viedās specializācijas jomām, kā arī </w:t>
      </w:r>
      <w:r>
        <w:rPr>
          <w:szCs w:val="24"/>
        </w:rPr>
        <w:t xml:space="preserve">ietekmi uz </w:t>
      </w:r>
      <w:proofErr w:type="spellStart"/>
      <w:r>
        <w:rPr>
          <w:szCs w:val="24"/>
        </w:rPr>
        <w:t>cilvēkkapitāla</w:t>
      </w:r>
      <w:proofErr w:type="spellEnd"/>
      <w:r>
        <w:rPr>
          <w:szCs w:val="24"/>
        </w:rPr>
        <w:t xml:space="preserve"> attīstību tautsaimniecības nozarēs, kurās vidējā termiņā un ilgtermiņā tiek prognozēts darbaspēka </w:t>
      </w:r>
      <w:r w:rsidR="006426A8">
        <w:rPr>
          <w:szCs w:val="24"/>
        </w:rPr>
        <w:t>ar pirmā līmeņa augstāko vai profesionālo vidējo izglītību iztrūkums.</w:t>
      </w:r>
    </w:p>
    <w:p w:rsidR="006329B8" w:rsidRDefault="006329B8" w:rsidP="00770D5E">
      <w:pPr>
        <w:ind w:firstLine="720"/>
        <w:rPr>
          <w:szCs w:val="24"/>
          <w:lang w:eastAsia="lv-LV"/>
        </w:rPr>
      </w:pPr>
    </w:p>
    <w:p w:rsidR="002B567E" w:rsidRPr="00F010A1" w:rsidRDefault="002B567E" w:rsidP="00770D5E">
      <w:pPr>
        <w:ind w:firstLine="720"/>
        <w:rPr>
          <w:b/>
          <w:bCs/>
          <w:sz w:val="28"/>
          <w:szCs w:val="28"/>
        </w:rPr>
      </w:pPr>
      <w:r w:rsidRPr="00F010A1">
        <w:rPr>
          <w:rFonts w:eastAsia="Calibri"/>
          <w:szCs w:val="22"/>
        </w:rPr>
        <w:br w:type="page"/>
      </w:r>
    </w:p>
    <w:p w:rsidR="002B567E" w:rsidRPr="00F010A1" w:rsidRDefault="00A94D09" w:rsidP="00425757">
      <w:pPr>
        <w:pStyle w:val="Heading1"/>
        <w:ind w:left="610"/>
        <w:jc w:val="center"/>
      </w:pPr>
      <w:bookmarkStart w:id="38" w:name="_Toc445290205"/>
      <w:r>
        <w:lastRenderedPageBreak/>
        <w:t xml:space="preserve">4. </w:t>
      </w:r>
      <w:bookmarkStart w:id="39" w:name="_Toc385413138"/>
      <w:bookmarkStart w:id="40" w:name="_Toc409448077"/>
      <w:r w:rsidR="00CD47EC">
        <w:t>8.1.4.</w:t>
      </w:r>
      <w:r w:rsidR="00100F93">
        <w:t>SAM</w:t>
      </w:r>
      <w:r w:rsidR="00100F93" w:rsidRPr="00F010A1">
        <w:t xml:space="preserve"> </w:t>
      </w:r>
      <w:r w:rsidR="002B567E" w:rsidRPr="00F010A1">
        <w:t>ieviešanas mehānisma apraksts</w:t>
      </w:r>
      <w:bookmarkEnd w:id="38"/>
      <w:bookmarkEnd w:id="39"/>
      <w:bookmarkEnd w:id="40"/>
    </w:p>
    <w:p w:rsidR="00C82DB0" w:rsidRDefault="00C82DB0" w:rsidP="00425757">
      <w:pPr>
        <w:pStyle w:val="Default"/>
        <w:ind w:firstLine="567"/>
        <w:jc w:val="center"/>
      </w:pPr>
    </w:p>
    <w:p w:rsidR="001064B3" w:rsidRDefault="001064B3" w:rsidP="00425757">
      <w:pPr>
        <w:pStyle w:val="Heading2"/>
      </w:pPr>
      <w:bookmarkStart w:id="41" w:name="_Toc445290206"/>
      <w:r>
        <w:t>4.1. 8.1.4.SAM vispārīgs apraksts</w:t>
      </w:r>
      <w:bookmarkEnd w:id="41"/>
    </w:p>
    <w:p w:rsidR="001064B3" w:rsidRDefault="001064B3" w:rsidP="00425757">
      <w:pPr>
        <w:pStyle w:val="Default"/>
        <w:ind w:firstLine="567"/>
        <w:jc w:val="center"/>
      </w:pPr>
    </w:p>
    <w:p w:rsidR="00343DEE" w:rsidRDefault="00B01119" w:rsidP="00C03727">
      <w:pPr>
        <w:pStyle w:val="Default"/>
        <w:ind w:firstLine="720"/>
        <w:jc w:val="both"/>
      </w:pPr>
      <w:r w:rsidRPr="00F4731B">
        <w:t xml:space="preserve">Ņemot vērā tautsaimniecības vajadzības un darba tirgus vidēja un ilgtermiņa prognozes, kā arī līdzšinējos ieguldījumus koledžu studiju </w:t>
      </w:r>
      <w:r w:rsidR="003418A7" w:rsidRPr="00F4731B">
        <w:t>vides</w:t>
      </w:r>
      <w:r w:rsidRPr="00F4731B">
        <w:t xml:space="preserve"> attīstībā, īpaši stiprināmas</w:t>
      </w:r>
      <w:r w:rsidR="003418A7" w:rsidRPr="00F4731B">
        <w:t xml:space="preserve"> ir</w:t>
      </w:r>
      <w:r w:rsidRPr="00F4731B">
        <w:t xml:space="preserve"> koledžas, kas īsteno gan 1.līmeņa profesionālās augstākās izglītības </w:t>
      </w:r>
      <w:r w:rsidR="003418A7" w:rsidRPr="00F4731B">
        <w:t xml:space="preserve">studiju </w:t>
      </w:r>
      <w:r w:rsidRPr="00F4731B">
        <w:t xml:space="preserve">programmas, gan profesionālās vidējās izglītības </w:t>
      </w:r>
      <w:r w:rsidR="00A86486">
        <w:t xml:space="preserve">vai arodizglītības </w:t>
      </w:r>
      <w:r w:rsidRPr="00F4731B">
        <w:t xml:space="preserve">programmas, nodrošinot pēctecību starp izglītības pakāpēm. </w:t>
      </w:r>
    </w:p>
    <w:p w:rsidR="00D5797B" w:rsidRDefault="00567B0E" w:rsidP="00C03727">
      <w:pPr>
        <w:pStyle w:val="Default"/>
        <w:ind w:firstLine="720"/>
        <w:jc w:val="both"/>
        <w:rPr>
          <w:color w:val="auto"/>
        </w:rPr>
      </w:pPr>
      <w:r w:rsidRPr="005E1DF2">
        <w:rPr>
          <w:bCs/>
        </w:rPr>
        <w:t xml:space="preserve">Saskaņā ar DP </w:t>
      </w:r>
      <w:r w:rsidR="00210467" w:rsidRPr="005E1DF2">
        <w:rPr>
          <w:bCs/>
        </w:rPr>
        <w:t>8.1.4.</w:t>
      </w:r>
      <w:r w:rsidRPr="005E1DF2">
        <w:rPr>
          <w:bCs/>
        </w:rPr>
        <w:t xml:space="preserve"> </w:t>
      </w:r>
      <w:r w:rsidR="00100F93" w:rsidRPr="005E1DF2">
        <w:rPr>
          <w:bCs/>
        </w:rPr>
        <w:t>SAM</w:t>
      </w:r>
      <w:r w:rsidR="00100F93" w:rsidRPr="005E1DF2">
        <w:rPr>
          <w:b/>
          <w:bCs/>
        </w:rPr>
        <w:t xml:space="preserve"> </w:t>
      </w:r>
      <w:r w:rsidR="004069C2" w:rsidRPr="005E1DF2">
        <w:rPr>
          <w:b/>
          <w:bCs/>
        </w:rPr>
        <w:t>m</w:t>
      </w:r>
      <w:r w:rsidR="00ED32CE" w:rsidRPr="005E1DF2">
        <w:rPr>
          <w:b/>
          <w:color w:val="auto"/>
        </w:rPr>
        <w:t>ērķis</w:t>
      </w:r>
      <w:r w:rsidR="00ED32CE" w:rsidRPr="005E1DF2">
        <w:rPr>
          <w:color w:val="auto"/>
        </w:rPr>
        <w:t xml:space="preserve"> ir uzlabot </w:t>
      </w:r>
      <w:r w:rsidR="00D5797B" w:rsidRPr="005E1DF2">
        <w:t>pirmā līmeņa profesionālās augstākās izglītības STEM, ta</w:t>
      </w:r>
      <w:r w:rsidR="00F037A7">
        <w:t>jā</w:t>
      </w:r>
      <w:r w:rsidR="00D5797B" w:rsidRPr="005E1DF2">
        <w:t xml:space="preserve"> skaitā medicīnas un radošās industrijas, studiju mācību vidi koledžās</w:t>
      </w:r>
      <w:r w:rsidR="00ED32CE" w:rsidRPr="005E1DF2">
        <w:rPr>
          <w:color w:val="auto"/>
        </w:rPr>
        <w:t>.</w:t>
      </w:r>
    </w:p>
    <w:p w:rsidR="00017912" w:rsidRPr="00366E02" w:rsidRDefault="00017912" w:rsidP="00017912">
      <w:pPr>
        <w:pStyle w:val="Default"/>
        <w:ind w:firstLine="720"/>
        <w:jc w:val="both"/>
        <w:rPr>
          <w:b/>
        </w:rPr>
      </w:pPr>
      <w:r w:rsidRPr="00732DC0">
        <w:t>Koledžu infrastruktūras attīstības</w:t>
      </w:r>
      <w:r w:rsidRPr="00366E02">
        <w:rPr>
          <w:b/>
        </w:rPr>
        <w:t xml:space="preserve"> </w:t>
      </w:r>
      <w:r>
        <w:rPr>
          <w:b/>
        </w:rPr>
        <w:t>uzdevumi</w:t>
      </w:r>
      <w:r w:rsidRPr="00366E02">
        <w:rPr>
          <w:b/>
        </w:rPr>
        <w:t>:</w:t>
      </w:r>
    </w:p>
    <w:p w:rsidR="00017912" w:rsidRDefault="00017912" w:rsidP="00017912">
      <w:pPr>
        <w:pStyle w:val="Default"/>
        <w:numPr>
          <w:ilvl w:val="0"/>
          <w:numId w:val="46"/>
        </w:numPr>
        <w:jc w:val="both"/>
      </w:pPr>
      <w:r>
        <w:t>STEM studiju programmu modernizācijas pabeigšana;</w:t>
      </w:r>
    </w:p>
    <w:p w:rsidR="00017912" w:rsidRDefault="00017912" w:rsidP="00017912">
      <w:pPr>
        <w:pStyle w:val="Default"/>
        <w:numPr>
          <w:ilvl w:val="0"/>
          <w:numId w:val="46"/>
        </w:numPr>
        <w:jc w:val="both"/>
      </w:pPr>
      <w:r>
        <w:t xml:space="preserve">Nodrošināt Latvijas tautsaimniecības transformācijai nepieciešamo </w:t>
      </w:r>
      <w:proofErr w:type="spellStart"/>
      <w:r>
        <w:t>cilvēkkapitālu</w:t>
      </w:r>
      <w:proofErr w:type="spellEnd"/>
      <w:r w:rsidR="00970B22">
        <w:t>.</w:t>
      </w:r>
    </w:p>
    <w:p w:rsidR="008F32F4" w:rsidRDefault="008F32F4" w:rsidP="008F32F4">
      <w:pPr>
        <w:pStyle w:val="Default"/>
        <w:ind w:left="360"/>
        <w:jc w:val="both"/>
      </w:pPr>
    </w:p>
    <w:p w:rsidR="00567B0E" w:rsidRPr="00D5797B" w:rsidRDefault="00F4731B" w:rsidP="00C03727">
      <w:pPr>
        <w:pStyle w:val="Default"/>
        <w:ind w:firstLine="720"/>
        <w:jc w:val="both"/>
      </w:pPr>
      <w:r w:rsidRPr="00D5797B">
        <w:rPr>
          <w:b/>
          <w:bCs/>
        </w:rPr>
        <w:t>8.1.4.</w:t>
      </w:r>
      <w:r>
        <w:rPr>
          <w:b/>
          <w:bCs/>
        </w:rPr>
        <w:t xml:space="preserve"> </w:t>
      </w:r>
      <w:r w:rsidR="00100F93" w:rsidRPr="00D5797B">
        <w:rPr>
          <w:b/>
          <w:bCs/>
        </w:rPr>
        <w:t xml:space="preserve">SAM </w:t>
      </w:r>
      <w:r w:rsidR="00567B0E" w:rsidRPr="00D5797B">
        <w:rPr>
          <w:b/>
          <w:bCs/>
        </w:rPr>
        <w:t xml:space="preserve">indikatīvā mērķa grupa: </w:t>
      </w:r>
      <w:r w:rsidR="00567B0E" w:rsidRPr="00D5797B">
        <w:t xml:space="preserve">koledžas. </w:t>
      </w:r>
    </w:p>
    <w:p w:rsidR="00F037A7" w:rsidRDefault="00F4731B" w:rsidP="00C03727">
      <w:pPr>
        <w:pStyle w:val="Default"/>
        <w:ind w:firstLine="720"/>
        <w:jc w:val="both"/>
      </w:pPr>
      <w:r w:rsidRPr="00D5797B">
        <w:rPr>
          <w:b/>
          <w:bCs/>
        </w:rPr>
        <w:t>8.1.4.</w:t>
      </w:r>
      <w:r>
        <w:rPr>
          <w:b/>
          <w:bCs/>
        </w:rPr>
        <w:t xml:space="preserve"> </w:t>
      </w:r>
      <w:r w:rsidR="00100F93" w:rsidRPr="00D5797B">
        <w:rPr>
          <w:b/>
          <w:bCs/>
        </w:rPr>
        <w:t xml:space="preserve">SAM </w:t>
      </w:r>
      <w:r w:rsidR="00567B0E" w:rsidRPr="00D5797B">
        <w:rPr>
          <w:b/>
          <w:bCs/>
        </w:rPr>
        <w:t xml:space="preserve">indikatīvie finansējuma saņēmēji: </w:t>
      </w:r>
      <w:r w:rsidR="003508FF" w:rsidRPr="00D5797B">
        <w:rPr>
          <w:bCs/>
        </w:rPr>
        <w:t>k</w:t>
      </w:r>
      <w:r w:rsidR="003508FF" w:rsidRPr="00D5797B">
        <w:t>oledžas, kas īsteno STEM, t</w:t>
      </w:r>
      <w:r w:rsidR="005F78DE">
        <w:t>.</w:t>
      </w:r>
      <w:r w:rsidR="003508FF" w:rsidRPr="00D5797B">
        <w:t xml:space="preserve"> sk</w:t>
      </w:r>
      <w:r w:rsidR="005F78DE">
        <w:t>.</w:t>
      </w:r>
      <w:r w:rsidR="003508FF" w:rsidRPr="00D5797B">
        <w:t xml:space="preserve"> medicīnas un radošas industrijas, pirmā līmeņa profesionālās augstākās izglītības studiju programmas un profesionālās vidējās izglītības </w:t>
      </w:r>
      <w:r w:rsidR="00A86486">
        <w:t>vai</w:t>
      </w:r>
      <w:r w:rsidR="00917C42">
        <w:t xml:space="preserve"> arodizglītības </w:t>
      </w:r>
      <w:r w:rsidR="003508FF" w:rsidRPr="00D5797B">
        <w:t>programmas.</w:t>
      </w:r>
    </w:p>
    <w:p w:rsidR="00567B0E" w:rsidRPr="00D5797B" w:rsidRDefault="00F037A7" w:rsidP="00C03727">
      <w:pPr>
        <w:pStyle w:val="Default"/>
        <w:ind w:firstLine="720"/>
        <w:jc w:val="both"/>
      </w:pPr>
      <w:r w:rsidRPr="00F037A7">
        <w:rPr>
          <w:b/>
        </w:rPr>
        <w:t>Sadarbības partneri</w:t>
      </w:r>
      <w:r>
        <w:t xml:space="preserve"> netiek plānoti.</w:t>
      </w:r>
      <w:r w:rsidR="00567B0E" w:rsidRPr="00D5797B">
        <w:t xml:space="preserve"> </w:t>
      </w:r>
    </w:p>
    <w:p w:rsidR="00C03727" w:rsidRPr="00FF1232" w:rsidRDefault="00210467" w:rsidP="00FF1232">
      <w:pPr>
        <w:pStyle w:val="Default"/>
        <w:ind w:firstLine="720"/>
        <w:jc w:val="both"/>
        <w:rPr>
          <w:bCs/>
        </w:rPr>
      </w:pPr>
      <w:r w:rsidRPr="00FF1232">
        <w:rPr>
          <w:b/>
          <w:bCs/>
          <w:color w:val="auto"/>
        </w:rPr>
        <w:t xml:space="preserve">Indikatīvais </w:t>
      </w:r>
      <w:r w:rsidR="00C03727" w:rsidRPr="00FF1232">
        <w:rPr>
          <w:b/>
          <w:bCs/>
          <w:color w:val="auto"/>
        </w:rPr>
        <w:t xml:space="preserve">8.1.4. </w:t>
      </w:r>
      <w:r w:rsidR="00100F93" w:rsidRPr="00FF1232">
        <w:rPr>
          <w:b/>
          <w:bCs/>
          <w:color w:val="auto"/>
        </w:rPr>
        <w:t xml:space="preserve">SAM </w:t>
      </w:r>
      <w:r w:rsidRPr="00FF1232">
        <w:rPr>
          <w:b/>
          <w:bCs/>
          <w:color w:val="auto"/>
        </w:rPr>
        <w:t>finansējums</w:t>
      </w:r>
      <w:r w:rsidR="00FF1232">
        <w:rPr>
          <w:b/>
          <w:bCs/>
          <w:color w:val="auto"/>
        </w:rPr>
        <w:t xml:space="preserve"> (plānotais)</w:t>
      </w:r>
      <w:r w:rsidRPr="00FF1232">
        <w:rPr>
          <w:b/>
          <w:bCs/>
          <w:color w:val="auto"/>
        </w:rPr>
        <w:t xml:space="preserve">: </w:t>
      </w:r>
      <w:r w:rsidRPr="00FF1232">
        <w:rPr>
          <w:color w:val="auto"/>
        </w:rPr>
        <w:t xml:space="preserve">14 185 198 </w:t>
      </w:r>
      <w:proofErr w:type="spellStart"/>
      <w:r w:rsidR="00C03727" w:rsidRPr="00FF1232">
        <w:rPr>
          <w:i/>
          <w:color w:val="auto"/>
        </w:rPr>
        <w:t>euro</w:t>
      </w:r>
      <w:proofErr w:type="spellEnd"/>
      <w:r w:rsidRPr="00FF1232">
        <w:rPr>
          <w:color w:val="auto"/>
        </w:rPr>
        <w:t>, t</w:t>
      </w:r>
      <w:r w:rsidR="00C03727" w:rsidRPr="00FF1232">
        <w:rPr>
          <w:color w:val="auto"/>
        </w:rPr>
        <w:t xml:space="preserve">ai </w:t>
      </w:r>
      <w:r w:rsidRPr="00FF1232">
        <w:rPr>
          <w:color w:val="auto"/>
        </w:rPr>
        <w:t>sk</w:t>
      </w:r>
      <w:r w:rsidR="00C03727" w:rsidRPr="00FF1232">
        <w:rPr>
          <w:color w:val="auto"/>
        </w:rPr>
        <w:t>aitā</w:t>
      </w:r>
      <w:r w:rsidRPr="00FF1232">
        <w:rPr>
          <w:color w:val="auto"/>
        </w:rPr>
        <w:t xml:space="preserve"> ERAF 12 057 418 </w:t>
      </w:r>
      <w:proofErr w:type="spellStart"/>
      <w:r w:rsidR="00C03727" w:rsidRPr="00FF1232">
        <w:rPr>
          <w:i/>
          <w:color w:val="auto"/>
        </w:rPr>
        <w:t>euro</w:t>
      </w:r>
      <w:proofErr w:type="spellEnd"/>
      <w:r w:rsidR="00C03727" w:rsidRPr="00FF1232">
        <w:rPr>
          <w:color w:val="auto"/>
        </w:rPr>
        <w:t xml:space="preserve"> un valsts budžeta finansējums </w:t>
      </w:r>
      <w:r w:rsidR="004F3A84" w:rsidRPr="00FF1232">
        <w:rPr>
          <w:color w:val="auto"/>
        </w:rPr>
        <w:t xml:space="preserve">2 127 780 </w:t>
      </w:r>
      <w:proofErr w:type="spellStart"/>
      <w:r w:rsidR="00C03727" w:rsidRPr="00FF1232">
        <w:rPr>
          <w:i/>
          <w:color w:val="auto"/>
        </w:rPr>
        <w:t>euro</w:t>
      </w:r>
      <w:proofErr w:type="spellEnd"/>
      <w:r w:rsidRPr="00FF1232">
        <w:rPr>
          <w:color w:val="auto"/>
        </w:rPr>
        <w:t>.</w:t>
      </w:r>
      <w:r w:rsidR="00C03727" w:rsidRPr="00FF1232">
        <w:rPr>
          <w:bCs/>
        </w:rPr>
        <w:t xml:space="preserve"> </w:t>
      </w:r>
      <w:r w:rsidR="004F3A84" w:rsidRPr="00FF1232">
        <w:rPr>
          <w:bCs/>
        </w:rPr>
        <w:t>ERAF finansējuma intensitāte - 85 %.</w:t>
      </w:r>
    </w:p>
    <w:p w:rsidR="00FF1232" w:rsidRPr="00FF1232" w:rsidRDefault="00A117B5" w:rsidP="00FF1232">
      <w:pPr>
        <w:pStyle w:val="Default"/>
        <w:ind w:firstLine="720"/>
        <w:jc w:val="both"/>
      </w:pPr>
      <w:r w:rsidRPr="00FF1232">
        <w:rPr>
          <w:lang w:bidi="lo-LA"/>
        </w:rPr>
        <w:t xml:space="preserve">Saskaņā ar </w:t>
      </w:r>
      <w:r w:rsidR="005F78DE" w:rsidRPr="00C02CEA">
        <w:rPr>
          <w:bCs/>
        </w:rPr>
        <w:t>darbības programmas „Izaugsme un nodarbinātība” papildinājumu (turpmāk – DPP)</w:t>
      </w:r>
      <w:r w:rsidRPr="00FF1232">
        <w:rPr>
          <w:lang w:bidi="lo-LA"/>
        </w:rPr>
        <w:t xml:space="preserve"> 1.pielikumu 8.1.4. </w:t>
      </w:r>
      <w:r w:rsidR="00100F93" w:rsidRPr="00FF1232">
        <w:rPr>
          <w:lang w:bidi="lo-LA"/>
        </w:rPr>
        <w:t>SAM</w:t>
      </w:r>
      <w:r w:rsidR="00100F93">
        <w:rPr>
          <w:lang w:bidi="lo-LA"/>
        </w:rPr>
        <w:t xml:space="preserve"> </w:t>
      </w:r>
      <w:r w:rsidR="00FF1232">
        <w:rPr>
          <w:lang w:bidi="lo-LA"/>
        </w:rPr>
        <w:t>tiek piemērota</w:t>
      </w:r>
      <w:r w:rsidRPr="00FF1232">
        <w:rPr>
          <w:lang w:bidi="lo-LA"/>
        </w:rPr>
        <w:t xml:space="preserve"> </w:t>
      </w:r>
      <w:r w:rsidR="001D35A0" w:rsidRPr="00774672">
        <w:rPr>
          <w:b/>
          <w:lang w:bidi="lo-LA"/>
        </w:rPr>
        <w:t>snieguma</w:t>
      </w:r>
      <w:r w:rsidR="001D35A0" w:rsidRPr="00774672">
        <w:rPr>
          <w:lang w:bidi="lo-LA"/>
        </w:rPr>
        <w:t xml:space="preserve"> </w:t>
      </w:r>
      <w:r w:rsidRPr="00774672">
        <w:rPr>
          <w:b/>
          <w:lang w:bidi="lo-LA"/>
        </w:rPr>
        <w:t>rezerve</w:t>
      </w:r>
      <w:r w:rsidRPr="00FF1232">
        <w:rPr>
          <w:lang w:bidi="lo-LA"/>
        </w:rPr>
        <w:t xml:space="preserve"> 6,10% apmērā, t.i., </w:t>
      </w:r>
      <w:r w:rsidR="00C80DEE">
        <w:rPr>
          <w:lang w:bidi="lo-LA"/>
        </w:rPr>
        <w:t>865 </w:t>
      </w:r>
      <w:r w:rsidR="00335C15">
        <w:rPr>
          <w:lang w:bidi="lo-LA"/>
        </w:rPr>
        <w:t xml:space="preserve">229 </w:t>
      </w:r>
      <w:proofErr w:type="spellStart"/>
      <w:r w:rsidR="00C80DEE" w:rsidRPr="00FF1232">
        <w:rPr>
          <w:i/>
          <w:lang w:bidi="lo-LA"/>
        </w:rPr>
        <w:t>euro</w:t>
      </w:r>
      <w:proofErr w:type="spellEnd"/>
      <w:r w:rsidR="00C80DEE">
        <w:rPr>
          <w:lang w:bidi="lo-LA"/>
        </w:rPr>
        <w:t xml:space="preserve"> (ERAF finansējums </w:t>
      </w:r>
      <w:r w:rsidRPr="00FF1232">
        <w:rPr>
          <w:lang w:bidi="lo-LA"/>
        </w:rPr>
        <w:t xml:space="preserve">735 445 </w:t>
      </w:r>
      <w:proofErr w:type="spellStart"/>
      <w:r w:rsidRPr="00FF1232">
        <w:rPr>
          <w:i/>
          <w:lang w:bidi="lo-LA"/>
        </w:rPr>
        <w:t>euro</w:t>
      </w:r>
      <w:proofErr w:type="spellEnd"/>
      <w:r w:rsidR="00C80DEE">
        <w:rPr>
          <w:i/>
          <w:lang w:bidi="lo-LA"/>
        </w:rPr>
        <w:t xml:space="preserve"> </w:t>
      </w:r>
      <w:r w:rsidR="001350B8" w:rsidRPr="001350B8">
        <w:t>un</w:t>
      </w:r>
      <w:r w:rsidR="00C80DEE">
        <w:rPr>
          <w:i/>
          <w:lang w:bidi="lo-LA"/>
        </w:rPr>
        <w:t xml:space="preserve"> </w:t>
      </w:r>
      <w:r w:rsidR="00C80DEE" w:rsidRPr="00FF1232">
        <w:t>valsts budžeta finansējums</w:t>
      </w:r>
      <w:r w:rsidR="00C80DEE">
        <w:t> 129 784</w:t>
      </w:r>
      <w:r w:rsidR="00C80DEE" w:rsidRPr="00FF1232">
        <w:t xml:space="preserve"> </w:t>
      </w:r>
      <w:proofErr w:type="spellStart"/>
      <w:r w:rsidR="00C80DEE" w:rsidRPr="00FF1232">
        <w:rPr>
          <w:i/>
          <w:iCs/>
        </w:rPr>
        <w:t>euro</w:t>
      </w:r>
      <w:proofErr w:type="spellEnd"/>
      <w:r w:rsidR="001350B8" w:rsidRPr="001350B8">
        <w:rPr>
          <w:iCs/>
        </w:rPr>
        <w:t>)</w:t>
      </w:r>
      <w:r w:rsidR="001D35A0" w:rsidRPr="00FF1232">
        <w:rPr>
          <w:lang w:bidi="lo-LA"/>
        </w:rPr>
        <w:t xml:space="preserve">, kas nozīmē, ka </w:t>
      </w:r>
      <w:r w:rsidR="00FF1232" w:rsidRPr="00FF1232">
        <w:rPr>
          <w:lang w:bidi="lo-LA"/>
        </w:rPr>
        <w:t xml:space="preserve">SAM 8.1.4. īstenošanas noteikumos jāparedz </w:t>
      </w:r>
      <w:r w:rsidR="00C80DEE">
        <w:rPr>
          <w:lang w:bidi="lo-LA"/>
        </w:rPr>
        <w:t xml:space="preserve">mazāks </w:t>
      </w:r>
      <w:r w:rsidR="00FF1232" w:rsidRPr="00FF1232">
        <w:rPr>
          <w:lang w:bidi="lo-LA"/>
        </w:rPr>
        <w:t>pieejamais finansējums</w:t>
      </w:r>
      <w:r w:rsidRPr="00FF1232">
        <w:rPr>
          <w:lang w:bidi="lo-LA"/>
        </w:rPr>
        <w:t xml:space="preserve"> </w:t>
      </w:r>
      <w:r w:rsidR="00FF1232" w:rsidRPr="00FF1232">
        <w:rPr>
          <w:bCs/>
        </w:rPr>
        <w:t xml:space="preserve">vienošanos par projekta īstenošanu slēgšanai, </w:t>
      </w:r>
      <w:r w:rsidR="00FF1232" w:rsidRPr="00FF1232">
        <w:t xml:space="preserve">ņemot vērā snieguma rezervi. Līdz ar to 8.1.4. </w:t>
      </w:r>
      <w:r w:rsidR="00100F93" w:rsidRPr="00FF1232">
        <w:t>SAM</w:t>
      </w:r>
      <w:r w:rsidR="00100F93" w:rsidRPr="00FF1232">
        <w:rPr>
          <w:b/>
        </w:rPr>
        <w:t xml:space="preserve"> </w:t>
      </w:r>
      <w:r w:rsidR="00FF1232" w:rsidRPr="00FF1232">
        <w:rPr>
          <w:b/>
        </w:rPr>
        <w:t>p</w:t>
      </w:r>
      <w:r w:rsidR="00FF1232" w:rsidRPr="00FF1232">
        <w:rPr>
          <w:b/>
          <w:bCs/>
        </w:rPr>
        <w:t xml:space="preserve">ieejamais </w:t>
      </w:r>
      <w:r w:rsidR="00FF1232" w:rsidRPr="00FF1232">
        <w:rPr>
          <w:bCs/>
        </w:rPr>
        <w:t xml:space="preserve">kopējais attiecināmais </w:t>
      </w:r>
      <w:r w:rsidR="00FF1232" w:rsidRPr="004457ED">
        <w:rPr>
          <w:b/>
          <w:bCs/>
        </w:rPr>
        <w:t>finansējums</w:t>
      </w:r>
      <w:r w:rsidR="00FF1232" w:rsidRPr="00FF1232">
        <w:rPr>
          <w:bCs/>
        </w:rPr>
        <w:t xml:space="preserve"> vienošanos par projekta īstenošanu slēgšanai</w:t>
      </w:r>
      <w:r w:rsidR="00FF1232" w:rsidRPr="00FF1232">
        <w:rPr>
          <w:b/>
          <w:bCs/>
        </w:rPr>
        <w:t xml:space="preserve"> </w:t>
      </w:r>
      <w:r w:rsidR="00FF1232" w:rsidRPr="00774672">
        <w:t>ir 13 </w:t>
      </w:r>
      <w:r w:rsidR="00C80DEE" w:rsidRPr="00774672">
        <w:t xml:space="preserve">319 </w:t>
      </w:r>
      <w:r w:rsidR="00335C15" w:rsidRPr="00774672">
        <w:t>96</w:t>
      </w:r>
      <w:r w:rsidR="00335C15">
        <w:t>9</w:t>
      </w:r>
      <w:r w:rsidR="00335C15" w:rsidRPr="00774672">
        <w:t xml:space="preserve"> </w:t>
      </w:r>
      <w:proofErr w:type="spellStart"/>
      <w:r w:rsidR="00FF1232" w:rsidRPr="00774672">
        <w:rPr>
          <w:i/>
          <w:iCs/>
        </w:rPr>
        <w:t>euro</w:t>
      </w:r>
      <w:proofErr w:type="spellEnd"/>
      <w:r w:rsidR="00FF1232" w:rsidRPr="00774672">
        <w:t>, tai</w:t>
      </w:r>
      <w:r w:rsidR="00FF1232" w:rsidRPr="00FF1232">
        <w:t xml:space="preserve"> skaitā ERAF finansējums </w:t>
      </w:r>
      <w:r w:rsidR="00FF1232">
        <w:t>11 </w:t>
      </w:r>
      <w:r w:rsidR="00C80DEE">
        <w:t xml:space="preserve">321 973 </w:t>
      </w:r>
      <w:proofErr w:type="spellStart"/>
      <w:r w:rsidR="00FF1232" w:rsidRPr="00FF1232">
        <w:rPr>
          <w:i/>
        </w:rPr>
        <w:t>euro</w:t>
      </w:r>
      <w:proofErr w:type="spellEnd"/>
      <w:r w:rsidR="00FF1232">
        <w:t xml:space="preserve"> </w:t>
      </w:r>
      <w:r w:rsidR="00FF1232" w:rsidRPr="00FF1232">
        <w:t xml:space="preserve">un valsts budžeta līdzfinansējums </w:t>
      </w:r>
      <w:r w:rsidR="00C80DEE">
        <w:t>1 997 996</w:t>
      </w:r>
      <w:r w:rsidR="00C80DEE" w:rsidRPr="00FF1232">
        <w:t xml:space="preserve"> </w:t>
      </w:r>
      <w:proofErr w:type="spellStart"/>
      <w:r w:rsidR="00FF1232" w:rsidRPr="00FF1232">
        <w:rPr>
          <w:i/>
          <w:iCs/>
        </w:rPr>
        <w:t>euro</w:t>
      </w:r>
      <w:proofErr w:type="spellEnd"/>
      <w:r w:rsidR="00FF1232" w:rsidRPr="00FF1232">
        <w:t xml:space="preserve">. </w:t>
      </w:r>
    </w:p>
    <w:p w:rsidR="00EF5D39" w:rsidRDefault="003508FF" w:rsidP="00EF5D39">
      <w:pPr>
        <w:pStyle w:val="Default"/>
        <w:ind w:firstLine="720"/>
        <w:jc w:val="both"/>
      </w:pPr>
      <w:r w:rsidRPr="00C02CEA">
        <w:rPr>
          <w:bCs/>
        </w:rPr>
        <w:t xml:space="preserve">Saskaņā ar </w:t>
      </w:r>
      <w:r w:rsidR="00C02CEA" w:rsidRPr="00C02CEA">
        <w:rPr>
          <w:bCs/>
        </w:rPr>
        <w:t>DPP</w:t>
      </w:r>
      <w:r w:rsidR="00C03727" w:rsidRPr="00C02CEA">
        <w:rPr>
          <w:bCs/>
        </w:rPr>
        <w:t xml:space="preserve"> 8.1.4. </w:t>
      </w:r>
      <w:r w:rsidR="00100F93" w:rsidRPr="0031543B">
        <w:rPr>
          <w:bCs/>
        </w:rPr>
        <w:t>SAM</w:t>
      </w:r>
      <w:r w:rsidR="00100F93" w:rsidRPr="0031543B">
        <w:rPr>
          <w:b/>
          <w:bCs/>
        </w:rPr>
        <w:t xml:space="preserve"> </w:t>
      </w:r>
      <w:r w:rsidR="00C03727" w:rsidRPr="0031543B">
        <w:rPr>
          <w:b/>
          <w:bCs/>
        </w:rPr>
        <w:t>indikatīvās atbalstāmās darbības</w:t>
      </w:r>
      <w:r w:rsidRPr="0031543B">
        <w:rPr>
          <w:b/>
          <w:bCs/>
        </w:rPr>
        <w:t>:</w:t>
      </w:r>
      <w:r w:rsidR="00C03727" w:rsidRPr="0031543B">
        <w:rPr>
          <w:b/>
          <w:bCs/>
        </w:rPr>
        <w:t xml:space="preserve"> </w:t>
      </w:r>
      <w:r w:rsidRPr="0031543B">
        <w:rPr>
          <w:bCs/>
        </w:rPr>
        <w:t>a</w:t>
      </w:r>
      <w:r w:rsidRPr="0031543B">
        <w:t>tbalsts</w:t>
      </w:r>
      <w:r w:rsidRPr="007F0D69">
        <w:t xml:space="preserve"> plānots koledžu, kas īsteno STEM, t.sk. medicīnas un radošas industrijas, pirmā līmeņa profesionālās augstākās izglītības studiju programmas un profesionālās vidējās izglītības programmas, infrastruktūras attīstībai</w:t>
      </w:r>
      <w:r>
        <w:t xml:space="preserve"> un aprīkojuma modernizācijai, </w:t>
      </w:r>
      <w:r w:rsidRPr="007F0D69">
        <w:t>iekārtu un aprīkojuma iegādei, t.sk</w:t>
      </w:r>
      <w:r>
        <w:t>.</w:t>
      </w:r>
      <w:r w:rsidRPr="007F0D69">
        <w:t xml:space="preserve"> specifisku laboratoriju pilnveidei un modernizācijai, nepieciešamo ēku un telpu pielāgošanai aprīkojuma un aparatūras uzstādīšanai un darbībai, IKT risinājumu un aprīkojuma iegādei.</w:t>
      </w:r>
    </w:p>
    <w:p w:rsidR="0053391E" w:rsidRDefault="002B683A" w:rsidP="00D95DA0">
      <w:pPr>
        <w:pStyle w:val="Default"/>
        <w:ind w:firstLine="720"/>
        <w:jc w:val="both"/>
      </w:pPr>
      <w:r>
        <w:t xml:space="preserve">Analizējot 8.1.4. </w:t>
      </w:r>
      <w:r w:rsidR="00100F93">
        <w:t xml:space="preserve">SAM </w:t>
      </w:r>
      <w:r>
        <w:t xml:space="preserve">ieviešanas mehānismu, tiek piedāvāts </w:t>
      </w:r>
      <w:r w:rsidR="000870DA">
        <w:t>detalizētāks</w:t>
      </w:r>
      <w:r>
        <w:t xml:space="preserve"> atbalstāmo darbību uzskaitījums, ko iekļaut MK noteikumos</w:t>
      </w:r>
      <w:r w:rsidR="00231D10" w:rsidRPr="00231D10">
        <w:t xml:space="preserve"> </w:t>
      </w:r>
      <w:r w:rsidR="00231D10">
        <w:t xml:space="preserve">par 8.1.4. </w:t>
      </w:r>
      <w:r w:rsidR="00100F93">
        <w:t xml:space="preserve">SAM </w:t>
      </w:r>
      <w:r w:rsidR="00231D10">
        <w:t>īstenošanu</w:t>
      </w:r>
      <w:r>
        <w:t>:</w:t>
      </w:r>
    </w:p>
    <w:p w:rsidR="0037081D" w:rsidRPr="00D24235" w:rsidRDefault="00D24235" w:rsidP="00722156">
      <w:pPr>
        <w:pStyle w:val="ListParagraph"/>
        <w:numPr>
          <w:ilvl w:val="0"/>
          <w:numId w:val="37"/>
        </w:numPr>
        <w:contextualSpacing/>
        <w:rPr>
          <w:bCs/>
          <w:spacing w:val="-2"/>
          <w:szCs w:val="24"/>
        </w:rPr>
      </w:pPr>
      <w:r w:rsidRPr="00D24235">
        <w:rPr>
          <w:bCs/>
          <w:spacing w:val="-2"/>
          <w:szCs w:val="24"/>
        </w:rPr>
        <w:t>koledžu infrastruktūras, tai skaitā koledžas ēku un telpu</w:t>
      </w:r>
      <w:r w:rsidR="00665337">
        <w:rPr>
          <w:bCs/>
          <w:spacing w:val="-2"/>
          <w:szCs w:val="24"/>
        </w:rPr>
        <w:t xml:space="preserve"> (izņemot dienesta viesnīcas)</w:t>
      </w:r>
      <w:r w:rsidRPr="00D24235">
        <w:rPr>
          <w:bCs/>
          <w:spacing w:val="-2"/>
          <w:szCs w:val="24"/>
        </w:rPr>
        <w:t>, laboratoriju un koplietošanas infrastruktūras, attīstība, lai modernizētu STEM izglītības programmas</w:t>
      </w:r>
      <w:r w:rsidR="0037081D" w:rsidRPr="00D24235">
        <w:rPr>
          <w:bCs/>
          <w:spacing w:val="-2"/>
          <w:szCs w:val="24"/>
        </w:rPr>
        <w:t>:</w:t>
      </w:r>
    </w:p>
    <w:p w:rsidR="0037081D" w:rsidRPr="0031543B" w:rsidRDefault="00F34603" w:rsidP="00722156">
      <w:pPr>
        <w:pStyle w:val="ListParagraph"/>
        <w:numPr>
          <w:ilvl w:val="1"/>
          <w:numId w:val="38"/>
        </w:numPr>
        <w:ind w:left="1208" w:hanging="357"/>
        <w:contextualSpacing/>
        <w:rPr>
          <w:bCs/>
          <w:spacing w:val="-2"/>
          <w:szCs w:val="24"/>
        </w:rPr>
      </w:pPr>
      <w:r w:rsidRPr="0031543B">
        <w:rPr>
          <w:bCs/>
          <w:spacing w:val="-2"/>
          <w:szCs w:val="24"/>
        </w:rPr>
        <w:t>būvniecība, tai skaitā būvju projektēšana un būvdarbi (būves atjaunošana, pārbūve</w:t>
      </w:r>
      <w:r w:rsidR="00DA2C80">
        <w:rPr>
          <w:bCs/>
          <w:spacing w:val="-2"/>
          <w:szCs w:val="24"/>
        </w:rPr>
        <w:t xml:space="preserve"> vai restaurācija</w:t>
      </w:r>
      <w:r w:rsidRPr="0031543B">
        <w:rPr>
          <w:bCs/>
          <w:spacing w:val="-2"/>
          <w:szCs w:val="24"/>
        </w:rPr>
        <w:t>)</w:t>
      </w:r>
      <w:r w:rsidR="008636C8" w:rsidRPr="0031543B">
        <w:rPr>
          <w:bCs/>
          <w:spacing w:val="-2"/>
          <w:szCs w:val="24"/>
        </w:rPr>
        <w:t>;</w:t>
      </w:r>
    </w:p>
    <w:p w:rsidR="002B683A" w:rsidRPr="0031543B" w:rsidRDefault="00F34603" w:rsidP="00722156">
      <w:pPr>
        <w:pStyle w:val="ListParagraph"/>
        <w:numPr>
          <w:ilvl w:val="1"/>
          <w:numId w:val="38"/>
        </w:numPr>
        <w:ind w:left="1208" w:hanging="357"/>
        <w:contextualSpacing/>
        <w:rPr>
          <w:rFonts w:eastAsia="Calibri"/>
          <w:szCs w:val="24"/>
          <w:lang w:eastAsia="lv-LV"/>
        </w:rPr>
      </w:pPr>
      <w:r w:rsidRPr="0031543B">
        <w:rPr>
          <w:rFonts w:eastAsia="Calibri"/>
          <w:szCs w:val="24"/>
          <w:lang w:eastAsia="lv-LV"/>
        </w:rPr>
        <w:t>būvju</w:t>
      </w:r>
      <w:r w:rsidR="0037081D" w:rsidRPr="0031543B">
        <w:rPr>
          <w:rFonts w:eastAsia="Calibri"/>
          <w:szCs w:val="24"/>
          <w:lang w:eastAsia="lv-LV"/>
        </w:rPr>
        <w:t xml:space="preserve"> pielāgošana aprīkojuma un aparatūras uzstādīšanai un darbībai;</w:t>
      </w:r>
    </w:p>
    <w:p w:rsidR="0037081D" w:rsidRPr="0031543B" w:rsidRDefault="0037081D" w:rsidP="00722156">
      <w:pPr>
        <w:pStyle w:val="ListParagraph"/>
        <w:numPr>
          <w:ilvl w:val="1"/>
          <w:numId w:val="38"/>
        </w:numPr>
        <w:ind w:left="1208" w:hanging="357"/>
        <w:contextualSpacing/>
        <w:rPr>
          <w:rFonts w:eastAsia="Calibri"/>
          <w:szCs w:val="24"/>
          <w:lang w:eastAsia="lv-LV"/>
        </w:rPr>
      </w:pPr>
      <w:r w:rsidRPr="0031543B">
        <w:rPr>
          <w:bCs/>
          <w:spacing w:val="-2"/>
          <w:szCs w:val="24"/>
        </w:rPr>
        <w:t xml:space="preserve">infrastruktūras objektu </w:t>
      </w:r>
      <w:r w:rsidRPr="0031543B">
        <w:rPr>
          <w:szCs w:val="24"/>
        </w:rPr>
        <w:t>pielāgošana personām ar funkcionāliem traucējumiem;</w:t>
      </w:r>
    </w:p>
    <w:p w:rsidR="002107AB" w:rsidRPr="0031543B" w:rsidRDefault="002107AB" w:rsidP="00722156">
      <w:pPr>
        <w:pStyle w:val="ListParagraph"/>
        <w:numPr>
          <w:ilvl w:val="1"/>
          <w:numId w:val="38"/>
        </w:numPr>
        <w:ind w:left="1208" w:hanging="357"/>
        <w:contextualSpacing/>
        <w:rPr>
          <w:bCs/>
          <w:spacing w:val="-2"/>
          <w:szCs w:val="24"/>
        </w:rPr>
      </w:pPr>
      <w:r w:rsidRPr="0031543B">
        <w:rPr>
          <w:bCs/>
          <w:spacing w:val="-2"/>
          <w:szCs w:val="24"/>
        </w:rPr>
        <w:t>būvobjekta labiekārtošana, kas atbalstāma tādā apjomā, lai nodrošinātu modernizētās infrastruktūras nodošanu ekspluatācijā;</w:t>
      </w:r>
    </w:p>
    <w:p w:rsidR="00D95DA0" w:rsidRPr="0031543B" w:rsidRDefault="00D24235" w:rsidP="00722156">
      <w:pPr>
        <w:pStyle w:val="ListParagraph"/>
        <w:numPr>
          <w:ilvl w:val="0"/>
          <w:numId w:val="37"/>
        </w:numPr>
        <w:contextualSpacing/>
        <w:rPr>
          <w:rFonts w:eastAsia="Calibri"/>
          <w:szCs w:val="24"/>
          <w:lang w:eastAsia="lv-LV"/>
        </w:rPr>
      </w:pPr>
      <w:r w:rsidRPr="00D24235">
        <w:rPr>
          <w:rFonts w:eastAsia="Calibri"/>
          <w:szCs w:val="24"/>
          <w:lang w:eastAsia="lv-LV"/>
        </w:rPr>
        <w:t>iekārtu, aparatūras, datortehnikas, tehnoloģiju, materiālu, inventāra un instrumentu iegāde, kas nepieciešama STEM izglītības programmu īstenošanai (iekārtu, aparatūras, datortehnikas un tehnoloģiju iegādi saskaņojot ar nozares profesionālo organizāciju vai atbilstošu Nozares ekspertu padomi)</w:t>
      </w:r>
      <w:r w:rsidR="00CD10F8" w:rsidRPr="00D24235">
        <w:rPr>
          <w:rFonts w:eastAsia="Calibri"/>
          <w:szCs w:val="24"/>
          <w:lang w:eastAsia="lv-LV"/>
        </w:rPr>
        <w:t>;</w:t>
      </w:r>
    </w:p>
    <w:p w:rsidR="002B683A" w:rsidRPr="0031543B" w:rsidRDefault="002B683A" w:rsidP="00722156">
      <w:pPr>
        <w:pStyle w:val="ListParagraph"/>
        <w:numPr>
          <w:ilvl w:val="0"/>
          <w:numId w:val="37"/>
        </w:numPr>
        <w:contextualSpacing/>
        <w:rPr>
          <w:rFonts w:eastAsia="Calibri"/>
          <w:szCs w:val="24"/>
          <w:lang w:eastAsia="lv-LV"/>
        </w:rPr>
      </w:pPr>
      <w:r w:rsidRPr="0031543B">
        <w:rPr>
          <w:rFonts w:eastAsia="Calibri"/>
          <w:szCs w:val="24"/>
          <w:lang w:eastAsia="lv-LV"/>
        </w:rPr>
        <w:lastRenderedPageBreak/>
        <w:t xml:space="preserve">inovatīvu informācijas un komunikācijas tehnoloģiju risinājumu ieviešana </w:t>
      </w:r>
      <w:r w:rsidR="00F34603" w:rsidRPr="0031543B">
        <w:rPr>
          <w:rFonts w:eastAsia="Calibri"/>
          <w:szCs w:val="24"/>
          <w:lang w:eastAsia="lv-LV"/>
        </w:rPr>
        <w:t xml:space="preserve">izglītības </w:t>
      </w:r>
      <w:r w:rsidRPr="0031543B">
        <w:rPr>
          <w:rFonts w:eastAsia="Calibri"/>
          <w:szCs w:val="24"/>
          <w:lang w:eastAsia="lv-LV"/>
        </w:rPr>
        <w:t>procesā, t</w:t>
      </w:r>
      <w:r w:rsidR="00F00A0A" w:rsidRPr="0031543B">
        <w:rPr>
          <w:rFonts w:eastAsia="Calibri"/>
          <w:szCs w:val="24"/>
          <w:lang w:eastAsia="lv-LV"/>
        </w:rPr>
        <w:t xml:space="preserve">ai </w:t>
      </w:r>
      <w:r w:rsidRPr="0031543B">
        <w:rPr>
          <w:rFonts w:eastAsia="Calibri"/>
          <w:szCs w:val="24"/>
          <w:lang w:eastAsia="lv-LV"/>
        </w:rPr>
        <w:t>sk</w:t>
      </w:r>
      <w:r w:rsidR="00F00A0A" w:rsidRPr="0031543B">
        <w:rPr>
          <w:rFonts w:eastAsia="Calibri"/>
          <w:szCs w:val="24"/>
          <w:lang w:eastAsia="lv-LV"/>
        </w:rPr>
        <w:t>aitā</w:t>
      </w:r>
      <w:r w:rsidRPr="0031543B">
        <w:rPr>
          <w:rFonts w:eastAsia="Calibri"/>
          <w:szCs w:val="24"/>
          <w:lang w:eastAsia="lv-LV"/>
        </w:rPr>
        <w:t xml:space="preserve"> </w:t>
      </w:r>
      <w:r w:rsidR="00B27BC8" w:rsidRPr="0031543B">
        <w:rPr>
          <w:rFonts w:eastAsia="Calibri"/>
          <w:szCs w:val="24"/>
          <w:lang w:eastAsia="lv-LV"/>
        </w:rPr>
        <w:t xml:space="preserve">e-studiju attīstība, </w:t>
      </w:r>
      <w:r w:rsidRPr="0031543B">
        <w:rPr>
          <w:rFonts w:eastAsia="Calibri"/>
          <w:szCs w:val="24"/>
          <w:lang w:eastAsia="lv-LV"/>
        </w:rPr>
        <w:t xml:space="preserve">bezvadu interneta pieslēguma izveide </w:t>
      </w:r>
      <w:r w:rsidR="00F34603" w:rsidRPr="0031543B">
        <w:rPr>
          <w:rFonts w:eastAsia="Calibri"/>
          <w:szCs w:val="24"/>
          <w:lang w:eastAsia="lv-LV"/>
        </w:rPr>
        <w:t xml:space="preserve">izglītības </w:t>
      </w:r>
      <w:r w:rsidRPr="0031543B">
        <w:rPr>
          <w:rFonts w:eastAsia="Calibri"/>
          <w:szCs w:val="24"/>
          <w:lang w:eastAsia="lv-LV"/>
        </w:rPr>
        <w:t>procesa īstenošanai;</w:t>
      </w:r>
    </w:p>
    <w:p w:rsidR="0037081D" w:rsidRPr="00F34603" w:rsidRDefault="00640D88" w:rsidP="00722156">
      <w:pPr>
        <w:pStyle w:val="ListParagraph"/>
        <w:numPr>
          <w:ilvl w:val="0"/>
          <w:numId w:val="37"/>
        </w:numPr>
        <w:contextualSpacing/>
        <w:rPr>
          <w:rFonts w:eastAsia="Calibri"/>
          <w:szCs w:val="24"/>
          <w:lang w:eastAsia="lv-LV"/>
        </w:rPr>
      </w:pPr>
      <w:r w:rsidRPr="00F34603">
        <w:rPr>
          <w:rFonts w:eastAsia="Calibri"/>
          <w:szCs w:val="24"/>
          <w:lang w:eastAsia="lv-LV"/>
        </w:rPr>
        <w:t>koledžas bibliotēkas fondu papildināšana</w:t>
      </w:r>
      <w:r w:rsidR="00F34603">
        <w:rPr>
          <w:rFonts w:eastAsia="Calibri"/>
          <w:szCs w:val="24"/>
          <w:lang w:eastAsia="lv-LV"/>
        </w:rPr>
        <w:t>.</w:t>
      </w:r>
    </w:p>
    <w:p w:rsidR="002B683A" w:rsidRDefault="002B683A" w:rsidP="002B683A">
      <w:pPr>
        <w:pStyle w:val="Default"/>
        <w:ind w:firstLine="720"/>
        <w:jc w:val="both"/>
      </w:pPr>
    </w:p>
    <w:p w:rsidR="00EF5D39" w:rsidRDefault="00EF5D39" w:rsidP="00EF5D39">
      <w:pPr>
        <w:pStyle w:val="Default"/>
        <w:ind w:firstLine="720"/>
        <w:jc w:val="both"/>
        <w:rPr>
          <w:bCs/>
        </w:rPr>
      </w:pPr>
      <w:r>
        <w:rPr>
          <w:bCs/>
        </w:rPr>
        <w:t xml:space="preserve">Sasniedzamie </w:t>
      </w:r>
      <w:r w:rsidRPr="003508FF">
        <w:rPr>
          <w:b/>
          <w:bCs/>
        </w:rPr>
        <w:t>uzraudzības rādītāji</w:t>
      </w:r>
      <w:r>
        <w:rPr>
          <w:bCs/>
        </w:rPr>
        <w:t>:</w:t>
      </w:r>
    </w:p>
    <w:p w:rsidR="00EF5D39" w:rsidRPr="004F3A84" w:rsidRDefault="00EF5D39" w:rsidP="00722156">
      <w:pPr>
        <w:pStyle w:val="Default"/>
        <w:numPr>
          <w:ilvl w:val="0"/>
          <w:numId w:val="19"/>
        </w:numPr>
        <w:jc w:val="both"/>
        <w:rPr>
          <w:bCs/>
        </w:rPr>
      </w:pPr>
      <w:r w:rsidRPr="004F3A84">
        <w:rPr>
          <w:b/>
          <w:bCs/>
        </w:rPr>
        <w:t>iznākuma rādītājs</w:t>
      </w:r>
      <w:r w:rsidRPr="004F3A84">
        <w:rPr>
          <w:bCs/>
        </w:rPr>
        <w:t>: pakalpojumu sniegšanas veiktspēja atbalstītajā koledžas izglītības infrastruktūrā</w:t>
      </w:r>
      <w:r>
        <w:rPr>
          <w:bCs/>
        </w:rPr>
        <w:t xml:space="preserve">- </w:t>
      </w:r>
      <w:r w:rsidRPr="004F3A84">
        <w:rPr>
          <w:bCs/>
        </w:rPr>
        <w:t>1023 personas;</w:t>
      </w:r>
    </w:p>
    <w:p w:rsidR="00EF5D39" w:rsidRDefault="00EF5D39" w:rsidP="00722156">
      <w:pPr>
        <w:pStyle w:val="Default"/>
        <w:numPr>
          <w:ilvl w:val="0"/>
          <w:numId w:val="19"/>
        </w:numPr>
        <w:jc w:val="both"/>
        <w:rPr>
          <w:bCs/>
        </w:rPr>
      </w:pPr>
      <w:r w:rsidRPr="004F3A84">
        <w:rPr>
          <w:b/>
          <w:bCs/>
        </w:rPr>
        <w:t>rezultāta rādītājs:</w:t>
      </w:r>
      <w:r w:rsidRPr="004F3A84">
        <w:rPr>
          <w:bCs/>
        </w:rPr>
        <w:t xml:space="preserve"> </w:t>
      </w:r>
      <w:r>
        <w:rPr>
          <w:bCs/>
        </w:rPr>
        <w:t>k</w:t>
      </w:r>
      <w:r w:rsidRPr="004F3A84">
        <w:rPr>
          <w:bCs/>
        </w:rPr>
        <w:t>oledžu īpatsvars, kurās ir pilnībā modernizēta pirmā līmeņa profesionālās augstākās izglītības STEM, t.sk. medicīnas un radošās industrijas, studiju programmu mācību vide, no kopējā koledžu skaita, kas īsteno minētās prioritārās programmas- 61 %</w:t>
      </w:r>
      <w:r>
        <w:rPr>
          <w:bCs/>
        </w:rPr>
        <w:t>;</w:t>
      </w:r>
    </w:p>
    <w:p w:rsidR="00EF5D39" w:rsidRPr="004F3A84" w:rsidRDefault="00EF5D39" w:rsidP="00722156">
      <w:pPr>
        <w:pStyle w:val="Default"/>
        <w:numPr>
          <w:ilvl w:val="0"/>
          <w:numId w:val="19"/>
        </w:numPr>
        <w:jc w:val="both"/>
        <w:rPr>
          <w:bCs/>
        </w:rPr>
      </w:pPr>
      <w:r w:rsidRPr="004F3A84">
        <w:rPr>
          <w:b/>
          <w:bCs/>
        </w:rPr>
        <w:t>finanšu rādītājs</w:t>
      </w:r>
      <w:r w:rsidRPr="004F3A84">
        <w:rPr>
          <w:bCs/>
        </w:rPr>
        <w:t>: līdz 2018. gada 31. decembrim sertificēti izdevumi 3</w:t>
      </w:r>
      <w:r>
        <w:rPr>
          <w:bCs/>
        </w:rPr>
        <w:t> </w:t>
      </w:r>
      <w:r w:rsidRPr="004F3A84">
        <w:rPr>
          <w:bCs/>
        </w:rPr>
        <w:t>546</w:t>
      </w:r>
      <w:r>
        <w:rPr>
          <w:bCs/>
        </w:rPr>
        <w:t xml:space="preserve"> </w:t>
      </w:r>
      <w:r w:rsidR="007D05CB">
        <w:rPr>
          <w:bCs/>
        </w:rPr>
        <w:t>300</w:t>
      </w:r>
      <w:r w:rsidRPr="004F3A84">
        <w:rPr>
          <w:bCs/>
        </w:rPr>
        <w:t xml:space="preserve"> </w:t>
      </w:r>
      <w:proofErr w:type="spellStart"/>
      <w:r w:rsidRPr="004F3A84">
        <w:rPr>
          <w:bCs/>
          <w:i/>
        </w:rPr>
        <w:t>euro</w:t>
      </w:r>
      <w:proofErr w:type="spellEnd"/>
      <w:r w:rsidRPr="004F3A84">
        <w:rPr>
          <w:bCs/>
        </w:rPr>
        <w:t xml:space="preserve"> apmērā.</w:t>
      </w:r>
    </w:p>
    <w:p w:rsidR="00C03727" w:rsidRDefault="00C03727" w:rsidP="00C03727">
      <w:pPr>
        <w:pStyle w:val="Default"/>
        <w:ind w:firstLine="720"/>
        <w:jc w:val="both"/>
      </w:pPr>
    </w:p>
    <w:p w:rsidR="00676C05" w:rsidRDefault="00C02CEA" w:rsidP="00485F2D">
      <w:pPr>
        <w:pStyle w:val="Default"/>
        <w:ind w:firstLine="720"/>
        <w:jc w:val="both"/>
        <w:rPr>
          <w:rFonts w:eastAsia="Times New Roman"/>
        </w:rPr>
      </w:pPr>
      <w:r>
        <w:rPr>
          <w:rFonts w:eastAsia="Times New Roman"/>
        </w:rPr>
        <w:t xml:space="preserve">8.1.4. </w:t>
      </w:r>
      <w:r w:rsidR="00F82F41">
        <w:rPr>
          <w:rFonts w:eastAsia="Times New Roman"/>
        </w:rPr>
        <w:t xml:space="preserve">SAM </w:t>
      </w:r>
      <w:r>
        <w:rPr>
          <w:rFonts w:eastAsia="Times New Roman"/>
        </w:rPr>
        <w:t>ietvaros t</w:t>
      </w:r>
      <w:r w:rsidR="003508FF">
        <w:rPr>
          <w:rFonts w:eastAsia="Times New Roman"/>
        </w:rPr>
        <w:t>iek plānota n</w:t>
      </w:r>
      <w:r w:rsidR="003508FF" w:rsidRPr="007F0D69">
        <w:rPr>
          <w:rFonts w:eastAsia="Times New Roman"/>
        </w:rPr>
        <w:t xml:space="preserve">etieša pozitīva ietekme uz </w:t>
      </w:r>
      <w:r w:rsidR="003508FF" w:rsidRPr="007F0D69">
        <w:rPr>
          <w:b/>
        </w:rPr>
        <w:t>horizontālo principu</w:t>
      </w:r>
      <w:r w:rsidR="003508FF" w:rsidRPr="007F0D69">
        <w:rPr>
          <w:rFonts w:eastAsia="Times New Roman"/>
        </w:rPr>
        <w:t xml:space="preserve"> </w:t>
      </w:r>
      <w:r w:rsidR="003508FF">
        <w:rPr>
          <w:rFonts w:eastAsia="Times New Roman"/>
        </w:rPr>
        <w:t>„</w:t>
      </w:r>
      <w:r w:rsidR="003508FF" w:rsidRPr="007F0D69">
        <w:rPr>
          <w:rFonts w:eastAsia="Times New Roman"/>
          <w:b/>
        </w:rPr>
        <w:t>Vienlīdzīgas iespējas</w:t>
      </w:r>
      <w:r w:rsidR="003508FF">
        <w:rPr>
          <w:rFonts w:eastAsia="Times New Roman"/>
          <w:b/>
        </w:rPr>
        <w:t xml:space="preserve">”. </w:t>
      </w:r>
      <w:r w:rsidR="00D5797B" w:rsidRPr="007F0D69">
        <w:rPr>
          <w:rFonts w:eastAsia="Times New Roman"/>
        </w:rPr>
        <w:t xml:space="preserve">Veicot ieguldījumus </w:t>
      </w:r>
      <w:r w:rsidR="00555241">
        <w:rPr>
          <w:rFonts w:eastAsia="Times New Roman"/>
        </w:rPr>
        <w:t>koledžu</w:t>
      </w:r>
      <w:r w:rsidR="00D5797B" w:rsidRPr="007F0D69">
        <w:rPr>
          <w:rFonts w:eastAsia="Times New Roman"/>
        </w:rPr>
        <w:t xml:space="preserve"> infrastruktūras attīstībā, </w:t>
      </w:r>
      <w:r w:rsidR="00A50BC5" w:rsidRPr="000F3AEC">
        <w:rPr>
          <w:rFonts w:eastAsia="ヒラギノ角ゴ Pro W3"/>
        </w:rPr>
        <w:t>iespējamas specifiskas darbības vides un informācijas pieejamības nodrošināšanai</w:t>
      </w:r>
      <w:r w:rsidR="000F3AEC" w:rsidRPr="000F3AEC">
        <w:rPr>
          <w:bCs/>
          <w:color w:val="auto"/>
        </w:rPr>
        <w:t xml:space="preserve">, kas īpaši veicina vides un informācijas pieejamību personām ar kustību traucējumiem, redzes, dzirdes vai garīga rakstura traucējumiem </w:t>
      </w:r>
      <w:r w:rsidR="00A50BC5" w:rsidRPr="000F3AEC">
        <w:rPr>
          <w:rFonts w:eastAsia="ヒラギノ角ゴ Pro W3"/>
        </w:rPr>
        <w:t>(nav obligāta prasība)</w:t>
      </w:r>
      <w:r w:rsidR="00D5797B" w:rsidRPr="000F3AEC">
        <w:rPr>
          <w:rFonts w:eastAsia="Times New Roman"/>
        </w:rPr>
        <w:t>.</w:t>
      </w:r>
      <w:r w:rsidR="00F037A7" w:rsidRPr="000F3AEC">
        <w:rPr>
          <w:rFonts w:eastAsia="Times New Roman"/>
        </w:rPr>
        <w:t xml:space="preserve"> </w:t>
      </w:r>
    </w:p>
    <w:p w:rsidR="000F3AEC" w:rsidRDefault="00676C05" w:rsidP="00485F2D">
      <w:pPr>
        <w:pStyle w:val="Default"/>
        <w:ind w:firstLine="720"/>
        <w:jc w:val="both"/>
        <w:rPr>
          <w:bCs/>
        </w:rPr>
      </w:pPr>
      <w:r>
        <w:rPr>
          <w:rFonts w:eastAsia="Times New Roman"/>
        </w:rPr>
        <w:t xml:space="preserve">8.1.4. </w:t>
      </w:r>
      <w:r w:rsidR="00F82F41">
        <w:rPr>
          <w:rFonts w:eastAsia="Times New Roman"/>
        </w:rPr>
        <w:t xml:space="preserve">SAM </w:t>
      </w:r>
      <w:r>
        <w:rPr>
          <w:rFonts w:eastAsia="Times New Roman"/>
        </w:rPr>
        <w:t>ietvaros tiek plānota arī n</w:t>
      </w:r>
      <w:r w:rsidRPr="007F0D69">
        <w:rPr>
          <w:rFonts w:eastAsia="Times New Roman"/>
        </w:rPr>
        <w:t xml:space="preserve">etieša pozitīva ietekme uz </w:t>
      </w:r>
      <w:r w:rsidRPr="007F0D69">
        <w:rPr>
          <w:b/>
        </w:rPr>
        <w:t>horizontālo principu</w:t>
      </w:r>
      <w:r w:rsidR="00A50BC5">
        <w:rPr>
          <w:b/>
        </w:rPr>
        <w:t xml:space="preserve"> </w:t>
      </w:r>
      <w:r w:rsidRPr="00110DF1">
        <w:rPr>
          <w:rFonts w:eastAsia="Times New Roman"/>
          <w:b/>
          <w:color w:val="auto"/>
        </w:rPr>
        <w:t>„Ilgtspējīga attīstība”</w:t>
      </w:r>
      <w:r>
        <w:rPr>
          <w:rFonts w:eastAsia="Times New Roman"/>
          <w:b/>
          <w:color w:val="auto"/>
        </w:rPr>
        <w:t>.</w:t>
      </w:r>
      <w:r w:rsidRPr="007F0D69">
        <w:rPr>
          <w:rFonts w:eastAsia="Times New Roman"/>
        </w:rPr>
        <w:t xml:space="preserve"> </w:t>
      </w:r>
      <w:r w:rsidR="00A50BC5" w:rsidRPr="007F0D69">
        <w:rPr>
          <w:rFonts w:eastAsia="Times New Roman"/>
        </w:rPr>
        <w:t xml:space="preserve">Veicot ieguldījumus </w:t>
      </w:r>
      <w:r w:rsidR="00555241">
        <w:rPr>
          <w:rFonts w:eastAsia="Times New Roman"/>
        </w:rPr>
        <w:t>koledžu</w:t>
      </w:r>
      <w:r w:rsidR="00A50BC5" w:rsidRPr="007F0D69">
        <w:rPr>
          <w:rFonts w:eastAsia="Times New Roman"/>
        </w:rPr>
        <w:t xml:space="preserve"> infrastruktūras attīstībā,</w:t>
      </w:r>
      <w:r w:rsidR="00A50BC5">
        <w:rPr>
          <w:rFonts w:eastAsia="Times New Roman"/>
        </w:rPr>
        <w:t xml:space="preserve"> </w:t>
      </w:r>
      <w:r w:rsidR="00A50BC5" w:rsidRPr="000F3AEC">
        <w:rPr>
          <w:rFonts w:eastAsia="ヒラギノ角ゴ Pro W3"/>
        </w:rPr>
        <w:t xml:space="preserve">publiskajos iepirkumos </w:t>
      </w:r>
      <w:r w:rsidR="000F3AEC">
        <w:rPr>
          <w:rFonts w:eastAsia="ヒラギノ角ゴ Pro W3"/>
        </w:rPr>
        <w:t>var</w:t>
      </w:r>
      <w:r w:rsidR="00A50BC5" w:rsidRPr="000F3AEC">
        <w:rPr>
          <w:rFonts w:eastAsia="ヒラギノ角ゴ Pro W3"/>
        </w:rPr>
        <w:t xml:space="preserve"> piemērot zaļā publiskā iepirkuma kritērijus (nav obligāta prasība). </w:t>
      </w:r>
    </w:p>
    <w:p w:rsidR="00C03727" w:rsidRDefault="00C03727" w:rsidP="00485F2D">
      <w:pPr>
        <w:pStyle w:val="Default"/>
        <w:ind w:firstLine="720"/>
        <w:jc w:val="both"/>
      </w:pPr>
      <w:r>
        <w:rPr>
          <w:bCs/>
        </w:rPr>
        <w:t>Ievērojot 2007.-2013.gada plānošanas periodā gūto pieredzi, p</w:t>
      </w:r>
      <w:r w:rsidRPr="00D22901">
        <w:rPr>
          <w:bCs/>
        </w:rPr>
        <w:t xml:space="preserve">rojektu </w:t>
      </w:r>
      <w:r>
        <w:rPr>
          <w:bCs/>
        </w:rPr>
        <w:t xml:space="preserve">iesniegumu </w:t>
      </w:r>
      <w:r w:rsidRPr="00D22901">
        <w:rPr>
          <w:bCs/>
        </w:rPr>
        <w:t xml:space="preserve">atlase 8.1.4. </w:t>
      </w:r>
      <w:r w:rsidR="00F82F41" w:rsidRPr="00D22901">
        <w:rPr>
          <w:bCs/>
        </w:rPr>
        <w:t xml:space="preserve">SAM </w:t>
      </w:r>
      <w:r w:rsidRPr="00D22901">
        <w:rPr>
          <w:bCs/>
        </w:rPr>
        <w:t>ietvaros tiek plānota</w:t>
      </w:r>
      <w:r w:rsidRPr="004069C2">
        <w:rPr>
          <w:b/>
          <w:bCs/>
        </w:rPr>
        <w:t xml:space="preserve"> </w:t>
      </w:r>
      <w:r w:rsidRPr="004F3A84">
        <w:rPr>
          <w:b/>
        </w:rPr>
        <w:t>ierobežotas pr</w:t>
      </w:r>
      <w:r w:rsidR="004F3A84" w:rsidRPr="004F3A84">
        <w:rPr>
          <w:b/>
        </w:rPr>
        <w:t>ojektu iesniegumu atlases veidā</w:t>
      </w:r>
      <w:r w:rsidR="004F3A84">
        <w:t xml:space="preserve"> vienā atlases kārtā par visu SAM 8.1.4. ietvaros pieejamo finansējumu.</w:t>
      </w:r>
    </w:p>
    <w:p w:rsidR="0047601B" w:rsidRDefault="0047601B" w:rsidP="00485F2D">
      <w:pPr>
        <w:pStyle w:val="Default"/>
        <w:ind w:firstLine="720"/>
        <w:jc w:val="both"/>
      </w:pPr>
    </w:p>
    <w:p w:rsidR="00C02CEA" w:rsidRDefault="0047601B" w:rsidP="00485F2D">
      <w:pPr>
        <w:pStyle w:val="Default"/>
        <w:ind w:firstLine="720"/>
        <w:jc w:val="both"/>
        <w:rPr>
          <w:b/>
        </w:rPr>
      </w:pPr>
      <w:r w:rsidRPr="0047601B">
        <w:rPr>
          <w:b/>
        </w:rPr>
        <w:t>Iesaistītās institūcijas, funkciju un atbildības sadalījums</w:t>
      </w:r>
    </w:p>
    <w:p w:rsidR="0047601B" w:rsidRPr="0047601B" w:rsidRDefault="0047601B" w:rsidP="00485F2D">
      <w:pPr>
        <w:pStyle w:val="Default"/>
        <w:ind w:firstLine="720"/>
        <w:jc w:val="both"/>
        <w:rPr>
          <w:bCs/>
        </w:rPr>
      </w:pPr>
      <w:r w:rsidRPr="0047601B">
        <w:rPr>
          <w:bCs/>
        </w:rPr>
        <w:t xml:space="preserve">Atbilstoši Eiropas Savienības struktūrfondu un Kohēzijas fonda 2014.—2020.gada plānošanas perioda vadības likumā noteiktajam funkciju </w:t>
      </w:r>
      <w:r w:rsidR="00FC3859" w:rsidRPr="009200E7">
        <w:t xml:space="preserve">un atbildības </w:t>
      </w:r>
      <w:r w:rsidRPr="0047601B">
        <w:rPr>
          <w:bCs/>
        </w:rPr>
        <w:t xml:space="preserve">sadalījumam </w:t>
      </w:r>
      <w:r w:rsidR="00FC3859" w:rsidRPr="009200E7">
        <w:rPr>
          <w:bCs/>
        </w:rPr>
        <w:t>vadošā</w:t>
      </w:r>
      <w:r w:rsidR="00FC3859">
        <w:rPr>
          <w:bCs/>
        </w:rPr>
        <w:t>s</w:t>
      </w:r>
      <w:r w:rsidR="00FC3859" w:rsidRPr="009200E7">
        <w:rPr>
          <w:bCs/>
        </w:rPr>
        <w:t xml:space="preserve"> iestāde</w:t>
      </w:r>
      <w:r w:rsidR="00FC3859">
        <w:rPr>
          <w:bCs/>
        </w:rPr>
        <w:t xml:space="preserve">s funkcijas pilda </w:t>
      </w:r>
      <w:r w:rsidR="00FC3859" w:rsidRPr="009200E7">
        <w:rPr>
          <w:bCs/>
        </w:rPr>
        <w:t xml:space="preserve">Finanšu ministrija, </w:t>
      </w:r>
      <w:r w:rsidRPr="0047601B">
        <w:rPr>
          <w:bCs/>
        </w:rPr>
        <w:t>atbildīgās iestādes</w:t>
      </w:r>
      <w:r w:rsidR="00FC3859">
        <w:rPr>
          <w:bCs/>
        </w:rPr>
        <w:t xml:space="preserve"> funkcijas </w:t>
      </w:r>
      <w:r w:rsidRPr="0047601B">
        <w:rPr>
          <w:bCs/>
        </w:rPr>
        <w:t xml:space="preserve">– IZM, </w:t>
      </w:r>
      <w:r w:rsidR="00FC3859">
        <w:rPr>
          <w:bCs/>
        </w:rPr>
        <w:t xml:space="preserve">bet </w:t>
      </w:r>
      <w:r w:rsidRPr="0047601B">
        <w:rPr>
          <w:bCs/>
        </w:rPr>
        <w:t>sadarbības iestādes funkcijas</w:t>
      </w:r>
      <w:r>
        <w:rPr>
          <w:bCs/>
        </w:rPr>
        <w:t xml:space="preserve"> –</w:t>
      </w:r>
      <w:r w:rsidRPr="0047601B">
        <w:rPr>
          <w:bCs/>
        </w:rPr>
        <w:t xml:space="preserve"> C</w:t>
      </w:r>
      <w:r w:rsidR="0031543B">
        <w:rPr>
          <w:bCs/>
        </w:rPr>
        <w:t>entrālā finanšu un līgumu aģentūra (C</w:t>
      </w:r>
      <w:r w:rsidRPr="0047601B">
        <w:rPr>
          <w:bCs/>
        </w:rPr>
        <w:t>FLA</w:t>
      </w:r>
      <w:r w:rsidR="0031543B">
        <w:rPr>
          <w:bCs/>
        </w:rPr>
        <w:t>)</w:t>
      </w:r>
      <w:r w:rsidRPr="0047601B">
        <w:rPr>
          <w:bCs/>
        </w:rPr>
        <w:t>.</w:t>
      </w:r>
      <w:r w:rsidRPr="0047601B">
        <w:t xml:space="preserve"> </w:t>
      </w:r>
      <w:r w:rsidRPr="00C92EEE">
        <w:t>Ieviešot 8.1.4.</w:t>
      </w:r>
      <w:r w:rsidR="00F82F41" w:rsidRPr="00F82F41">
        <w:t xml:space="preserve"> </w:t>
      </w:r>
      <w:r w:rsidR="00F82F41" w:rsidRPr="00C92EEE">
        <w:t>SAM</w:t>
      </w:r>
      <w:r w:rsidRPr="00C92EEE">
        <w:t>, jāizvērtē nepieciešamīb</w:t>
      </w:r>
      <w:r>
        <w:t xml:space="preserve">u </w:t>
      </w:r>
      <w:r w:rsidRPr="00C92EEE">
        <w:t>iesaistīt</w:t>
      </w:r>
      <w:r>
        <w:t xml:space="preserve"> </w:t>
      </w:r>
      <w:r w:rsidRPr="00C92EEE">
        <w:t xml:space="preserve">papildu </w:t>
      </w:r>
      <w:r>
        <w:t>institūcijas</w:t>
      </w:r>
      <w:r w:rsidRPr="00C92EEE">
        <w:t xml:space="preserve">. Koledžu sadarbība varētu veidoties ar nozares darba devējiem, piemēram, </w:t>
      </w:r>
      <w:r>
        <w:t xml:space="preserve">par iekārtu iegādi, </w:t>
      </w:r>
      <w:r w:rsidRPr="00C92EEE">
        <w:t>kas atbilst mūsdienu prasībām un ir nepieciešamas katras konkrētās nozares att</w:t>
      </w:r>
      <w:r>
        <w:t>ī</w:t>
      </w:r>
      <w:r w:rsidRPr="00C92EEE">
        <w:t>stībai.</w:t>
      </w:r>
    </w:p>
    <w:p w:rsidR="00F4731B" w:rsidRDefault="00F4731B" w:rsidP="00485F2D">
      <w:pPr>
        <w:ind w:firstLine="720"/>
        <w:rPr>
          <w:lang w:bidi="lo-LA"/>
        </w:rPr>
      </w:pPr>
    </w:p>
    <w:p w:rsidR="00F4731B" w:rsidRPr="00F4731B" w:rsidRDefault="00F4731B" w:rsidP="00485F2D">
      <w:pPr>
        <w:ind w:firstLine="720"/>
        <w:rPr>
          <w:b/>
          <w:lang w:bidi="lo-LA"/>
        </w:rPr>
      </w:pPr>
      <w:r w:rsidRPr="00F4731B">
        <w:rPr>
          <w:b/>
          <w:lang w:bidi="lo-LA"/>
        </w:rPr>
        <w:t xml:space="preserve">8.1.4. </w:t>
      </w:r>
      <w:r w:rsidR="00F82F41" w:rsidRPr="00F4731B">
        <w:rPr>
          <w:b/>
          <w:lang w:bidi="lo-LA"/>
        </w:rPr>
        <w:t xml:space="preserve">SAM </w:t>
      </w:r>
      <w:r w:rsidRPr="00F4731B">
        <w:rPr>
          <w:b/>
          <w:lang w:bidi="lo-LA"/>
        </w:rPr>
        <w:t>ieviešanas laika grafiks</w:t>
      </w:r>
    </w:p>
    <w:p w:rsidR="00381258" w:rsidRDefault="00EB5DF4" w:rsidP="00485F2D">
      <w:pPr>
        <w:ind w:firstLine="720"/>
        <w:rPr>
          <w:lang w:bidi="lo-LA"/>
        </w:rPr>
      </w:pPr>
      <w:r>
        <w:rPr>
          <w:lang w:bidi="lo-LA"/>
        </w:rPr>
        <w:t xml:space="preserve">Vienlaikus ar novērtējumu </w:t>
      </w:r>
      <w:r w:rsidR="00381258">
        <w:rPr>
          <w:lang w:bidi="lo-LA"/>
        </w:rPr>
        <w:t>tiks sagatavoti projektu iesniegumu vērtēšanas kritēriji (iesniegt</w:t>
      </w:r>
      <w:r w:rsidR="00C60504">
        <w:rPr>
          <w:lang w:bidi="lo-LA"/>
        </w:rPr>
        <w:t>i</w:t>
      </w:r>
      <w:r w:rsidR="00381258">
        <w:rPr>
          <w:lang w:bidi="lo-LA"/>
        </w:rPr>
        <w:t xml:space="preserve"> </w:t>
      </w:r>
      <w:r w:rsidR="00381258" w:rsidRPr="00204116">
        <w:rPr>
          <w:szCs w:val="24"/>
        </w:rPr>
        <w:t>Izglītības, prasmju un mūžizglītības prioritārā virziena</w:t>
      </w:r>
      <w:r w:rsidR="00381258">
        <w:rPr>
          <w:lang w:bidi="lo-LA"/>
        </w:rPr>
        <w:t xml:space="preserve"> ap</w:t>
      </w:r>
      <w:r w:rsidR="008D11A9">
        <w:rPr>
          <w:lang w:bidi="lo-LA"/>
        </w:rPr>
        <w:t>a</w:t>
      </w:r>
      <w:r w:rsidR="00381258">
        <w:rPr>
          <w:lang w:bidi="lo-LA"/>
        </w:rPr>
        <w:t>kškomit</w:t>
      </w:r>
      <w:r w:rsidR="0031543B">
        <w:rPr>
          <w:lang w:bidi="lo-LA"/>
        </w:rPr>
        <w:t>e</w:t>
      </w:r>
      <w:r w:rsidR="00381258">
        <w:rPr>
          <w:lang w:bidi="lo-LA"/>
        </w:rPr>
        <w:t xml:space="preserve">jā </w:t>
      </w:r>
      <w:r w:rsidR="00D46A94">
        <w:rPr>
          <w:lang w:bidi="lo-LA"/>
        </w:rPr>
        <w:t>2016</w:t>
      </w:r>
      <w:r w:rsidR="00381258">
        <w:rPr>
          <w:lang w:bidi="lo-LA"/>
        </w:rPr>
        <w:t xml:space="preserve">.g. </w:t>
      </w:r>
      <w:r w:rsidR="00C60504">
        <w:rPr>
          <w:lang w:bidi="lo-LA"/>
        </w:rPr>
        <w:t>21.</w:t>
      </w:r>
      <w:r w:rsidR="00A44146">
        <w:rPr>
          <w:lang w:bidi="lo-LA"/>
        </w:rPr>
        <w:t>aprīlī</w:t>
      </w:r>
      <w:r w:rsidR="00381258">
        <w:rPr>
          <w:lang w:bidi="lo-LA"/>
        </w:rPr>
        <w:t>)</w:t>
      </w:r>
      <w:r>
        <w:rPr>
          <w:lang w:bidi="lo-LA"/>
        </w:rPr>
        <w:t xml:space="preserve"> un</w:t>
      </w:r>
      <w:proofErr w:type="gramStart"/>
      <w:r w:rsidR="00624FC6">
        <w:rPr>
          <w:lang w:bidi="lo-LA"/>
        </w:rPr>
        <w:t xml:space="preserve"> </w:t>
      </w:r>
      <w:r w:rsidR="00381258">
        <w:rPr>
          <w:lang w:bidi="lo-LA"/>
        </w:rPr>
        <w:t xml:space="preserve"> </w:t>
      </w:r>
      <w:proofErr w:type="gramEnd"/>
      <w:r w:rsidR="00381258">
        <w:rPr>
          <w:lang w:bidi="lo-LA"/>
        </w:rPr>
        <w:t xml:space="preserve">Ministru kabineta </w:t>
      </w:r>
      <w:r w:rsidR="00381258" w:rsidRPr="00381258">
        <w:rPr>
          <w:lang w:bidi="lo-LA"/>
        </w:rPr>
        <w:t>noteikum</w:t>
      </w:r>
      <w:r w:rsidR="00624FC6">
        <w:rPr>
          <w:lang w:bidi="lo-LA"/>
        </w:rPr>
        <w:t>i</w:t>
      </w:r>
      <w:r w:rsidR="00381258">
        <w:rPr>
          <w:lang w:bidi="lo-LA"/>
        </w:rPr>
        <w:t xml:space="preserve"> par 8.1.4. </w:t>
      </w:r>
      <w:r w:rsidR="000E5720">
        <w:rPr>
          <w:lang w:bidi="lo-LA"/>
        </w:rPr>
        <w:t xml:space="preserve">SAM </w:t>
      </w:r>
      <w:r w:rsidR="00381258">
        <w:rPr>
          <w:lang w:bidi="lo-LA"/>
        </w:rPr>
        <w:t>īstenošanu</w:t>
      </w:r>
      <w:r w:rsidR="00381258" w:rsidRPr="00381258">
        <w:rPr>
          <w:lang w:bidi="lo-LA"/>
        </w:rPr>
        <w:t xml:space="preserve"> </w:t>
      </w:r>
      <w:r w:rsidR="00624FC6">
        <w:rPr>
          <w:lang w:bidi="lo-LA"/>
        </w:rPr>
        <w:t>(</w:t>
      </w:r>
      <w:r w:rsidR="00381258" w:rsidRPr="00381258">
        <w:rPr>
          <w:lang w:bidi="lo-LA"/>
        </w:rPr>
        <w:t>izsludinā</w:t>
      </w:r>
      <w:r w:rsidR="00381258">
        <w:rPr>
          <w:lang w:bidi="lo-LA"/>
        </w:rPr>
        <w:t>t</w:t>
      </w:r>
      <w:r w:rsidR="00C60504">
        <w:rPr>
          <w:lang w:bidi="lo-LA"/>
        </w:rPr>
        <w:t>i</w:t>
      </w:r>
      <w:r w:rsidR="00381258">
        <w:rPr>
          <w:lang w:bidi="lo-LA"/>
        </w:rPr>
        <w:t xml:space="preserve"> Valsts sekretāru sanāksmē </w:t>
      </w:r>
      <w:r w:rsidR="00391B77">
        <w:rPr>
          <w:lang w:bidi="lo-LA"/>
        </w:rPr>
        <w:t>2016</w:t>
      </w:r>
      <w:r w:rsidR="00381258">
        <w:rPr>
          <w:lang w:bidi="lo-LA"/>
        </w:rPr>
        <w:t xml:space="preserve">.gada </w:t>
      </w:r>
      <w:r w:rsidR="00C60504">
        <w:rPr>
          <w:lang w:bidi="lo-LA"/>
        </w:rPr>
        <w:t>21.</w:t>
      </w:r>
      <w:r w:rsidR="00E80F0C">
        <w:rPr>
          <w:lang w:bidi="lo-LA"/>
        </w:rPr>
        <w:t>aprīlī</w:t>
      </w:r>
      <w:r w:rsidR="00624FC6">
        <w:rPr>
          <w:lang w:bidi="lo-LA"/>
        </w:rPr>
        <w:t>)</w:t>
      </w:r>
      <w:r w:rsidR="00381258">
        <w:rPr>
          <w:lang w:bidi="lo-LA"/>
        </w:rPr>
        <w:t xml:space="preserve">. </w:t>
      </w:r>
      <w:r>
        <w:rPr>
          <w:lang w:bidi="lo-LA"/>
        </w:rPr>
        <w:t>P</w:t>
      </w:r>
      <w:r w:rsidR="00381258">
        <w:rPr>
          <w:lang w:bidi="lo-LA"/>
        </w:rPr>
        <w:t xml:space="preserve">ēc MK noteikumu par 8.1.4. </w:t>
      </w:r>
      <w:r w:rsidR="00F82F41">
        <w:rPr>
          <w:lang w:bidi="lo-LA"/>
        </w:rPr>
        <w:t xml:space="preserve">SAM </w:t>
      </w:r>
      <w:r w:rsidR="00381258">
        <w:rPr>
          <w:lang w:bidi="lo-LA"/>
        </w:rPr>
        <w:t>īstenošanu</w:t>
      </w:r>
      <w:r w:rsidR="00381258" w:rsidRPr="00381258">
        <w:rPr>
          <w:lang w:bidi="lo-LA"/>
        </w:rPr>
        <w:t xml:space="preserve"> </w:t>
      </w:r>
      <w:r w:rsidR="00381258">
        <w:rPr>
          <w:lang w:bidi="lo-LA"/>
        </w:rPr>
        <w:t>apstiprināšanas MK</w:t>
      </w:r>
      <w:r>
        <w:rPr>
          <w:lang w:bidi="lo-LA"/>
        </w:rPr>
        <w:t xml:space="preserve"> (plānots 2016.gada </w:t>
      </w:r>
      <w:r w:rsidR="00C60504">
        <w:rPr>
          <w:lang w:bidi="lo-LA"/>
        </w:rPr>
        <w:t>jūnijā</w:t>
      </w:r>
      <w:r>
        <w:rPr>
          <w:lang w:bidi="lo-LA"/>
        </w:rPr>
        <w:t>)</w:t>
      </w:r>
      <w:r w:rsidR="00381258">
        <w:rPr>
          <w:lang w:bidi="lo-LA"/>
        </w:rPr>
        <w:t>, tiks uzsākta projektu iesniegumu atlase</w:t>
      </w:r>
      <w:r>
        <w:rPr>
          <w:lang w:bidi="lo-LA"/>
        </w:rPr>
        <w:t xml:space="preserve"> (plānots 2016.gada septembrī)</w:t>
      </w:r>
      <w:r w:rsidR="00381258">
        <w:rPr>
          <w:lang w:bidi="lo-LA"/>
        </w:rPr>
        <w:t>.</w:t>
      </w:r>
    </w:p>
    <w:p w:rsidR="00F4731B" w:rsidRDefault="00F4731B" w:rsidP="00485F2D">
      <w:pPr>
        <w:ind w:firstLine="720"/>
        <w:rPr>
          <w:lang w:bidi="lo-LA"/>
        </w:rPr>
      </w:pPr>
      <w:r>
        <w:rPr>
          <w:lang w:bidi="lo-LA"/>
        </w:rPr>
        <w:t xml:space="preserve">8.1.4. </w:t>
      </w:r>
      <w:r w:rsidR="00F82F41">
        <w:rPr>
          <w:lang w:bidi="lo-LA"/>
        </w:rPr>
        <w:t xml:space="preserve">SAM </w:t>
      </w:r>
      <w:r>
        <w:rPr>
          <w:lang w:bidi="lo-LA"/>
        </w:rPr>
        <w:t>ietvaros p</w:t>
      </w:r>
      <w:r w:rsidRPr="001158FB">
        <w:rPr>
          <w:lang w:bidi="lo-LA"/>
        </w:rPr>
        <w:t xml:space="preserve">rojektus plānots </w:t>
      </w:r>
      <w:r>
        <w:rPr>
          <w:lang w:bidi="lo-LA"/>
        </w:rPr>
        <w:t xml:space="preserve">īstenot 2 </w:t>
      </w:r>
      <w:r w:rsidR="004457ED">
        <w:rPr>
          <w:lang w:bidi="lo-LA"/>
        </w:rPr>
        <w:t>–</w:t>
      </w:r>
      <w:r>
        <w:rPr>
          <w:lang w:bidi="lo-LA"/>
        </w:rPr>
        <w:t xml:space="preserve"> 4 gadus. Noslēgt vienošanās par projektu īstenošanu plānots indikatīvi </w:t>
      </w:r>
      <w:r w:rsidR="00104EBC">
        <w:rPr>
          <w:lang w:bidi="lo-LA"/>
        </w:rPr>
        <w:t>2017</w:t>
      </w:r>
      <w:r>
        <w:rPr>
          <w:lang w:bidi="lo-LA"/>
        </w:rPr>
        <w:t xml:space="preserve">.gada I ceturksnī, savukārt izdevumu </w:t>
      </w:r>
      <w:proofErr w:type="spellStart"/>
      <w:r>
        <w:rPr>
          <w:lang w:bidi="lo-LA"/>
        </w:rPr>
        <w:t>a</w:t>
      </w:r>
      <w:r w:rsidRPr="00E43AE1">
        <w:rPr>
          <w:lang w:bidi="lo-LA"/>
        </w:rPr>
        <w:t>ttiecin</w:t>
      </w:r>
      <w:r>
        <w:rPr>
          <w:lang w:bidi="lo-LA"/>
        </w:rPr>
        <w:t>ā</w:t>
      </w:r>
      <w:r w:rsidRPr="00E43AE1">
        <w:rPr>
          <w:lang w:bidi="lo-LA"/>
        </w:rPr>
        <w:t>mības</w:t>
      </w:r>
      <w:proofErr w:type="spellEnd"/>
      <w:r w:rsidRPr="00E43AE1">
        <w:rPr>
          <w:lang w:bidi="lo-LA"/>
        </w:rPr>
        <w:t xml:space="preserve"> p</w:t>
      </w:r>
      <w:r>
        <w:rPr>
          <w:lang w:bidi="lo-LA"/>
        </w:rPr>
        <w:t xml:space="preserve">eriods plānots </w:t>
      </w:r>
      <w:r w:rsidR="00381258">
        <w:rPr>
          <w:lang w:bidi="lo-LA"/>
        </w:rPr>
        <w:t xml:space="preserve">jau </w:t>
      </w:r>
      <w:r>
        <w:rPr>
          <w:lang w:bidi="lo-LA"/>
        </w:rPr>
        <w:t xml:space="preserve">no MK noteikumu par 8.1.4. </w:t>
      </w:r>
      <w:r w:rsidR="00F82F41">
        <w:rPr>
          <w:lang w:bidi="lo-LA"/>
        </w:rPr>
        <w:t xml:space="preserve">SAM </w:t>
      </w:r>
      <w:r>
        <w:rPr>
          <w:lang w:bidi="lo-LA"/>
        </w:rPr>
        <w:t>īstenošan</w:t>
      </w:r>
      <w:r w:rsidR="00A74834">
        <w:rPr>
          <w:lang w:bidi="lo-LA"/>
        </w:rPr>
        <w:t>u pieņemšanas Ministru kabinetā (</w:t>
      </w:r>
      <w:r w:rsidRPr="00CD683F">
        <w:rPr>
          <w:lang w:bidi="lo-LA"/>
        </w:rPr>
        <w:t>indikatīvi 2016.g.</w:t>
      </w:r>
      <w:r w:rsidR="00E75523" w:rsidRPr="00CD683F">
        <w:rPr>
          <w:lang w:bidi="lo-LA"/>
        </w:rPr>
        <w:t>jūnijs</w:t>
      </w:r>
      <w:r w:rsidR="00A74834" w:rsidRPr="00CD683F">
        <w:rPr>
          <w:lang w:bidi="lo-LA"/>
        </w:rPr>
        <w:t>), ņemot vērā, ka</w:t>
      </w:r>
      <w:r w:rsidR="00E90950" w:rsidRPr="00CD683F">
        <w:rPr>
          <w:lang w:bidi="lo-LA"/>
        </w:rPr>
        <w:t xml:space="preserve"> </w:t>
      </w:r>
      <w:r w:rsidR="00A74834" w:rsidRPr="00CD683F">
        <w:rPr>
          <w:lang w:bidi="lo-LA"/>
        </w:rPr>
        <w:t xml:space="preserve">plānots </w:t>
      </w:r>
      <w:r w:rsidR="00E90950" w:rsidRPr="00CD683F">
        <w:rPr>
          <w:lang w:bidi="lo-LA"/>
        </w:rPr>
        <w:t>noteikt</w:t>
      </w:r>
      <w:r w:rsidR="00A74834" w:rsidRPr="00CD683F">
        <w:rPr>
          <w:lang w:bidi="lo-LA"/>
        </w:rPr>
        <w:t xml:space="preserve"> </w:t>
      </w:r>
      <w:r w:rsidR="00AE617F" w:rsidRPr="00CD683F">
        <w:rPr>
          <w:lang w:bidi="lo-LA"/>
        </w:rPr>
        <w:t>augstu</w:t>
      </w:r>
      <w:r w:rsidR="00F82F41" w:rsidRPr="00CD683F">
        <w:rPr>
          <w:lang w:bidi="lo-LA"/>
        </w:rPr>
        <w:t xml:space="preserve"> </w:t>
      </w:r>
      <w:r w:rsidR="00A74834" w:rsidRPr="00CD683F">
        <w:rPr>
          <w:lang w:bidi="lo-LA"/>
        </w:rPr>
        <w:t>gatavīb</w:t>
      </w:r>
      <w:r w:rsidR="00E90950" w:rsidRPr="002A5E92">
        <w:rPr>
          <w:lang w:bidi="lo-LA"/>
        </w:rPr>
        <w:t xml:space="preserve">as pakāpi </w:t>
      </w:r>
      <w:r w:rsidR="00A74834" w:rsidRPr="002A5E92">
        <w:rPr>
          <w:lang w:bidi="lo-LA"/>
        </w:rPr>
        <w:t>projektu uzsākšanai (</w:t>
      </w:r>
      <w:r w:rsidR="00A44146" w:rsidRPr="00713D6C">
        <w:t>pamatots iepērkamā aprīkojuma saraksts,</w:t>
      </w:r>
      <w:r w:rsidR="00A44146" w:rsidRPr="00713D6C">
        <w:rPr>
          <w:lang w:eastAsia="lv-LV"/>
        </w:rPr>
        <w:t xml:space="preserve"> </w:t>
      </w:r>
      <w:r w:rsidR="003B6AAD" w:rsidRPr="00713D6C">
        <w:rPr>
          <w:lang w:eastAsia="lv-LV"/>
        </w:rPr>
        <w:t xml:space="preserve">tostarp saskaņots ar </w:t>
      </w:r>
      <w:r w:rsidR="003B6AAD" w:rsidRPr="00713D6C">
        <w:rPr>
          <w:szCs w:val="22"/>
          <w:lang w:eastAsia="lv-LV"/>
        </w:rPr>
        <w:t>nozares profesionālo organizāciju va</w:t>
      </w:r>
      <w:r w:rsidR="003B6AAD" w:rsidRPr="00CD683F">
        <w:rPr>
          <w:szCs w:val="22"/>
          <w:lang w:eastAsia="lv-LV"/>
        </w:rPr>
        <w:t>i atbilstošu Nozares ekspertu padomi</w:t>
      </w:r>
      <w:r w:rsidR="00A44146" w:rsidRPr="00CD683F">
        <w:rPr>
          <w:lang w:eastAsia="lv-LV"/>
        </w:rPr>
        <w:t xml:space="preserve">, </w:t>
      </w:r>
      <w:r w:rsidR="00A44146" w:rsidRPr="00CD683F">
        <w:t xml:space="preserve">veikts aprīkojuma iegādes izmaksu aprēķins, un </w:t>
      </w:r>
      <w:r w:rsidR="00F82F41" w:rsidRPr="00CD683F">
        <w:rPr>
          <w:szCs w:val="24"/>
        </w:rPr>
        <w:t>sagatavota tehniskā dokumentācija aprīkojuma iepirkumam</w:t>
      </w:r>
      <w:r w:rsidR="00A74834" w:rsidRPr="00CD683F">
        <w:rPr>
          <w:lang w:bidi="lo-LA"/>
        </w:rPr>
        <w:t>).</w:t>
      </w:r>
      <w:r w:rsidR="00F82F41" w:rsidRPr="00F82F41">
        <w:rPr>
          <w:szCs w:val="24"/>
        </w:rPr>
        <w:t xml:space="preserve"> </w:t>
      </w:r>
    </w:p>
    <w:p w:rsidR="00C43701" w:rsidRDefault="00C43701" w:rsidP="00485F2D">
      <w:pPr>
        <w:autoSpaceDE w:val="0"/>
        <w:autoSpaceDN w:val="0"/>
        <w:adjustRightInd w:val="0"/>
        <w:ind w:firstLine="720"/>
        <w:rPr>
          <w:b/>
          <w:szCs w:val="24"/>
        </w:rPr>
      </w:pPr>
    </w:p>
    <w:p w:rsidR="00C02CEA" w:rsidRDefault="001064B3" w:rsidP="001064B3">
      <w:pPr>
        <w:pStyle w:val="Heading2"/>
      </w:pPr>
      <w:bookmarkStart w:id="42" w:name="_Toc445290207"/>
      <w:r>
        <w:lastRenderedPageBreak/>
        <w:t xml:space="preserve">4.2. </w:t>
      </w:r>
      <w:r w:rsidR="00C02CEA" w:rsidRPr="00FF1EE0">
        <w:t xml:space="preserve">Sinerģija un demarkācija </w:t>
      </w:r>
      <w:r w:rsidR="002F1C38" w:rsidRPr="00FF1EE0">
        <w:t xml:space="preserve">ar citiem </w:t>
      </w:r>
      <w:r w:rsidR="00CB68D2">
        <w:t>specifiskajiem atbalsta mērķiem</w:t>
      </w:r>
      <w:r w:rsidR="002F1C38" w:rsidRPr="00FF1EE0">
        <w:t xml:space="preserve"> augstākās un profesionālās izglītības jomā</w:t>
      </w:r>
      <w:bookmarkEnd w:id="42"/>
    </w:p>
    <w:p w:rsidR="001064B3" w:rsidRPr="001064B3" w:rsidRDefault="001064B3" w:rsidP="001064B3"/>
    <w:p w:rsidR="00C02CEA" w:rsidRPr="00FF1EE0" w:rsidRDefault="00C02CEA" w:rsidP="0031543B">
      <w:pPr>
        <w:autoSpaceDE w:val="0"/>
        <w:autoSpaceDN w:val="0"/>
        <w:adjustRightInd w:val="0"/>
        <w:ind w:firstLine="720"/>
        <w:rPr>
          <w:szCs w:val="24"/>
        </w:rPr>
      </w:pPr>
      <w:r w:rsidRPr="00FF1EE0">
        <w:rPr>
          <w:szCs w:val="24"/>
        </w:rPr>
        <w:t xml:space="preserve">8.1.4. </w:t>
      </w:r>
      <w:r w:rsidR="00F82F41" w:rsidRPr="00FF1EE0">
        <w:rPr>
          <w:szCs w:val="24"/>
        </w:rPr>
        <w:t xml:space="preserve">SAM </w:t>
      </w:r>
      <w:r w:rsidRPr="00FF1EE0">
        <w:rPr>
          <w:szCs w:val="24"/>
        </w:rPr>
        <w:t>ietvaros plānotās darbības papildinās līdz šim veiktos ieguldījumus 2007.–2013.gad</w:t>
      </w:r>
      <w:r w:rsidR="009A7775">
        <w:rPr>
          <w:szCs w:val="24"/>
        </w:rPr>
        <w:t>a plānošanas perioda 3.1.2.1.1.</w:t>
      </w:r>
      <w:r w:rsidRPr="00FF1EE0">
        <w:rPr>
          <w:szCs w:val="24"/>
        </w:rPr>
        <w:t>apakšaktivitātes projekt</w:t>
      </w:r>
      <w:r w:rsidR="002D00DC" w:rsidRPr="00FF1EE0">
        <w:rPr>
          <w:szCs w:val="24"/>
        </w:rPr>
        <w:t>u ietvaros</w:t>
      </w:r>
      <w:r w:rsidRPr="00FF1EE0">
        <w:rPr>
          <w:szCs w:val="24"/>
        </w:rPr>
        <w:t xml:space="preserve">. </w:t>
      </w:r>
      <w:r w:rsidR="002D00DC" w:rsidRPr="00FF1EE0">
        <w:rPr>
          <w:szCs w:val="24"/>
        </w:rPr>
        <w:t xml:space="preserve">Vienlaikus </w:t>
      </w:r>
      <w:r w:rsidRPr="00FF1EE0">
        <w:rPr>
          <w:szCs w:val="24"/>
        </w:rPr>
        <w:t xml:space="preserve">8.1.4.SAM ietvaros plānotās ERAF investīcijas koledžu infrastruktūrā papildinās </w:t>
      </w:r>
      <w:r w:rsidR="002D00DC" w:rsidRPr="00FF1EE0">
        <w:rPr>
          <w:szCs w:val="24"/>
        </w:rPr>
        <w:t>2014.</w:t>
      </w:r>
      <w:r w:rsidR="004457ED" w:rsidRPr="004457ED">
        <w:rPr>
          <w:lang w:bidi="lo-LA"/>
        </w:rPr>
        <w:t xml:space="preserve"> </w:t>
      </w:r>
      <w:r w:rsidR="004457ED">
        <w:rPr>
          <w:lang w:bidi="lo-LA"/>
        </w:rPr>
        <w:t>–</w:t>
      </w:r>
      <w:r w:rsidR="002D00DC" w:rsidRPr="00FF1EE0">
        <w:rPr>
          <w:szCs w:val="24"/>
        </w:rPr>
        <w:t>2020.gada</w:t>
      </w:r>
      <w:r w:rsidRPr="00FF1EE0">
        <w:rPr>
          <w:szCs w:val="24"/>
        </w:rPr>
        <w:t xml:space="preserve"> plānošanas perioda 8.2.1.</w:t>
      </w:r>
      <w:r w:rsidR="002D00DC" w:rsidRPr="00FF1EE0">
        <w:rPr>
          <w:szCs w:val="24"/>
        </w:rPr>
        <w:t xml:space="preserve"> </w:t>
      </w:r>
      <w:r w:rsidR="00F82F41" w:rsidRPr="00FF1EE0">
        <w:rPr>
          <w:szCs w:val="24"/>
        </w:rPr>
        <w:t xml:space="preserve">SAM </w:t>
      </w:r>
      <w:r w:rsidR="002D00DC" w:rsidRPr="00FF1EE0">
        <w:rPr>
          <w:szCs w:val="24"/>
        </w:rPr>
        <w:t xml:space="preserve">“Samazināt studiju programmu fragmentāciju un stiprināt resursu koplietošanu” (turpmāk </w:t>
      </w:r>
      <w:r w:rsidR="004457ED">
        <w:rPr>
          <w:lang w:bidi="lo-LA"/>
        </w:rPr>
        <w:t>–</w:t>
      </w:r>
      <w:r w:rsidR="002D00DC" w:rsidRPr="00FF1EE0">
        <w:rPr>
          <w:szCs w:val="24"/>
        </w:rPr>
        <w:t xml:space="preserve"> 8.2.1</w:t>
      </w:r>
      <w:r w:rsidR="00F82F41">
        <w:rPr>
          <w:szCs w:val="24"/>
        </w:rPr>
        <w:t>.</w:t>
      </w:r>
      <w:r w:rsidR="00F82F41" w:rsidRPr="00FF1EE0">
        <w:rPr>
          <w:szCs w:val="24"/>
        </w:rPr>
        <w:t>SAM</w:t>
      </w:r>
      <w:r w:rsidR="002D00DC" w:rsidRPr="00FF1EE0">
        <w:rPr>
          <w:szCs w:val="24"/>
        </w:rPr>
        <w:t>)</w:t>
      </w:r>
      <w:r w:rsidRPr="00FF1EE0">
        <w:rPr>
          <w:szCs w:val="24"/>
        </w:rPr>
        <w:t>, 8.2.2.</w:t>
      </w:r>
      <w:r w:rsidR="002D00DC" w:rsidRPr="00FF1EE0">
        <w:rPr>
          <w:szCs w:val="24"/>
        </w:rPr>
        <w:t xml:space="preserve"> </w:t>
      </w:r>
      <w:r w:rsidR="00F82F41" w:rsidRPr="00FF1EE0">
        <w:rPr>
          <w:szCs w:val="24"/>
        </w:rPr>
        <w:t xml:space="preserve">SAM </w:t>
      </w:r>
      <w:r w:rsidR="002D00DC" w:rsidRPr="00FF1EE0">
        <w:rPr>
          <w:szCs w:val="24"/>
        </w:rPr>
        <w:t xml:space="preserve">“Stiprināt augstākās izglītības institūciju akadēmisko personālu stratēģiskās specializācijas jomās” (turpmāk </w:t>
      </w:r>
      <w:r w:rsidR="004457ED">
        <w:rPr>
          <w:lang w:bidi="lo-LA"/>
        </w:rPr>
        <w:t>–</w:t>
      </w:r>
      <w:r w:rsidR="002D00DC" w:rsidRPr="00FF1EE0">
        <w:rPr>
          <w:szCs w:val="24"/>
        </w:rPr>
        <w:t xml:space="preserve"> 8.2.2</w:t>
      </w:r>
      <w:r w:rsidR="00F82F41">
        <w:rPr>
          <w:szCs w:val="24"/>
        </w:rPr>
        <w:t>.</w:t>
      </w:r>
      <w:r w:rsidR="00F82F41" w:rsidRPr="00F82F41">
        <w:rPr>
          <w:szCs w:val="24"/>
        </w:rPr>
        <w:t xml:space="preserve"> </w:t>
      </w:r>
      <w:r w:rsidR="00F82F41" w:rsidRPr="00FF1EE0">
        <w:rPr>
          <w:szCs w:val="24"/>
        </w:rPr>
        <w:t>SAM</w:t>
      </w:r>
      <w:r w:rsidR="002D00DC" w:rsidRPr="00FF1EE0">
        <w:rPr>
          <w:szCs w:val="24"/>
        </w:rPr>
        <w:t xml:space="preserve">) un </w:t>
      </w:r>
      <w:r w:rsidRPr="00FF1EE0">
        <w:rPr>
          <w:szCs w:val="24"/>
        </w:rPr>
        <w:t xml:space="preserve">8.2.3. </w:t>
      </w:r>
      <w:r w:rsidR="00F82F41" w:rsidRPr="00FF1EE0">
        <w:rPr>
          <w:szCs w:val="24"/>
        </w:rPr>
        <w:t xml:space="preserve">SAM </w:t>
      </w:r>
      <w:r w:rsidR="002D00DC" w:rsidRPr="00FF1EE0">
        <w:rPr>
          <w:szCs w:val="24"/>
        </w:rPr>
        <w:t xml:space="preserve">“Nodrošināt labāku pārvaldību augstākās izglītības institūcijās” (turpmāk </w:t>
      </w:r>
      <w:r w:rsidR="004457ED">
        <w:rPr>
          <w:lang w:bidi="lo-LA"/>
        </w:rPr>
        <w:t>–</w:t>
      </w:r>
      <w:r w:rsidR="002D00DC" w:rsidRPr="00FF1EE0">
        <w:rPr>
          <w:szCs w:val="24"/>
        </w:rPr>
        <w:t xml:space="preserve"> 8.2.3.</w:t>
      </w:r>
      <w:r w:rsidR="00F82F41">
        <w:rPr>
          <w:szCs w:val="24"/>
        </w:rPr>
        <w:t xml:space="preserve"> </w:t>
      </w:r>
      <w:r w:rsidR="00F82F41" w:rsidRPr="00FF1EE0">
        <w:rPr>
          <w:szCs w:val="24"/>
        </w:rPr>
        <w:t>SAM</w:t>
      </w:r>
      <w:r w:rsidR="002D00DC" w:rsidRPr="00FF1EE0">
        <w:rPr>
          <w:szCs w:val="24"/>
        </w:rPr>
        <w:t xml:space="preserve">) </w:t>
      </w:r>
      <w:r w:rsidRPr="00FF1EE0">
        <w:rPr>
          <w:szCs w:val="24"/>
        </w:rPr>
        <w:t xml:space="preserve">ietvaros </w:t>
      </w:r>
      <w:r w:rsidR="002D00DC" w:rsidRPr="00FF1EE0">
        <w:rPr>
          <w:szCs w:val="24"/>
        </w:rPr>
        <w:t xml:space="preserve">plānotās </w:t>
      </w:r>
      <w:r w:rsidRPr="00FF1EE0">
        <w:rPr>
          <w:szCs w:val="24"/>
        </w:rPr>
        <w:t xml:space="preserve">ESF investīcijas </w:t>
      </w:r>
      <w:r w:rsidR="002D00DC" w:rsidRPr="00FF1EE0">
        <w:rPr>
          <w:szCs w:val="24"/>
        </w:rPr>
        <w:t>augstākās izglītības institūcijās</w:t>
      </w:r>
      <w:r w:rsidRPr="00FF1EE0">
        <w:rPr>
          <w:szCs w:val="24"/>
        </w:rPr>
        <w:t>, tajā skaitā koledžās</w:t>
      </w:r>
      <w:r w:rsidR="002D00DC" w:rsidRPr="00FF1EE0">
        <w:rPr>
          <w:szCs w:val="24"/>
        </w:rPr>
        <w:t>,</w:t>
      </w:r>
      <w:r w:rsidRPr="00FF1EE0">
        <w:rPr>
          <w:szCs w:val="24"/>
        </w:rPr>
        <w:t xml:space="preserve"> ar mērķi konsolidēt un efektīvi izmantot pieejamos resursus, stiprināt izcilību studiju programmās, kā arī stiprināt akadēmiskā personāla kapacitāti un </w:t>
      </w:r>
      <w:r w:rsidR="002D00DC" w:rsidRPr="00FF1EE0">
        <w:rPr>
          <w:szCs w:val="24"/>
        </w:rPr>
        <w:t>augstākās izglītības institūciju</w:t>
      </w:r>
      <w:r w:rsidRPr="00FF1EE0">
        <w:rPr>
          <w:szCs w:val="24"/>
        </w:rPr>
        <w:t xml:space="preserve"> pārvaldību.</w:t>
      </w:r>
    </w:p>
    <w:p w:rsidR="00C02CEA" w:rsidRPr="00FF1EE0" w:rsidRDefault="00C02CEA" w:rsidP="0031543B">
      <w:pPr>
        <w:autoSpaceDE w:val="0"/>
        <w:autoSpaceDN w:val="0"/>
        <w:adjustRightInd w:val="0"/>
        <w:ind w:firstLine="720"/>
        <w:rPr>
          <w:szCs w:val="24"/>
        </w:rPr>
      </w:pPr>
      <w:r w:rsidRPr="00FF1EE0">
        <w:rPr>
          <w:szCs w:val="24"/>
        </w:rPr>
        <w:t xml:space="preserve">8.2.1. </w:t>
      </w:r>
      <w:r w:rsidR="00F82F41" w:rsidRPr="00FF1EE0">
        <w:rPr>
          <w:szCs w:val="24"/>
        </w:rPr>
        <w:t xml:space="preserve">SAM </w:t>
      </w:r>
      <w:r w:rsidR="002D00DC" w:rsidRPr="00FF1EE0">
        <w:rPr>
          <w:szCs w:val="24"/>
        </w:rPr>
        <w:t xml:space="preserve">ietvaros atbalsts plānots </w:t>
      </w:r>
      <w:r w:rsidRPr="00FF1EE0">
        <w:rPr>
          <w:szCs w:val="24"/>
        </w:rPr>
        <w:t>studiju programmu izstrāde</w:t>
      </w:r>
      <w:r w:rsidR="002D00DC" w:rsidRPr="00FF1EE0">
        <w:rPr>
          <w:szCs w:val="24"/>
        </w:rPr>
        <w:t>i</w:t>
      </w:r>
      <w:r w:rsidRPr="00FF1EE0">
        <w:rPr>
          <w:szCs w:val="24"/>
        </w:rPr>
        <w:t xml:space="preserve"> ES valodās, aprobācija</w:t>
      </w:r>
      <w:r w:rsidR="002D00DC" w:rsidRPr="00FF1EE0">
        <w:rPr>
          <w:szCs w:val="24"/>
        </w:rPr>
        <w:t>i</w:t>
      </w:r>
      <w:r w:rsidRPr="00FF1EE0">
        <w:rPr>
          <w:szCs w:val="24"/>
        </w:rPr>
        <w:t xml:space="preserve"> un akreditācija</w:t>
      </w:r>
      <w:r w:rsidR="002D00DC" w:rsidRPr="00FF1EE0">
        <w:rPr>
          <w:szCs w:val="24"/>
        </w:rPr>
        <w:t>i</w:t>
      </w:r>
      <w:r w:rsidRPr="00FF1EE0">
        <w:rPr>
          <w:szCs w:val="24"/>
        </w:rPr>
        <w:t>, tai skaitā akreditācijas izmaksu segšana</w:t>
      </w:r>
      <w:r w:rsidR="002D00DC" w:rsidRPr="00FF1EE0">
        <w:rPr>
          <w:szCs w:val="24"/>
        </w:rPr>
        <w:t>i</w:t>
      </w:r>
      <w:r w:rsidRPr="00FF1EE0">
        <w:rPr>
          <w:szCs w:val="24"/>
        </w:rPr>
        <w:t xml:space="preserve"> starptautis</w:t>
      </w:r>
      <w:r w:rsidR="002D00DC" w:rsidRPr="00FF1EE0">
        <w:rPr>
          <w:szCs w:val="24"/>
        </w:rPr>
        <w:t xml:space="preserve">kās profesionālās organizācijās, kā arī </w:t>
      </w:r>
      <w:r w:rsidRPr="00FF1EE0">
        <w:rPr>
          <w:szCs w:val="24"/>
        </w:rPr>
        <w:t>izstrādāto un akreditēto studiju programmu starptautisk</w:t>
      </w:r>
      <w:r w:rsidR="002D00DC" w:rsidRPr="00FF1EE0">
        <w:rPr>
          <w:szCs w:val="24"/>
        </w:rPr>
        <w:t>ajai</w:t>
      </w:r>
      <w:r w:rsidRPr="00FF1EE0">
        <w:rPr>
          <w:szCs w:val="24"/>
        </w:rPr>
        <w:t xml:space="preserve"> publicitāte</w:t>
      </w:r>
      <w:r w:rsidR="002D00DC" w:rsidRPr="00FF1EE0">
        <w:rPr>
          <w:szCs w:val="24"/>
        </w:rPr>
        <w:t>i</w:t>
      </w:r>
      <w:r w:rsidRPr="00FF1EE0">
        <w:rPr>
          <w:szCs w:val="24"/>
        </w:rPr>
        <w:t xml:space="preserve">. </w:t>
      </w:r>
      <w:r w:rsidR="00CC1296" w:rsidRPr="00FF1EE0">
        <w:rPr>
          <w:szCs w:val="24"/>
        </w:rPr>
        <w:t xml:space="preserve">Koledžu iesaistīšanās 8.2.1. </w:t>
      </w:r>
      <w:r w:rsidR="00F82F41" w:rsidRPr="00FF1EE0">
        <w:rPr>
          <w:szCs w:val="24"/>
        </w:rPr>
        <w:t xml:space="preserve">SAM </w:t>
      </w:r>
      <w:r w:rsidR="00CC1296" w:rsidRPr="00FF1EE0">
        <w:rPr>
          <w:szCs w:val="24"/>
        </w:rPr>
        <w:t>īstenošanā dos iespēju uzlabot to starptautisko konkurētspēju, piesaistot vairāk ārvalstu studentus.</w:t>
      </w:r>
    </w:p>
    <w:p w:rsidR="00C02CEA" w:rsidRPr="00FF1EE0" w:rsidRDefault="00C02CEA" w:rsidP="0031543B">
      <w:pPr>
        <w:autoSpaceDE w:val="0"/>
        <w:autoSpaceDN w:val="0"/>
        <w:adjustRightInd w:val="0"/>
        <w:ind w:firstLine="720"/>
        <w:rPr>
          <w:szCs w:val="24"/>
        </w:rPr>
      </w:pPr>
      <w:r w:rsidRPr="00FF1EE0">
        <w:rPr>
          <w:szCs w:val="24"/>
        </w:rPr>
        <w:t xml:space="preserve">8.2.2. </w:t>
      </w:r>
      <w:r w:rsidR="00F82F41" w:rsidRPr="00FF1EE0">
        <w:rPr>
          <w:szCs w:val="24"/>
        </w:rPr>
        <w:t xml:space="preserve">SAM </w:t>
      </w:r>
      <w:r w:rsidRPr="00FF1EE0">
        <w:rPr>
          <w:szCs w:val="24"/>
        </w:rPr>
        <w:t xml:space="preserve">ietvaros atbalsts </w:t>
      </w:r>
      <w:r w:rsidR="002D00DC" w:rsidRPr="00FF1EE0">
        <w:rPr>
          <w:szCs w:val="24"/>
        </w:rPr>
        <w:t xml:space="preserve">plānots </w:t>
      </w:r>
      <w:r w:rsidRPr="00FF1EE0">
        <w:rPr>
          <w:szCs w:val="24"/>
        </w:rPr>
        <w:t xml:space="preserve">ārvalsts pasniedzēju piesaistei darbam augstākās izglītības institūcijā Latvijā, t.sk. latviešu valodas apguvei, kā arī atbalsts akadēmiskā personāla kompetenču un prasmju pilnveidei, t.sk. </w:t>
      </w:r>
      <w:r w:rsidR="00AE1436">
        <w:rPr>
          <w:szCs w:val="24"/>
        </w:rPr>
        <w:t>angļu valodas</w:t>
      </w:r>
      <w:r w:rsidRPr="00FF1EE0">
        <w:rPr>
          <w:szCs w:val="24"/>
        </w:rPr>
        <w:t xml:space="preserve"> apguvei un stažēšanās uzņēmumos, jauno pasniedzēju piesaiste</w:t>
      </w:r>
      <w:r w:rsidR="002D00DC" w:rsidRPr="00FF1EE0">
        <w:rPr>
          <w:szCs w:val="24"/>
        </w:rPr>
        <w:t>i</w:t>
      </w:r>
      <w:r w:rsidRPr="00FF1EE0">
        <w:rPr>
          <w:szCs w:val="24"/>
        </w:rPr>
        <w:t>, atbalstot doktorantu akadēmisko darbu augstākās izglītības institūcijā. Ņemot vērā to, ka koledžu akadēmiskā personāla nepietiekošās svešvalodu zināšanas ir viens no galvenajiem trūkumiem, kas tika konstatēts Augstākās izglītības padomes īstenotā ESF finansētā projekta „Augstākās izglītības studiju programmu izvērtēšana un priekšlikumi kvalitātes paaugstināšanai” ietvaros</w:t>
      </w:r>
      <w:r w:rsidRPr="00FF1EE0">
        <w:rPr>
          <w:rStyle w:val="FootnoteReference"/>
          <w:szCs w:val="24"/>
        </w:rPr>
        <w:footnoteReference w:id="60"/>
      </w:r>
      <w:r w:rsidRPr="00FF1EE0">
        <w:rPr>
          <w:szCs w:val="24"/>
        </w:rPr>
        <w:t xml:space="preserve">, 8.2.2. </w:t>
      </w:r>
      <w:r w:rsidR="00F82F41" w:rsidRPr="00FF1EE0">
        <w:rPr>
          <w:szCs w:val="24"/>
        </w:rPr>
        <w:t xml:space="preserve">SAM </w:t>
      </w:r>
      <w:r w:rsidRPr="00FF1EE0">
        <w:rPr>
          <w:szCs w:val="24"/>
        </w:rPr>
        <w:t xml:space="preserve">īstenošana dos iespēju šīs zināšanas uzlabot. </w:t>
      </w:r>
    </w:p>
    <w:p w:rsidR="00C02CEA" w:rsidRDefault="00C02CEA" w:rsidP="0031543B">
      <w:pPr>
        <w:pStyle w:val="Normal1"/>
        <w:ind w:firstLine="720"/>
        <w:jc w:val="both"/>
        <w:rPr>
          <w:rFonts w:ascii="Times New Roman" w:hAnsi="Times New Roman" w:cs="Times New Roman"/>
          <w:color w:val="auto"/>
          <w:sz w:val="24"/>
          <w:szCs w:val="24"/>
          <w:lang w:eastAsia="en-US"/>
        </w:rPr>
      </w:pPr>
      <w:r w:rsidRPr="00FF1EE0">
        <w:rPr>
          <w:rFonts w:ascii="Times New Roman" w:hAnsi="Times New Roman" w:cs="Times New Roman"/>
          <w:color w:val="auto"/>
          <w:sz w:val="24"/>
          <w:szCs w:val="24"/>
          <w:lang w:eastAsia="en-US"/>
        </w:rPr>
        <w:t xml:space="preserve">8.2.3. </w:t>
      </w:r>
      <w:r w:rsidR="00F82F41" w:rsidRPr="00FF1EE0">
        <w:rPr>
          <w:rFonts w:ascii="Times New Roman" w:hAnsi="Times New Roman" w:cs="Times New Roman"/>
          <w:color w:val="auto"/>
          <w:sz w:val="24"/>
          <w:szCs w:val="24"/>
          <w:lang w:eastAsia="en-US"/>
        </w:rPr>
        <w:t xml:space="preserve">SAM </w:t>
      </w:r>
      <w:r w:rsidR="002D00DC" w:rsidRPr="00FF1EE0">
        <w:rPr>
          <w:rFonts w:ascii="Times New Roman" w:hAnsi="Times New Roman" w:cs="Times New Roman"/>
          <w:color w:val="auto"/>
          <w:sz w:val="24"/>
          <w:szCs w:val="24"/>
          <w:lang w:eastAsia="en-US"/>
        </w:rPr>
        <w:t xml:space="preserve">ietvaros atbalsts plānots </w:t>
      </w:r>
      <w:r w:rsidRPr="00FF1EE0">
        <w:rPr>
          <w:rFonts w:ascii="Times New Roman" w:hAnsi="Times New Roman" w:cs="Times New Roman"/>
          <w:color w:val="auto"/>
          <w:sz w:val="24"/>
          <w:szCs w:val="24"/>
          <w:lang w:eastAsia="en-US"/>
        </w:rPr>
        <w:t>augstākās izglītības institūciju attīstības stratēģiju ieviešana</w:t>
      </w:r>
      <w:r w:rsidR="002D00DC" w:rsidRPr="00FF1EE0">
        <w:rPr>
          <w:rFonts w:ascii="Times New Roman" w:hAnsi="Times New Roman" w:cs="Times New Roman"/>
          <w:color w:val="auto"/>
          <w:sz w:val="24"/>
          <w:szCs w:val="24"/>
          <w:lang w:eastAsia="en-US"/>
        </w:rPr>
        <w:t>i</w:t>
      </w:r>
      <w:r w:rsidRPr="00FF1EE0">
        <w:rPr>
          <w:rFonts w:ascii="Times New Roman" w:hAnsi="Times New Roman" w:cs="Times New Roman"/>
          <w:color w:val="auto"/>
          <w:sz w:val="24"/>
          <w:szCs w:val="24"/>
          <w:lang w:eastAsia="en-US"/>
        </w:rPr>
        <w:t xml:space="preserve"> (attīstības stratēģiju izstrādei, pilnve</w:t>
      </w:r>
      <w:r w:rsidR="002D00DC" w:rsidRPr="00FF1EE0">
        <w:rPr>
          <w:rFonts w:ascii="Times New Roman" w:hAnsi="Times New Roman" w:cs="Times New Roman"/>
          <w:color w:val="auto"/>
          <w:sz w:val="24"/>
          <w:szCs w:val="24"/>
          <w:lang w:eastAsia="en-US"/>
        </w:rPr>
        <w:t>idei un to ārējam novērtējumam),</w:t>
      </w:r>
      <w:r w:rsidRPr="00FF1EE0">
        <w:rPr>
          <w:rFonts w:ascii="Times New Roman" w:hAnsi="Times New Roman" w:cs="Times New Roman"/>
          <w:color w:val="auto"/>
          <w:sz w:val="24"/>
          <w:szCs w:val="24"/>
          <w:lang w:eastAsia="en-US"/>
        </w:rPr>
        <w:t xml:space="preserve"> studiju virzienu padomju darbam, tostarp veicot studiju programmu satura pārstrukturizāciju un aktualizāciju, </w:t>
      </w:r>
      <w:r w:rsidR="002D00DC" w:rsidRPr="00FF1EE0">
        <w:rPr>
          <w:rFonts w:ascii="Times New Roman" w:hAnsi="Times New Roman" w:cs="Times New Roman"/>
          <w:color w:val="auto"/>
          <w:sz w:val="24"/>
          <w:szCs w:val="24"/>
          <w:lang w:eastAsia="en-US"/>
        </w:rPr>
        <w:t xml:space="preserve">studiju programmu konsolidāciju, </w:t>
      </w:r>
      <w:r w:rsidRPr="00FF1EE0">
        <w:rPr>
          <w:rFonts w:ascii="Times New Roman" w:hAnsi="Times New Roman" w:cs="Times New Roman"/>
          <w:color w:val="auto"/>
          <w:sz w:val="24"/>
          <w:szCs w:val="24"/>
          <w:lang w:eastAsia="en-US"/>
        </w:rPr>
        <w:t>augstākās izglītības institūcijas iekšējās kvalitātes nodrošināšanas sistēmas efektivitātes paaugstināšanai atbilstoši standartiem un vadlīnijām kvalitātes nodrošināšanai Eiropas augstākās izglītības telpā, tostarp personāla atalgojuma un promocijas sistēmas ārējam novē</w:t>
      </w:r>
      <w:r w:rsidR="00CC1296" w:rsidRPr="00FF1EE0">
        <w:rPr>
          <w:rFonts w:ascii="Times New Roman" w:hAnsi="Times New Roman" w:cs="Times New Roman"/>
          <w:color w:val="auto"/>
          <w:sz w:val="24"/>
          <w:szCs w:val="24"/>
          <w:lang w:eastAsia="en-US"/>
        </w:rPr>
        <w:t xml:space="preserve">rtējumam un sistēmas pilnveidei, kā arī </w:t>
      </w:r>
      <w:r w:rsidRPr="00FF1EE0">
        <w:rPr>
          <w:rFonts w:ascii="Times New Roman" w:hAnsi="Times New Roman" w:cs="Times New Roman"/>
          <w:color w:val="auto"/>
          <w:sz w:val="24"/>
          <w:szCs w:val="24"/>
          <w:lang w:eastAsia="en-US"/>
        </w:rPr>
        <w:t xml:space="preserve">atbalsts e-risinājumu, t.sk. e-koplietošanas mehānismu un starpinstitūciju sadarbības risinājumu, attīstībai. Koledžu iesaistīšanās 8.2.3. </w:t>
      </w:r>
      <w:r w:rsidR="00F82F41" w:rsidRPr="00FF1EE0">
        <w:rPr>
          <w:rFonts w:ascii="Times New Roman" w:hAnsi="Times New Roman" w:cs="Times New Roman"/>
          <w:color w:val="auto"/>
          <w:sz w:val="24"/>
          <w:szCs w:val="24"/>
          <w:lang w:eastAsia="en-US"/>
        </w:rPr>
        <w:t xml:space="preserve">SAM </w:t>
      </w:r>
      <w:r w:rsidRPr="00FF1EE0">
        <w:rPr>
          <w:rFonts w:ascii="Times New Roman" w:hAnsi="Times New Roman" w:cs="Times New Roman"/>
          <w:color w:val="auto"/>
          <w:sz w:val="24"/>
          <w:szCs w:val="24"/>
          <w:lang w:eastAsia="en-US"/>
        </w:rPr>
        <w:t>īstenošanā dos iespēju uzlabot to pārvaldību, izveidot studiju virzienu padomes, kas ir būtisks instruments tieši STEM jomas programmu kvalitatīvā īstenošanā, lai nodrošinātu studiju satura atbilstību aktuālākajām nozares prasībām.</w:t>
      </w:r>
    </w:p>
    <w:p w:rsidR="005016F0" w:rsidRDefault="005016F0" w:rsidP="0031543B">
      <w:pPr>
        <w:pStyle w:val="Normal1"/>
        <w:ind w:firstLine="720"/>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8.2.4. SAM „</w:t>
      </w:r>
      <w:r w:rsidRPr="005016F0">
        <w:rPr>
          <w:rFonts w:ascii="Times New Roman" w:hAnsi="Times New Roman" w:cs="Times New Roman"/>
          <w:color w:val="auto"/>
          <w:sz w:val="24"/>
          <w:szCs w:val="24"/>
          <w:lang w:eastAsia="en-US"/>
        </w:rPr>
        <w:t>Nodrošināt atbalstu EQAR aģentūrai izvirzīto prasību izpildei</w:t>
      </w:r>
      <w:r>
        <w:rPr>
          <w:rFonts w:ascii="Times New Roman" w:hAnsi="Times New Roman" w:cs="Times New Roman"/>
          <w:color w:val="auto"/>
          <w:sz w:val="24"/>
          <w:szCs w:val="24"/>
          <w:lang w:eastAsia="en-US"/>
        </w:rPr>
        <w:t xml:space="preserve">” ietvaros </w:t>
      </w:r>
      <w:r w:rsidR="00F3499A">
        <w:rPr>
          <w:rFonts w:ascii="Times New Roman" w:hAnsi="Times New Roman" w:cs="Times New Roman"/>
          <w:color w:val="auto"/>
          <w:sz w:val="24"/>
          <w:szCs w:val="24"/>
          <w:lang w:eastAsia="en-US"/>
        </w:rPr>
        <w:t xml:space="preserve">Akadēmiskās informācijas centra īstenotajā projektā </w:t>
      </w:r>
      <w:r>
        <w:rPr>
          <w:rFonts w:ascii="Times New Roman" w:hAnsi="Times New Roman" w:cs="Times New Roman"/>
          <w:color w:val="auto"/>
          <w:sz w:val="24"/>
          <w:szCs w:val="24"/>
          <w:lang w:eastAsia="en-US"/>
        </w:rPr>
        <w:t xml:space="preserve">kā sadarbības partneri iesaistīsies </w:t>
      </w:r>
      <w:r w:rsidR="00F3499A">
        <w:rPr>
          <w:rFonts w:ascii="Times New Roman" w:hAnsi="Times New Roman" w:cs="Times New Roman"/>
          <w:color w:val="auto"/>
          <w:sz w:val="24"/>
          <w:szCs w:val="24"/>
          <w:lang w:eastAsia="en-US"/>
        </w:rPr>
        <w:t xml:space="preserve">arī </w:t>
      </w:r>
      <w:r>
        <w:rPr>
          <w:rFonts w:ascii="Times New Roman" w:hAnsi="Times New Roman" w:cs="Times New Roman"/>
          <w:color w:val="auto"/>
          <w:sz w:val="24"/>
          <w:szCs w:val="24"/>
          <w:lang w:eastAsia="en-US"/>
        </w:rPr>
        <w:t xml:space="preserve">2 koledžas OMTK un RCK. Koledžu </w:t>
      </w:r>
      <w:r>
        <w:rPr>
          <w:rFonts w:ascii="Times New Roman" w:hAnsi="Times New Roman" w:cs="Times New Roman"/>
          <w:sz w:val="24"/>
          <w:szCs w:val="24"/>
        </w:rPr>
        <w:t>d</w:t>
      </w:r>
      <w:r w:rsidRPr="008E6734">
        <w:rPr>
          <w:rFonts w:ascii="Times New Roman" w:hAnsi="Times New Roman" w:cs="Times New Roman"/>
          <w:sz w:val="24"/>
          <w:szCs w:val="24"/>
        </w:rPr>
        <w:t xml:space="preserve">alība </w:t>
      </w:r>
      <w:r w:rsidR="00F3499A">
        <w:rPr>
          <w:rFonts w:ascii="Times New Roman" w:hAnsi="Times New Roman" w:cs="Times New Roman"/>
          <w:color w:val="auto"/>
          <w:sz w:val="24"/>
          <w:szCs w:val="24"/>
          <w:lang w:eastAsia="en-US"/>
        </w:rPr>
        <w:t>8.2.4. </w:t>
      </w:r>
      <w:r>
        <w:rPr>
          <w:rFonts w:ascii="Times New Roman" w:hAnsi="Times New Roman" w:cs="Times New Roman"/>
          <w:color w:val="auto"/>
          <w:sz w:val="24"/>
          <w:szCs w:val="24"/>
          <w:lang w:eastAsia="en-US"/>
        </w:rPr>
        <w:t xml:space="preserve">SAM </w:t>
      </w:r>
      <w:r w:rsidRPr="008E6734">
        <w:rPr>
          <w:rFonts w:ascii="Times New Roman" w:hAnsi="Times New Roman" w:cs="Times New Roman"/>
          <w:sz w:val="24"/>
          <w:szCs w:val="24"/>
        </w:rPr>
        <w:t xml:space="preserve">projekta īstenošanā nodrošinās </w:t>
      </w:r>
      <w:r w:rsidR="00F3499A">
        <w:rPr>
          <w:rFonts w:ascii="Times New Roman" w:hAnsi="Times New Roman" w:cs="Times New Roman"/>
          <w:sz w:val="24"/>
          <w:szCs w:val="24"/>
        </w:rPr>
        <w:t xml:space="preserve">to </w:t>
      </w:r>
      <w:r w:rsidRPr="008E6734">
        <w:rPr>
          <w:rFonts w:ascii="Times New Roman" w:hAnsi="Times New Roman" w:cs="Times New Roman"/>
          <w:sz w:val="24"/>
          <w:szCs w:val="24"/>
        </w:rPr>
        <w:t xml:space="preserve">akadēmiskajam personālam un administrācijai iespēju veikt </w:t>
      </w:r>
      <w:proofErr w:type="spellStart"/>
      <w:r w:rsidRPr="008E6734">
        <w:rPr>
          <w:rFonts w:ascii="Times New Roman" w:hAnsi="Times New Roman" w:cs="Times New Roman"/>
          <w:sz w:val="24"/>
          <w:szCs w:val="24"/>
        </w:rPr>
        <w:t>pilotakreditāciju</w:t>
      </w:r>
      <w:proofErr w:type="spellEnd"/>
      <w:r w:rsidRPr="008E6734">
        <w:rPr>
          <w:rFonts w:ascii="Times New Roman" w:hAnsi="Times New Roman" w:cs="Times New Roman"/>
          <w:sz w:val="24"/>
          <w:szCs w:val="24"/>
        </w:rPr>
        <w:t xml:space="preserve"> augstākās izglītības institūcijas izvēlētā stud</w:t>
      </w:r>
      <w:r w:rsidR="00C00BDF">
        <w:rPr>
          <w:rFonts w:ascii="Times New Roman" w:hAnsi="Times New Roman" w:cs="Times New Roman"/>
          <w:sz w:val="24"/>
          <w:szCs w:val="24"/>
        </w:rPr>
        <w:t>i</w:t>
      </w:r>
      <w:r w:rsidRPr="008E6734">
        <w:rPr>
          <w:rFonts w:ascii="Times New Roman" w:hAnsi="Times New Roman" w:cs="Times New Roman"/>
          <w:sz w:val="24"/>
          <w:szCs w:val="24"/>
        </w:rPr>
        <w:t>ju virzienā</w:t>
      </w:r>
      <w:r w:rsidR="00F3499A">
        <w:rPr>
          <w:rFonts w:ascii="Times New Roman" w:hAnsi="Times New Roman" w:cs="Times New Roman"/>
          <w:sz w:val="24"/>
          <w:szCs w:val="24"/>
        </w:rPr>
        <w:t xml:space="preserve"> (OMTK – Ķīmijas, ķīmijas tehnoloģijas un biotehnoloģijas studiju virzienā</w:t>
      </w:r>
      <w:r w:rsidRPr="008E6734">
        <w:rPr>
          <w:rFonts w:ascii="Times New Roman" w:hAnsi="Times New Roman" w:cs="Times New Roman"/>
          <w:sz w:val="24"/>
          <w:szCs w:val="24"/>
        </w:rPr>
        <w:t>,</w:t>
      </w:r>
      <w:r w:rsidR="00F3499A">
        <w:rPr>
          <w:rFonts w:ascii="Times New Roman" w:hAnsi="Times New Roman" w:cs="Times New Roman"/>
          <w:sz w:val="24"/>
          <w:szCs w:val="24"/>
        </w:rPr>
        <w:t xml:space="preserve"> RCK – Arhitektūras un būvniecības</w:t>
      </w:r>
      <w:r w:rsidR="00F3499A" w:rsidRPr="00043054">
        <w:rPr>
          <w:rFonts w:ascii="Times New Roman" w:hAnsi="Times New Roman" w:cs="Times New Roman"/>
          <w:sz w:val="24"/>
          <w:szCs w:val="24"/>
        </w:rPr>
        <w:t xml:space="preserve"> studiju virzienā</w:t>
      </w:r>
      <w:r w:rsidR="00F3499A">
        <w:rPr>
          <w:rFonts w:ascii="Times New Roman" w:hAnsi="Times New Roman" w:cs="Times New Roman"/>
          <w:sz w:val="24"/>
          <w:szCs w:val="24"/>
        </w:rPr>
        <w:t>),</w:t>
      </w:r>
      <w:r w:rsidRPr="008E6734">
        <w:rPr>
          <w:rFonts w:ascii="Times New Roman" w:hAnsi="Times New Roman" w:cs="Times New Roman"/>
          <w:sz w:val="24"/>
          <w:szCs w:val="24"/>
        </w:rPr>
        <w:t xml:space="preserve"> iepazīties ar jauno akreditācijas kārtību un uzlabot augstākās izglītības novērtēšanas procesus. </w:t>
      </w:r>
      <w:r w:rsidR="00F3499A">
        <w:rPr>
          <w:rFonts w:ascii="Times New Roman" w:hAnsi="Times New Roman" w:cs="Times New Roman"/>
          <w:sz w:val="24"/>
          <w:szCs w:val="24"/>
        </w:rPr>
        <w:t>Abu koledžu</w:t>
      </w:r>
      <w:r w:rsidRPr="008E6734">
        <w:rPr>
          <w:rFonts w:ascii="Times New Roman" w:hAnsi="Times New Roman" w:cs="Times New Roman"/>
          <w:sz w:val="24"/>
          <w:szCs w:val="24"/>
        </w:rPr>
        <w:t xml:space="preserve"> pārstāvjiem būs iespēja piedalīties darba grupās par priekšlikumu izstrādi augstākās izglītības kvalitātes monitoringa sistēmas pilnveide</w:t>
      </w:r>
      <w:r w:rsidR="00F3499A">
        <w:rPr>
          <w:rFonts w:ascii="Times New Roman" w:hAnsi="Times New Roman" w:cs="Times New Roman"/>
          <w:sz w:val="24"/>
          <w:szCs w:val="24"/>
        </w:rPr>
        <w:t>i un procedūru īstenošanai un e–</w:t>
      </w:r>
      <w:r w:rsidRPr="008E6734">
        <w:rPr>
          <w:rFonts w:ascii="Times New Roman" w:hAnsi="Times New Roman" w:cs="Times New Roman"/>
          <w:sz w:val="24"/>
          <w:szCs w:val="24"/>
        </w:rPr>
        <w:t xml:space="preserve">platformas attīstībai, sniedzot savā kompetencē esošus priekšlikumus. </w:t>
      </w:r>
      <w:r w:rsidR="00F3499A">
        <w:rPr>
          <w:rFonts w:ascii="Times New Roman" w:hAnsi="Times New Roman" w:cs="Times New Roman"/>
          <w:sz w:val="24"/>
          <w:szCs w:val="24"/>
        </w:rPr>
        <w:t>Koledžu</w:t>
      </w:r>
      <w:r w:rsidRPr="008E6734">
        <w:rPr>
          <w:rFonts w:ascii="Times New Roman" w:hAnsi="Times New Roman" w:cs="Times New Roman"/>
          <w:sz w:val="24"/>
          <w:szCs w:val="24"/>
        </w:rPr>
        <w:t xml:space="preserve"> pārstāvji varēs </w:t>
      </w:r>
      <w:r w:rsidRPr="008E6734">
        <w:rPr>
          <w:rFonts w:ascii="Times New Roman" w:hAnsi="Times New Roman" w:cs="Times New Roman"/>
          <w:sz w:val="24"/>
          <w:szCs w:val="24"/>
        </w:rPr>
        <w:lastRenderedPageBreak/>
        <w:t>piedalīties apmācībās un semināros augstākās izglītības institūciju ārējās un iekšējās kvalitātes nodrošināšanas jautājumos, gūto pieredzi un zināšanas izmantojot savā turpmākajā darbībā.</w:t>
      </w:r>
    </w:p>
    <w:p w:rsidR="006F02B8" w:rsidRPr="004457ED" w:rsidRDefault="007C0431" w:rsidP="0031543B">
      <w:pPr>
        <w:pStyle w:val="Default"/>
        <w:ind w:firstLine="720"/>
        <w:jc w:val="both"/>
      </w:pPr>
      <w:r w:rsidRPr="004457ED">
        <w:t xml:space="preserve">Ņemot vērā to, ka koledžas ir profesionālās izglītības iestādes, kas īsteno gan pirmā līmeņa profesionālās augstākās izglītības studiju programmas, gan profesionālās vidējās izglītības programmas, attiecībā uz koledžu īstenotajām profesionālās vidējās izglītības programmām </w:t>
      </w:r>
      <w:r w:rsidR="00F26FFA" w:rsidRPr="004457ED">
        <w:rPr>
          <w:color w:val="auto"/>
          <w:lang w:eastAsia="en-US"/>
        </w:rPr>
        <w:t xml:space="preserve">8.1.4. </w:t>
      </w:r>
      <w:r w:rsidR="00F82F41" w:rsidRPr="004457ED">
        <w:rPr>
          <w:color w:val="auto"/>
          <w:lang w:eastAsia="en-US"/>
        </w:rPr>
        <w:t xml:space="preserve">SAM </w:t>
      </w:r>
      <w:r w:rsidR="00F26FFA" w:rsidRPr="004457ED">
        <w:rPr>
          <w:color w:val="auto"/>
          <w:lang w:eastAsia="en-US"/>
        </w:rPr>
        <w:t xml:space="preserve">iespējama sinerģija arī ar </w:t>
      </w:r>
      <w:r w:rsidR="00F26FFA" w:rsidRPr="004457ED">
        <w:t xml:space="preserve">8.3.5. </w:t>
      </w:r>
      <w:r w:rsidR="00F82F41" w:rsidRPr="004457ED">
        <w:t xml:space="preserve">SAM </w:t>
      </w:r>
      <w:r w:rsidR="00F26FFA" w:rsidRPr="004457ED">
        <w:t>“Uzlabot pieeju karjeras atbalstam izglītojamajiem vispārējās un profesionālās izglītības iestādēs”</w:t>
      </w:r>
      <w:r w:rsidRPr="004457ED">
        <w:t xml:space="preserve">, </w:t>
      </w:r>
      <w:r w:rsidR="00F26FFA" w:rsidRPr="004457ED">
        <w:t>8.5.1.</w:t>
      </w:r>
      <w:r w:rsidRPr="004457ED">
        <w:t xml:space="preserve"> </w:t>
      </w:r>
      <w:r w:rsidR="00F82F41" w:rsidRPr="004457ED">
        <w:t xml:space="preserve">SAM </w:t>
      </w:r>
      <w:r w:rsidRPr="004457ED">
        <w:t xml:space="preserve">“Palielināt kvalificētu profesionālās izglītības iestāžu audzēkņu skaitu pēc to dalības darba vidē balstītās mācībās vai mācību praksē uzņēmumā”, </w:t>
      </w:r>
      <w:r w:rsidR="00F26FFA" w:rsidRPr="004457ED">
        <w:t>8.5.2.</w:t>
      </w:r>
      <w:r w:rsidR="006F02B8" w:rsidRPr="004457ED">
        <w:t xml:space="preserve"> </w:t>
      </w:r>
      <w:r w:rsidR="00F82F41" w:rsidRPr="004457ED">
        <w:t xml:space="preserve">SAM </w:t>
      </w:r>
      <w:r w:rsidR="006F02B8" w:rsidRPr="004457ED">
        <w:t xml:space="preserve">“Nodrošināt profesionālās izglītības atbilstību Eiropas kvalifikācijas </w:t>
      </w:r>
      <w:proofErr w:type="spellStart"/>
      <w:r w:rsidR="006F02B8" w:rsidRPr="004457ED">
        <w:t>ietvarstruktūrai</w:t>
      </w:r>
      <w:proofErr w:type="spellEnd"/>
      <w:r w:rsidR="006F02B8" w:rsidRPr="004457ED">
        <w:t xml:space="preserve">” </w:t>
      </w:r>
      <w:r w:rsidR="00F26FFA" w:rsidRPr="004457ED">
        <w:t xml:space="preserve">un 8.5.3. </w:t>
      </w:r>
      <w:r w:rsidR="00F82F41" w:rsidRPr="004457ED">
        <w:t xml:space="preserve">SAM </w:t>
      </w:r>
      <w:r w:rsidR="006F02B8" w:rsidRPr="004457ED">
        <w:t xml:space="preserve">“Nodrošināt profesionālās izglītības iestāžu efektīvu pārvaldību un iesaistītā personāla profesionālās kompetences pilnveidi”. </w:t>
      </w:r>
    </w:p>
    <w:p w:rsidR="00EF7EA0" w:rsidRPr="004457ED" w:rsidRDefault="00917BE6" w:rsidP="0031543B">
      <w:pPr>
        <w:pStyle w:val="FootnoteText"/>
        <w:ind w:firstLine="720"/>
        <w:rPr>
          <w:sz w:val="24"/>
          <w:szCs w:val="24"/>
        </w:rPr>
      </w:pPr>
      <w:r w:rsidRPr="004457ED">
        <w:rPr>
          <w:sz w:val="24"/>
          <w:szCs w:val="24"/>
        </w:rPr>
        <w:t xml:space="preserve">8.1.4. </w:t>
      </w:r>
      <w:r w:rsidR="00F82F41" w:rsidRPr="004457ED">
        <w:rPr>
          <w:sz w:val="24"/>
          <w:szCs w:val="24"/>
        </w:rPr>
        <w:t xml:space="preserve">SAM </w:t>
      </w:r>
      <w:r w:rsidRPr="004457ED">
        <w:rPr>
          <w:sz w:val="24"/>
          <w:szCs w:val="24"/>
        </w:rPr>
        <w:t>ietvaros tiks nodrošināta d</w:t>
      </w:r>
      <w:r w:rsidR="002F1C38" w:rsidRPr="004457ED">
        <w:rPr>
          <w:sz w:val="24"/>
          <w:szCs w:val="24"/>
        </w:rPr>
        <w:t>emarkācija ar 8.1.3.</w:t>
      </w:r>
      <w:r w:rsidR="000327F9" w:rsidRPr="004457ED">
        <w:rPr>
          <w:sz w:val="24"/>
          <w:szCs w:val="24"/>
        </w:rPr>
        <w:t xml:space="preserve"> </w:t>
      </w:r>
      <w:r w:rsidR="00F82F41" w:rsidRPr="004457ED">
        <w:rPr>
          <w:sz w:val="24"/>
          <w:szCs w:val="24"/>
        </w:rPr>
        <w:t xml:space="preserve">SAM </w:t>
      </w:r>
      <w:r w:rsidR="000327F9" w:rsidRPr="004457ED">
        <w:rPr>
          <w:sz w:val="24"/>
          <w:szCs w:val="24"/>
        </w:rPr>
        <w:t xml:space="preserve">„Palielināt modernizēto profesionālās izglītības iestāžu skaitu” (turpmāk </w:t>
      </w:r>
      <w:r w:rsidR="004457ED">
        <w:rPr>
          <w:lang w:bidi="lo-LA"/>
        </w:rPr>
        <w:t>–</w:t>
      </w:r>
      <w:r w:rsidR="000327F9" w:rsidRPr="004457ED">
        <w:rPr>
          <w:sz w:val="24"/>
          <w:szCs w:val="24"/>
        </w:rPr>
        <w:t xml:space="preserve"> 8.1.3.</w:t>
      </w:r>
      <w:r w:rsidR="00480C65" w:rsidRPr="004457ED">
        <w:rPr>
          <w:sz w:val="24"/>
          <w:szCs w:val="24"/>
        </w:rPr>
        <w:t xml:space="preserve"> SAM</w:t>
      </w:r>
      <w:r w:rsidR="000327F9" w:rsidRPr="004457ED">
        <w:rPr>
          <w:sz w:val="24"/>
          <w:szCs w:val="24"/>
        </w:rPr>
        <w:t>)</w:t>
      </w:r>
      <w:r w:rsidRPr="004457ED">
        <w:rPr>
          <w:sz w:val="24"/>
          <w:szCs w:val="24"/>
        </w:rPr>
        <w:t xml:space="preserve"> ietvaros plānoto atbalstu</w:t>
      </w:r>
      <w:r w:rsidR="000327F9" w:rsidRPr="004457ED">
        <w:rPr>
          <w:sz w:val="24"/>
          <w:szCs w:val="24"/>
        </w:rPr>
        <w:t>.</w:t>
      </w:r>
      <w:r w:rsidRPr="004457ED">
        <w:rPr>
          <w:sz w:val="24"/>
          <w:szCs w:val="24"/>
        </w:rPr>
        <w:t xml:space="preserve"> 8.1.3. </w:t>
      </w:r>
      <w:r w:rsidR="00480C65" w:rsidRPr="004457ED">
        <w:rPr>
          <w:sz w:val="24"/>
          <w:szCs w:val="24"/>
        </w:rPr>
        <w:t xml:space="preserve">SAM </w:t>
      </w:r>
      <w:r w:rsidR="00EF7EA0" w:rsidRPr="004457ED">
        <w:rPr>
          <w:sz w:val="24"/>
          <w:szCs w:val="24"/>
        </w:rPr>
        <w:t xml:space="preserve">ietvaros atbalstu var saņemt profesionālās izglītības iestādes, it īpaši profesionālās izglītības kompetences centri, savukārt 8.1.4. </w:t>
      </w:r>
      <w:r w:rsidR="00480C65" w:rsidRPr="004457ED">
        <w:rPr>
          <w:sz w:val="24"/>
          <w:szCs w:val="24"/>
        </w:rPr>
        <w:t xml:space="preserve">SAM </w:t>
      </w:r>
      <w:r w:rsidR="00EF7EA0" w:rsidRPr="004457ED">
        <w:rPr>
          <w:sz w:val="24"/>
          <w:szCs w:val="24"/>
        </w:rPr>
        <w:t xml:space="preserve">ietvaros </w:t>
      </w:r>
      <w:r w:rsidR="004457ED">
        <w:rPr>
          <w:lang w:bidi="lo-LA"/>
        </w:rPr>
        <w:t>–</w:t>
      </w:r>
      <w:r w:rsidR="00EF7EA0" w:rsidRPr="004457ED">
        <w:rPr>
          <w:sz w:val="24"/>
          <w:szCs w:val="24"/>
        </w:rPr>
        <w:t xml:space="preserve"> koledžas. Tās koledžas, kas STEM jomā īsteno arī profesionālās vidējās izglītības </w:t>
      </w:r>
      <w:r w:rsidR="006F00A6">
        <w:rPr>
          <w:sz w:val="24"/>
          <w:szCs w:val="24"/>
        </w:rPr>
        <w:t>vai</w:t>
      </w:r>
      <w:r w:rsidR="00BC1D22">
        <w:rPr>
          <w:sz w:val="24"/>
          <w:szCs w:val="24"/>
        </w:rPr>
        <w:t xml:space="preserve"> arodizglītības </w:t>
      </w:r>
      <w:r w:rsidR="00EF7EA0" w:rsidRPr="004457ED">
        <w:rPr>
          <w:sz w:val="24"/>
          <w:szCs w:val="24"/>
        </w:rPr>
        <w:t xml:space="preserve">programmas, uz atbalstu varēs pretendēt 8.1.4. </w:t>
      </w:r>
      <w:r w:rsidR="00480C65" w:rsidRPr="004457ED">
        <w:rPr>
          <w:sz w:val="24"/>
          <w:szCs w:val="24"/>
        </w:rPr>
        <w:t xml:space="preserve">SAM </w:t>
      </w:r>
      <w:r w:rsidR="00EF7EA0" w:rsidRPr="004457ED">
        <w:rPr>
          <w:sz w:val="24"/>
          <w:szCs w:val="24"/>
        </w:rPr>
        <w:t>ietvaros</w:t>
      </w:r>
      <w:r w:rsidR="00FF1EE0" w:rsidRPr="004457ED">
        <w:rPr>
          <w:sz w:val="24"/>
          <w:szCs w:val="24"/>
        </w:rPr>
        <w:t xml:space="preserve"> nevis 8.1.3. </w:t>
      </w:r>
      <w:r w:rsidR="00480C65" w:rsidRPr="004457ED">
        <w:rPr>
          <w:sz w:val="24"/>
          <w:szCs w:val="24"/>
        </w:rPr>
        <w:t xml:space="preserve">SAM </w:t>
      </w:r>
      <w:r w:rsidR="00FF1EE0" w:rsidRPr="004457ED">
        <w:rPr>
          <w:sz w:val="24"/>
          <w:szCs w:val="24"/>
        </w:rPr>
        <w:t>ietvaros</w:t>
      </w:r>
      <w:r w:rsidR="00EF7EA0" w:rsidRPr="004457ED">
        <w:rPr>
          <w:sz w:val="24"/>
          <w:szCs w:val="24"/>
        </w:rPr>
        <w:t>.</w:t>
      </w:r>
    </w:p>
    <w:p w:rsidR="002549A4" w:rsidRPr="002C39AF" w:rsidRDefault="002549A4" w:rsidP="0031543B">
      <w:pPr>
        <w:pStyle w:val="FootnoteText"/>
        <w:ind w:firstLine="720"/>
        <w:rPr>
          <w:sz w:val="24"/>
          <w:szCs w:val="24"/>
        </w:rPr>
      </w:pPr>
      <w:r w:rsidRPr="00CD683F">
        <w:rPr>
          <w:sz w:val="24"/>
          <w:szCs w:val="24"/>
        </w:rPr>
        <w:t xml:space="preserve">Demarkācija tiks nodrošināta arī ar 8.1.1. </w:t>
      </w:r>
      <w:r w:rsidR="00480C65" w:rsidRPr="00CD683F">
        <w:rPr>
          <w:sz w:val="24"/>
          <w:szCs w:val="24"/>
        </w:rPr>
        <w:t xml:space="preserve">SAM </w:t>
      </w:r>
      <w:r w:rsidRPr="00CD683F">
        <w:rPr>
          <w:sz w:val="24"/>
          <w:szCs w:val="24"/>
        </w:rPr>
        <w:t xml:space="preserve">„Palielināt modernizēto STEM, tajā skaitā medicīnas un radošās industrijas, studiju programmu skaitu” (turpmāk </w:t>
      </w:r>
      <w:r w:rsidR="004457ED" w:rsidRPr="00B706EF">
        <w:rPr>
          <w:lang w:bidi="lo-LA"/>
        </w:rPr>
        <w:t>–</w:t>
      </w:r>
      <w:r w:rsidRPr="00B706EF">
        <w:rPr>
          <w:sz w:val="24"/>
          <w:szCs w:val="24"/>
        </w:rPr>
        <w:t xml:space="preserve"> 8.1.1.</w:t>
      </w:r>
      <w:r w:rsidR="00480C65" w:rsidRPr="00713D6C">
        <w:rPr>
          <w:sz w:val="24"/>
          <w:szCs w:val="24"/>
        </w:rPr>
        <w:t xml:space="preserve"> SAM</w:t>
      </w:r>
      <w:r w:rsidRPr="00713D6C">
        <w:rPr>
          <w:sz w:val="24"/>
          <w:szCs w:val="24"/>
        </w:rPr>
        <w:t xml:space="preserve">). 8.1.1. </w:t>
      </w:r>
      <w:r w:rsidR="00480C65" w:rsidRPr="00713D6C">
        <w:rPr>
          <w:sz w:val="24"/>
          <w:szCs w:val="24"/>
        </w:rPr>
        <w:t xml:space="preserve">SAM </w:t>
      </w:r>
      <w:r w:rsidRPr="00CD683F">
        <w:rPr>
          <w:sz w:val="24"/>
          <w:szCs w:val="24"/>
        </w:rPr>
        <w:t>ietvaros atbalstu varēs saņemt tikai augstskolas, kas īsteno STEM, t.sk. medicīnas un radošas industrijas, studiju programmas.</w:t>
      </w:r>
      <w:r w:rsidR="000C46E3" w:rsidRPr="00CD683F">
        <w:rPr>
          <w:sz w:val="24"/>
          <w:szCs w:val="24"/>
        </w:rPr>
        <w:t xml:space="preserve"> Koledžas uz ERAF atbalstu var pretendēt 8.1.4. </w:t>
      </w:r>
      <w:r w:rsidR="00480C65" w:rsidRPr="00CD683F">
        <w:rPr>
          <w:sz w:val="24"/>
          <w:szCs w:val="24"/>
        </w:rPr>
        <w:t xml:space="preserve">SAM </w:t>
      </w:r>
      <w:r w:rsidR="000C46E3" w:rsidRPr="00CD683F">
        <w:rPr>
          <w:sz w:val="24"/>
          <w:szCs w:val="24"/>
        </w:rPr>
        <w:t>ietvaros.</w:t>
      </w:r>
      <w:r w:rsidRPr="00CD683F">
        <w:rPr>
          <w:sz w:val="24"/>
          <w:szCs w:val="24"/>
        </w:rPr>
        <w:t xml:space="preserve"> </w:t>
      </w:r>
      <w:r w:rsidR="000C46E3" w:rsidRPr="00CD683F">
        <w:rPr>
          <w:sz w:val="24"/>
          <w:szCs w:val="24"/>
        </w:rPr>
        <w:t>Savukārt a</w:t>
      </w:r>
      <w:r w:rsidRPr="00CD683F">
        <w:rPr>
          <w:sz w:val="24"/>
          <w:szCs w:val="24"/>
        </w:rPr>
        <w:t xml:space="preserve">ugstskolas, kas īsteno pirmā līmeņa profesionālās augstākās izglītības </w:t>
      </w:r>
      <w:r w:rsidR="00D57246" w:rsidRPr="00CD683F">
        <w:rPr>
          <w:sz w:val="24"/>
          <w:szCs w:val="24"/>
        </w:rPr>
        <w:t>(koledžu)</w:t>
      </w:r>
      <w:r w:rsidR="00D57246" w:rsidRPr="00CD683F">
        <w:rPr>
          <w:szCs w:val="24"/>
        </w:rPr>
        <w:t xml:space="preserve"> </w:t>
      </w:r>
      <w:r w:rsidRPr="00CD683F">
        <w:rPr>
          <w:sz w:val="24"/>
          <w:szCs w:val="24"/>
        </w:rPr>
        <w:t xml:space="preserve">STEM, t.sk. medicīnas un radošās industrijas, studiju programmas, uz ERAF atbalstu varēs pretendēt 8.1.1. </w:t>
      </w:r>
      <w:r w:rsidR="00480C65" w:rsidRPr="00CD683F">
        <w:rPr>
          <w:sz w:val="24"/>
          <w:szCs w:val="24"/>
        </w:rPr>
        <w:t xml:space="preserve">SAM </w:t>
      </w:r>
      <w:r w:rsidRPr="00CD683F">
        <w:rPr>
          <w:sz w:val="24"/>
          <w:szCs w:val="24"/>
        </w:rPr>
        <w:t xml:space="preserve">ietvaros nevis 8.1.4. </w:t>
      </w:r>
      <w:r w:rsidR="00480C65" w:rsidRPr="00CD683F">
        <w:rPr>
          <w:sz w:val="24"/>
          <w:szCs w:val="24"/>
        </w:rPr>
        <w:t xml:space="preserve">SAM </w:t>
      </w:r>
      <w:r w:rsidRPr="00CD683F">
        <w:rPr>
          <w:sz w:val="24"/>
          <w:szCs w:val="24"/>
        </w:rPr>
        <w:t>ietvaros.</w:t>
      </w:r>
      <w:r w:rsidRPr="00631042">
        <w:rPr>
          <w:sz w:val="24"/>
          <w:szCs w:val="24"/>
        </w:rPr>
        <w:t xml:space="preserve"> </w:t>
      </w:r>
      <w:bookmarkStart w:id="43" w:name="_GoBack"/>
      <w:r w:rsidR="00244ABF">
        <w:rPr>
          <w:sz w:val="24"/>
          <w:szCs w:val="24"/>
        </w:rPr>
        <w:t xml:space="preserve">Ņemot vērā to, ka augstskolu aģentūras </w:t>
      </w:r>
      <w:proofErr w:type="spellStart"/>
      <w:r w:rsidR="00244ABF" w:rsidRPr="00707AC6">
        <w:rPr>
          <w:sz w:val="24"/>
          <w:szCs w:val="24"/>
        </w:rPr>
        <w:t>LKuA</w:t>
      </w:r>
      <w:proofErr w:type="spellEnd"/>
      <w:r w:rsidR="00244ABF" w:rsidRPr="00707AC6">
        <w:rPr>
          <w:sz w:val="24"/>
          <w:szCs w:val="24"/>
        </w:rPr>
        <w:t xml:space="preserve"> LKK, LU SMK, LU RMK</w:t>
      </w:r>
      <w:r w:rsidR="00244ABF">
        <w:rPr>
          <w:sz w:val="24"/>
          <w:szCs w:val="24"/>
        </w:rPr>
        <w:t xml:space="preserve"> saskaņā ar stratēģiskajiem </w:t>
      </w:r>
      <w:proofErr w:type="spellStart"/>
      <w:r w:rsidR="00244ABF">
        <w:rPr>
          <w:sz w:val="24"/>
          <w:szCs w:val="24"/>
        </w:rPr>
        <w:t>priekšatlases</w:t>
      </w:r>
      <w:proofErr w:type="spellEnd"/>
      <w:r w:rsidR="00244ABF">
        <w:rPr>
          <w:sz w:val="24"/>
          <w:szCs w:val="24"/>
        </w:rPr>
        <w:t xml:space="preserve"> kritērijiem nevar pretendēt uz atbalstu 8.1.4. ietvaros, jo neīsteno </w:t>
      </w:r>
      <w:r w:rsidR="00244ABF" w:rsidRPr="00970B22">
        <w:rPr>
          <w:sz w:val="24"/>
          <w:szCs w:val="24"/>
        </w:rPr>
        <w:t>profesion</w:t>
      </w:r>
      <w:r w:rsidR="00244ABF" w:rsidRPr="002C39AF">
        <w:rPr>
          <w:sz w:val="24"/>
          <w:szCs w:val="24"/>
        </w:rPr>
        <w:t>ālās vidējās izglītības vai arodizglītības programmas</w:t>
      </w:r>
      <w:r w:rsidR="00244ABF">
        <w:rPr>
          <w:sz w:val="24"/>
          <w:szCs w:val="24"/>
        </w:rPr>
        <w:t>, p</w:t>
      </w:r>
      <w:r w:rsidR="002C39AF">
        <w:rPr>
          <w:sz w:val="24"/>
          <w:szCs w:val="24"/>
        </w:rPr>
        <w:t xml:space="preserve">aredzēts, </w:t>
      </w:r>
      <w:r w:rsidR="009E0F7C">
        <w:rPr>
          <w:sz w:val="24"/>
          <w:szCs w:val="24"/>
        </w:rPr>
        <w:t xml:space="preserve">ka </w:t>
      </w:r>
      <w:r w:rsidR="00244ABF">
        <w:rPr>
          <w:sz w:val="24"/>
          <w:szCs w:val="24"/>
        </w:rPr>
        <w:t>minētās</w:t>
      </w:r>
      <w:r w:rsidR="006F00A6" w:rsidRPr="00631042">
        <w:rPr>
          <w:sz w:val="24"/>
          <w:szCs w:val="24"/>
        </w:rPr>
        <w:t xml:space="preserve"> </w:t>
      </w:r>
      <w:r w:rsidR="00244ABF">
        <w:rPr>
          <w:sz w:val="24"/>
          <w:szCs w:val="24"/>
        </w:rPr>
        <w:t>augstskolu aģentūras</w:t>
      </w:r>
      <w:r w:rsidR="006F00A6" w:rsidRPr="00970B22">
        <w:rPr>
          <w:sz w:val="24"/>
          <w:szCs w:val="24"/>
        </w:rPr>
        <w:t xml:space="preserve"> </w:t>
      </w:r>
      <w:r w:rsidR="008F32F4" w:rsidRPr="00CE77EF">
        <w:rPr>
          <w:sz w:val="24"/>
          <w:szCs w:val="24"/>
        </w:rPr>
        <w:t>varēs pretendēt uz atbalsta</w:t>
      </w:r>
      <w:r w:rsidR="00136C25">
        <w:rPr>
          <w:sz w:val="24"/>
          <w:szCs w:val="24"/>
        </w:rPr>
        <w:t xml:space="preserve"> saņemšanu</w:t>
      </w:r>
      <w:r w:rsidR="006F00A6" w:rsidRPr="00631042">
        <w:rPr>
          <w:sz w:val="24"/>
          <w:szCs w:val="24"/>
        </w:rPr>
        <w:t xml:space="preserve"> 8.1.</w:t>
      </w:r>
      <w:r w:rsidR="00244ABF">
        <w:rPr>
          <w:sz w:val="24"/>
          <w:szCs w:val="24"/>
        </w:rPr>
        <w:t>1</w:t>
      </w:r>
      <w:r w:rsidR="006F00A6" w:rsidRPr="00631042">
        <w:rPr>
          <w:sz w:val="24"/>
          <w:szCs w:val="24"/>
        </w:rPr>
        <w:t>. SAM ietvaros</w:t>
      </w:r>
      <w:r w:rsidR="00244ABF">
        <w:rPr>
          <w:sz w:val="24"/>
          <w:szCs w:val="24"/>
        </w:rPr>
        <w:t xml:space="preserve"> kā </w:t>
      </w:r>
      <w:r w:rsidR="00B06C4C">
        <w:rPr>
          <w:sz w:val="24"/>
          <w:szCs w:val="24"/>
        </w:rPr>
        <w:t>labuma guvēji</w:t>
      </w:r>
      <w:bookmarkEnd w:id="43"/>
      <w:r w:rsidR="00505FAE" w:rsidRPr="002C39AF">
        <w:rPr>
          <w:sz w:val="24"/>
          <w:szCs w:val="24"/>
        </w:rPr>
        <w:t xml:space="preserve">. </w:t>
      </w:r>
      <w:r w:rsidR="00A66A55" w:rsidRPr="002C39AF">
        <w:rPr>
          <w:sz w:val="24"/>
          <w:szCs w:val="24"/>
        </w:rPr>
        <w:t xml:space="preserve">  </w:t>
      </w:r>
    </w:p>
    <w:p w:rsidR="00A66A55" w:rsidRPr="00631042" w:rsidRDefault="00A66A55" w:rsidP="0031543B">
      <w:pPr>
        <w:pStyle w:val="FootnoteText"/>
        <w:ind w:firstLine="720"/>
        <w:rPr>
          <w:sz w:val="24"/>
          <w:szCs w:val="24"/>
        </w:rPr>
      </w:pPr>
    </w:p>
    <w:p w:rsidR="00A66A55" w:rsidRDefault="00A66A55" w:rsidP="0031543B">
      <w:pPr>
        <w:pStyle w:val="FootnoteText"/>
        <w:ind w:firstLine="720"/>
        <w:rPr>
          <w:sz w:val="24"/>
          <w:szCs w:val="24"/>
        </w:rPr>
      </w:pPr>
    </w:p>
    <w:p w:rsidR="00AC30BF" w:rsidRDefault="001064B3" w:rsidP="001064B3">
      <w:pPr>
        <w:pStyle w:val="Heading2"/>
      </w:pPr>
      <w:bookmarkStart w:id="44" w:name="_Toc445290208"/>
      <w:r>
        <w:t xml:space="preserve">4.3. </w:t>
      </w:r>
      <w:r w:rsidR="00AC30BF">
        <w:t>Koledžu (indikatīvo finansējuma saņēmēju) vajadzību analīze</w:t>
      </w:r>
      <w:bookmarkEnd w:id="44"/>
      <w:r w:rsidR="00AC30BF">
        <w:t xml:space="preserve"> </w:t>
      </w:r>
    </w:p>
    <w:p w:rsidR="00463069" w:rsidRDefault="00463069" w:rsidP="00AC30BF">
      <w:pPr>
        <w:pStyle w:val="Default"/>
        <w:ind w:firstLine="720"/>
        <w:jc w:val="both"/>
        <w:rPr>
          <w:rFonts w:eastAsia="Times New Roman"/>
          <w:color w:val="auto"/>
          <w:lang w:eastAsia="en-US"/>
        </w:rPr>
      </w:pPr>
    </w:p>
    <w:p w:rsidR="00E56027" w:rsidRPr="00463069" w:rsidRDefault="00463069" w:rsidP="00AC30BF">
      <w:pPr>
        <w:pStyle w:val="Default"/>
        <w:ind w:firstLine="720"/>
        <w:jc w:val="both"/>
        <w:rPr>
          <w:rFonts w:eastAsia="Times New Roman"/>
          <w:color w:val="auto"/>
          <w:lang w:eastAsia="en-US"/>
        </w:rPr>
      </w:pPr>
      <w:r w:rsidRPr="00463069">
        <w:rPr>
          <w:rFonts w:eastAsia="Times New Roman"/>
          <w:color w:val="auto"/>
          <w:lang w:eastAsia="en-US"/>
        </w:rPr>
        <w:t>Koledžu vajadzību analīzē ir iekļautas tās koledžas, kas īsteno STEM pirmā līmeņa profesionālās augstākās izglītības studiju programma</w:t>
      </w:r>
      <w:r>
        <w:rPr>
          <w:rFonts w:eastAsia="Times New Roman"/>
          <w:color w:val="auto"/>
          <w:lang w:eastAsia="en-US"/>
        </w:rPr>
        <w:t>s</w:t>
      </w:r>
      <w:r w:rsidRPr="00463069">
        <w:rPr>
          <w:rFonts w:eastAsia="Times New Roman"/>
          <w:color w:val="auto"/>
          <w:lang w:eastAsia="en-US"/>
        </w:rPr>
        <w:t xml:space="preserve"> un profesionālās vidējās izglītības</w:t>
      </w:r>
      <w:r w:rsidR="002002C7">
        <w:rPr>
          <w:rFonts w:eastAsia="Times New Roman"/>
          <w:color w:val="auto"/>
          <w:lang w:eastAsia="en-US"/>
        </w:rPr>
        <w:t xml:space="preserve"> vai arodizglītības </w:t>
      </w:r>
      <w:r w:rsidRPr="00463069">
        <w:rPr>
          <w:rFonts w:eastAsia="Times New Roman"/>
          <w:color w:val="auto"/>
          <w:lang w:eastAsia="en-US"/>
        </w:rPr>
        <w:t>programmas (sk. novērtējuma 1.pielikumu).</w:t>
      </w:r>
    </w:p>
    <w:p w:rsidR="00AC30BF" w:rsidRPr="00521C8D" w:rsidRDefault="00AC30BF" w:rsidP="00722156">
      <w:pPr>
        <w:pStyle w:val="Default"/>
        <w:numPr>
          <w:ilvl w:val="0"/>
          <w:numId w:val="44"/>
        </w:numPr>
        <w:jc w:val="both"/>
        <w:rPr>
          <w:b/>
        </w:rPr>
      </w:pPr>
      <w:r>
        <w:rPr>
          <w:b/>
        </w:rPr>
        <w:t xml:space="preserve">Jēkabpils </w:t>
      </w:r>
      <w:proofErr w:type="spellStart"/>
      <w:r>
        <w:rPr>
          <w:b/>
        </w:rPr>
        <w:t>A</w:t>
      </w:r>
      <w:r w:rsidRPr="00521C8D">
        <w:rPr>
          <w:b/>
        </w:rPr>
        <w:t>grobiznesa</w:t>
      </w:r>
      <w:proofErr w:type="spellEnd"/>
      <w:r w:rsidRPr="00521C8D">
        <w:rPr>
          <w:b/>
        </w:rPr>
        <w:t xml:space="preserve"> koledža (JAK)</w:t>
      </w:r>
    </w:p>
    <w:p w:rsidR="00AC30BF" w:rsidRPr="00521C8D" w:rsidRDefault="00AC30BF" w:rsidP="00AC30BF">
      <w:pPr>
        <w:pStyle w:val="Default"/>
        <w:ind w:firstLine="720"/>
        <w:jc w:val="both"/>
      </w:pPr>
      <w:r w:rsidRPr="00521C8D">
        <w:t>Attīstības stratēģijā 2012.-2017.gadam (aktualizēta 2014.g.) JAK norāda, ka nepieciešams pilnveidot studiju metodisko nodrošinājumu, t.sk. bibliotēkas fondu papildināšanu, iegādājoties grāmatas un pasūtot periodiskos izdevumus, specializēto nodarbību telpu, laboratoriju aprīkojuma uzlabošanu, kā arī studējošo sadzīves apstākļu dienesta viesnīcā uzlabošanu un koledžas sporta bāzes pilnveidošanu.</w:t>
      </w:r>
    </w:p>
    <w:p w:rsidR="00AC30BF" w:rsidRPr="00521C8D" w:rsidRDefault="00AC30BF" w:rsidP="00722156">
      <w:pPr>
        <w:pStyle w:val="Default"/>
        <w:numPr>
          <w:ilvl w:val="0"/>
          <w:numId w:val="44"/>
        </w:numPr>
        <w:jc w:val="both"/>
        <w:rPr>
          <w:b/>
        </w:rPr>
      </w:pPr>
      <w:r w:rsidRPr="00521C8D">
        <w:rPr>
          <w:b/>
        </w:rPr>
        <w:t>Liepājas Jūrniecības koledža (LJK)</w:t>
      </w:r>
    </w:p>
    <w:p w:rsidR="00AC30BF" w:rsidRPr="00521C8D" w:rsidRDefault="00AC30BF" w:rsidP="00AC30BF">
      <w:pPr>
        <w:pStyle w:val="Default"/>
        <w:ind w:firstLine="720"/>
        <w:jc w:val="both"/>
        <w:rPr>
          <w:color w:val="auto"/>
        </w:rPr>
      </w:pPr>
      <w:r w:rsidRPr="00521C8D">
        <w:t xml:space="preserve">Saskaņā ar LJK </w:t>
      </w:r>
      <w:r w:rsidRPr="00521C8D">
        <w:rPr>
          <w:color w:val="auto"/>
        </w:rPr>
        <w:t>studiju virziena „</w:t>
      </w:r>
      <w:r>
        <w:rPr>
          <w:color w:val="auto"/>
        </w:rPr>
        <w:t>M</w:t>
      </w:r>
      <w:r w:rsidRPr="00521C8D">
        <w:rPr>
          <w:color w:val="auto"/>
        </w:rPr>
        <w:t xml:space="preserve">ehānika un metālapstrāde, </w:t>
      </w:r>
      <w:proofErr w:type="spellStart"/>
      <w:r w:rsidRPr="00521C8D">
        <w:rPr>
          <w:color w:val="auto"/>
        </w:rPr>
        <w:t>siltumenerģētika</w:t>
      </w:r>
      <w:proofErr w:type="spellEnd"/>
      <w:r w:rsidRPr="00521C8D">
        <w:rPr>
          <w:color w:val="auto"/>
        </w:rPr>
        <w:t xml:space="preserve">, siltumtehnika un </w:t>
      </w:r>
      <w:proofErr w:type="spellStart"/>
      <w:r w:rsidRPr="00521C8D">
        <w:rPr>
          <w:color w:val="auto"/>
        </w:rPr>
        <w:t>mašīnzinības</w:t>
      </w:r>
      <w:proofErr w:type="spellEnd"/>
      <w:r w:rsidRPr="00521C8D">
        <w:rPr>
          <w:color w:val="auto"/>
        </w:rPr>
        <w:t>” pašnovērtējuma ziņojumu 2014.gadā</w:t>
      </w:r>
      <w:r w:rsidRPr="00521C8D">
        <w:rPr>
          <w:rStyle w:val="FootnoteReference"/>
          <w:color w:val="auto"/>
        </w:rPr>
        <w:footnoteReference w:id="61"/>
      </w:r>
      <w:r w:rsidRPr="00521C8D">
        <w:rPr>
          <w:color w:val="auto"/>
        </w:rPr>
        <w:t xml:space="preserve"> 1.3.sadaļā „Studiju virziena attīstības plāns” minēto, LJK nepieciešams pilnveidot materiāltehnisko bāzi:</w:t>
      </w:r>
    </w:p>
    <w:p w:rsidR="00AC30BF" w:rsidRPr="00521C8D" w:rsidRDefault="00AC30BF" w:rsidP="00722156">
      <w:pPr>
        <w:pStyle w:val="Default"/>
        <w:numPr>
          <w:ilvl w:val="0"/>
          <w:numId w:val="36"/>
        </w:numPr>
        <w:ind w:left="714" w:hanging="357"/>
      </w:pPr>
      <w:r w:rsidRPr="00521C8D">
        <w:t xml:space="preserve">atjaunot dīzeļdzinēja laboratoriju; </w:t>
      </w:r>
    </w:p>
    <w:p w:rsidR="00AC30BF" w:rsidRPr="00521C8D" w:rsidRDefault="00AC30BF" w:rsidP="00722156">
      <w:pPr>
        <w:pStyle w:val="Default"/>
        <w:numPr>
          <w:ilvl w:val="0"/>
          <w:numId w:val="36"/>
        </w:numPr>
        <w:ind w:left="714" w:hanging="357"/>
      </w:pPr>
      <w:r w:rsidRPr="00521C8D">
        <w:t xml:space="preserve">atjaunot mehāniskās darbnīcas iekārtojumu; </w:t>
      </w:r>
    </w:p>
    <w:p w:rsidR="00AC30BF" w:rsidRPr="00521C8D" w:rsidRDefault="00AC30BF" w:rsidP="00722156">
      <w:pPr>
        <w:pStyle w:val="Default"/>
        <w:numPr>
          <w:ilvl w:val="0"/>
          <w:numId w:val="36"/>
        </w:numPr>
        <w:ind w:left="714" w:hanging="357"/>
      </w:pPr>
      <w:r w:rsidRPr="00521C8D">
        <w:t xml:space="preserve">pilnveidot </w:t>
      </w:r>
      <w:proofErr w:type="spellStart"/>
      <w:r w:rsidRPr="00521C8D">
        <w:t>simulatora</w:t>
      </w:r>
      <w:proofErr w:type="spellEnd"/>
      <w:r w:rsidRPr="00521C8D">
        <w:t xml:space="preserve"> telpu ar centrālo vadības pulti un nodrošināt sakarus ar navigācijas tiltiņa </w:t>
      </w:r>
      <w:proofErr w:type="spellStart"/>
      <w:r w:rsidRPr="00521C8D">
        <w:t>simulatoru</w:t>
      </w:r>
      <w:proofErr w:type="spellEnd"/>
      <w:r w:rsidRPr="00521C8D">
        <w:t xml:space="preserve">; </w:t>
      </w:r>
    </w:p>
    <w:p w:rsidR="00AC30BF" w:rsidRPr="00521C8D" w:rsidRDefault="00AC30BF" w:rsidP="00722156">
      <w:pPr>
        <w:pStyle w:val="Default"/>
        <w:numPr>
          <w:ilvl w:val="0"/>
          <w:numId w:val="36"/>
        </w:numPr>
        <w:ind w:left="714" w:hanging="357"/>
      </w:pPr>
      <w:r w:rsidRPr="00521C8D">
        <w:lastRenderedPageBreak/>
        <w:t xml:space="preserve">izveidot kuģu automātikas laboratoriju; </w:t>
      </w:r>
    </w:p>
    <w:p w:rsidR="00AC30BF" w:rsidRPr="00521C8D" w:rsidRDefault="00AC30BF" w:rsidP="00722156">
      <w:pPr>
        <w:pStyle w:val="Default"/>
        <w:numPr>
          <w:ilvl w:val="0"/>
          <w:numId w:val="36"/>
        </w:numPr>
        <w:ind w:left="714" w:hanging="357"/>
      </w:pPr>
      <w:r w:rsidRPr="00521C8D">
        <w:t xml:space="preserve">uzstādīt augstsprieguma stendu. </w:t>
      </w:r>
    </w:p>
    <w:p w:rsidR="00AC30BF" w:rsidRPr="00521C8D" w:rsidRDefault="00AC30BF" w:rsidP="00AC30BF">
      <w:pPr>
        <w:pStyle w:val="Default"/>
        <w:ind w:firstLine="714"/>
        <w:jc w:val="both"/>
      </w:pPr>
      <w:r w:rsidRPr="00521C8D">
        <w:t>Pašnovērtējumā arī minēts, ka nepietiekamais budžeta finansējums nenodrošina materiāli tehniskās bāzes regulāru atjaunošanu un papildināšanu.</w:t>
      </w:r>
      <w:r w:rsidR="00CB69C2" w:rsidRPr="00CB69C2">
        <w:t xml:space="preserve"> </w:t>
      </w:r>
      <w:r w:rsidR="00CB69C2">
        <w:t>LJK arī p</w:t>
      </w:r>
      <w:r w:rsidR="00CB69C2" w:rsidRPr="00120BB9">
        <w:rPr>
          <w:color w:val="auto"/>
        </w:rPr>
        <w:t>lāno atvērt</w:t>
      </w:r>
      <w:r w:rsidR="00CB69C2" w:rsidRPr="00120BB9">
        <w:rPr>
          <w:b/>
          <w:color w:val="auto"/>
        </w:rPr>
        <w:t xml:space="preserve"> </w:t>
      </w:r>
      <w:r w:rsidR="00CB69C2" w:rsidRPr="00120BB9">
        <w:rPr>
          <w:color w:val="auto"/>
        </w:rPr>
        <w:t>jaun</w:t>
      </w:r>
      <w:r w:rsidR="00CB69C2">
        <w:rPr>
          <w:color w:val="auto"/>
        </w:rPr>
        <w:t>u</w:t>
      </w:r>
      <w:r w:rsidR="00CB69C2" w:rsidRPr="00120BB9">
        <w:rPr>
          <w:color w:val="auto"/>
        </w:rPr>
        <w:t xml:space="preserve"> studiju programm</w:t>
      </w:r>
      <w:r w:rsidR="00CB69C2">
        <w:rPr>
          <w:color w:val="auto"/>
        </w:rPr>
        <w:t xml:space="preserve">u </w:t>
      </w:r>
      <w:r w:rsidR="00CB69C2" w:rsidRPr="00D50D6F">
        <w:rPr>
          <w:color w:val="auto"/>
        </w:rPr>
        <w:t>„</w:t>
      </w:r>
      <w:r w:rsidR="00CB69C2" w:rsidRPr="00D50D6F">
        <w:t>Kuģu elektromehāniķis</w:t>
      </w:r>
      <w:r w:rsidR="00CB69C2" w:rsidRPr="00D50D6F">
        <w:rPr>
          <w:color w:val="auto"/>
        </w:rPr>
        <w:t>”</w:t>
      </w:r>
      <w:r w:rsidR="00CB69C2">
        <w:rPr>
          <w:color w:val="auto"/>
        </w:rPr>
        <w:t xml:space="preserve">. </w:t>
      </w:r>
    </w:p>
    <w:p w:rsidR="00AC30BF" w:rsidRPr="00521C8D" w:rsidRDefault="00AC30BF" w:rsidP="00722156">
      <w:pPr>
        <w:pStyle w:val="Default"/>
        <w:numPr>
          <w:ilvl w:val="0"/>
          <w:numId w:val="44"/>
        </w:numPr>
        <w:rPr>
          <w:b/>
        </w:rPr>
      </w:pPr>
      <w:r w:rsidRPr="00521C8D">
        <w:rPr>
          <w:b/>
        </w:rPr>
        <w:t>Malnavas koledža (MK)</w:t>
      </w:r>
    </w:p>
    <w:p w:rsidR="00AC30BF" w:rsidRPr="00521C8D" w:rsidRDefault="00AC30BF" w:rsidP="00AC30BF">
      <w:pPr>
        <w:pStyle w:val="Normal1"/>
        <w:ind w:firstLine="714"/>
        <w:jc w:val="both"/>
        <w:rPr>
          <w:rFonts w:ascii="Times New Roman" w:eastAsia="Calibri" w:hAnsi="Times New Roman" w:cs="Times New Roman"/>
          <w:sz w:val="24"/>
          <w:szCs w:val="24"/>
        </w:rPr>
      </w:pPr>
      <w:r w:rsidRPr="00521C8D">
        <w:rPr>
          <w:rFonts w:ascii="Times New Roman" w:eastAsia="Calibri" w:hAnsi="Times New Roman" w:cs="Times New Roman"/>
          <w:sz w:val="24"/>
          <w:szCs w:val="24"/>
        </w:rPr>
        <w:t>Saskaņā ar MK studiju virziena „Autotransports” pašnovērtējuma ziņojumā 2014.gadā</w:t>
      </w:r>
      <w:r w:rsidRPr="00521C8D">
        <w:rPr>
          <w:rStyle w:val="FootnoteReference"/>
          <w:rFonts w:eastAsia="Calibri" w:cs="Times New Roman"/>
          <w:sz w:val="24"/>
          <w:szCs w:val="24"/>
        </w:rPr>
        <w:footnoteReference w:id="62"/>
      </w:r>
      <w:r w:rsidRPr="00521C8D">
        <w:rPr>
          <w:rFonts w:ascii="Times New Roman" w:eastAsia="Calibri" w:hAnsi="Times New Roman" w:cs="Times New Roman"/>
          <w:sz w:val="24"/>
          <w:szCs w:val="24"/>
        </w:rPr>
        <w:t xml:space="preserve"> minēto, MK nepieciešama intensīva laboratorijas iekārtu atjaunināšana un paplašināšana, kā arī norādīts, ka MK ir nepietiekams finansējums mācību tehniskās bāzes atjaunošanai.</w:t>
      </w:r>
      <w:r w:rsidR="00287A9D">
        <w:rPr>
          <w:rFonts w:ascii="Times New Roman" w:eastAsia="Calibri" w:hAnsi="Times New Roman" w:cs="Times New Roman"/>
          <w:sz w:val="24"/>
          <w:szCs w:val="24"/>
        </w:rPr>
        <w:t xml:space="preserve"> </w:t>
      </w:r>
      <w:r w:rsidR="006D317E">
        <w:rPr>
          <w:rFonts w:ascii="Times New Roman" w:eastAsia="Calibri" w:hAnsi="Times New Roman" w:cs="Times New Roman"/>
          <w:sz w:val="24"/>
          <w:szCs w:val="24"/>
        </w:rPr>
        <w:t xml:space="preserve">MK </w:t>
      </w:r>
      <w:r w:rsidR="00287A9D">
        <w:rPr>
          <w:rFonts w:ascii="Times New Roman" w:eastAsia="Calibri" w:hAnsi="Times New Roman" w:cs="Times New Roman"/>
          <w:sz w:val="24"/>
          <w:szCs w:val="24"/>
        </w:rPr>
        <w:t xml:space="preserve">attīstības </w:t>
      </w:r>
      <w:r w:rsidR="006D317E">
        <w:rPr>
          <w:rFonts w:ascii="Times New Roman" w:eastAsia="Calibri" w:hAnsi="Times New Roman" w:cs="Times New Roman"/>
          <w:sz w:val="24"/>
          <w:szCs w:val="24"/>
        </w:rPr>
        <w:t xml:space="preserve">un investīciju </w:t>
      </w:r>
      <w:r w:rsidR="00287A9D">
        <w:rPr>
          <w:rFonts w:ascii="Times New Roman" w:eastAsia="Calibri" w:hAnsi="Times New Roman" w:cs="Times New Roman"/>
          <w:sz w:val="24"/>
          <w:szCs w:val="24"/>
        </w:rPr>
        <w:t xml:space="preserve">stratēģijā </w:t>
      </w:r>
      <w:r w:rsidR="006D317E">
        <w:rPr>
          <w:rFonts w:ascii="Times New Roman" w:eastAsia="Calibri" w:hAnsi="Times New Roman" w:cs="Times New Roman"/>
          <w:sz w:val="24"/>
          <w:szCs w:val="24"/>
        </w:rPr>
        <w:t xml:space="preserve">līdz 2020.gadam </w:t>
      </w:r>
      <w:r w:rsidR="00287A9D">
        <w:rPr>
          <w:rFonts w:ascii="Times New Roman" w:eastAsia="Calibri" w:hAnsi="Times New Roman" w:cs="Times New Roman"/>
          <w:sz w:val="24"/>
          <w:szCs w:val="24"/>
        </w:rPr>
        <w:t xml:space="preserve">norādīts, ka </w:t>
      </w:r>
      <w:r w:rsidR="00287A9D" w:rsidRPr="006D317E">
        <w:rPr>
          <w:rFonts w:ascii="Times New Roman" w:eastAsia="Calibri" w:hAnsi="Times New Roman" w:cs="Times New Roman"/>
          <w:sz w:val="24"/>
          <w:szCs w:val="24"/>
        </w:rPr>
        <w:t>nepieciešams atjaunot veco mācību korpusu</w:t>
      </w:r>
      <w:r w:rsidR="006D317E">
        <w:rPr>
          <w:rFonts w:ascii="Times New Roman" w:eastAsia="Calibri" w:hAnsi="Times New Roman" w:cs="Times New Roman"/>
          <w:sz w:val="24"/>
          <w:szCs w:val="24"/>
        </w:rPr>
        <w:t xml:space="preserve"> –</w:t>
      </w:r>
      <w:r w:rsidR="00287A9D" w:rsidRPr="006D317E">
        <w:rPr>
          <w:rFonts w:ascii="Times New Roman" w:eastAsia="Calibri" w:hAnsi="Times New Roman" w:cs="Times New Roman"/>
          <w:sz w:val="24"/>
          <w:szCs w:val="24"/>
        </w:rPr>
        <w:t xml:space="preserve"> Malnavas</w:t>
      </w:r>
      <w:r w:rsidR="006D317E">
        <w:rPr>
          <w:rFonts w:ascii="Times New Roman" w:eastAsia="Calibri" w:hAnsi="Times New Roman" w:cs="Times New Roman"/>
          <w:sz w:val="24"/>
          <w:szCs w:val="24"/>
        </w:rPr>
        <w:t xml:space="preserve"> </w:t>
      </w:r>
      <w:r w:rsidR="00287A9D" w:rsidRPr="006D317E">
        <w:rPr>
          <w:rFonts w:ascii="Times New Roman" w:eastAsia="Calibri" w:hAnsi="Times New Roman" w:cs="Times New Roman"/>
          <w:sz w:val="24"/>
          <w:szCs w:val="24"/>
        </w:rPr>
        <w:t>muižas ēku, kā arī izbūvēt jaunu lauksaimniecības tehnikas laboratoriju- angāra tipa noliktavu, lai varētu kvalitatīvi gatavot lauksaimniecības speciālistus. Norādīt</w:t>
      </w:r>
      <w:r w:rsidR="006D317E" w:rsidRPr="006D317E">
        <w:rPr>
          <w:rFonts w:ascii="Times New Roman" w:eastAsia="Calibri" w:hAnsi="Times New Roman" w:cs="Times New Roman"/>
          <w:sz w:val="24"/>
          <w:szCs w:val="24"/>
        </w:rPr>
        <w:t>i arī citi nepieciešamie infrastruktūras uzlabojumi- dienesta viesnīcai, sporta būvēm,</w:t>
      </w:r>
      <w:r w:rsidR="00287A9D" w:rsidRPr="006D317E">
        <w:rPr>
          <w:rFonts w:ascii="Times New Roman" w:eastAsia="Calibri" w:hAnsi="Times New Roman" w:cs="Times New Roman"/>
          <w:sz w:val="24"/>
          <w:szCs w:val="24"/>
        </w:rPr>
        <w:t xml:space="preserve"> </w:t>
      </w:r>
      <w:r w:rsidR="006D317E">
        <w:rPr>
          <w:rFonts w:ascii="Times New Roman" w:eastAsia="Calibri" w:hAnsi="Times New Roman" w:cs="Times New Roman"/>
          <w:sz w:val="24"/>
          <w:szCs w:val="24"/>
        </w:rPr>
        <w:t>m</w:t>
      </w:r>
      <w:r w:rsidR="006D317E" w:rsidRPr="006D317E">
        <w:rPr>
          <w:rFonts w:ascii="Times New Roman" w:eastAsia="Calibri" w:hAnsi="Times New Roman" w:cs="Times New Roman"/>
          <w:sz w:val="24"/>
          <w:szCs w:val="24"/>
        </w:rPr>
        <w:t xml:space="preserve">ācību tehniskie līdzekļi studiju programmu īstenošanai. </w:t>
      </w:r>
    </w:p>
    <w:p w:rsidR="00AC30BF" w:rsidRPr="00521C8D" w:rsidRDefault="00AC30BF" w:rsidP="00722156">
      <w:pPr>
        <w:pStyle w:val="Normal1"/>
        <w:numPr>
          <w:ilvl w:val="0"/>
          <w:numId w:val="44"/>
        </w:numPr>
        <w:jc w:val="both"/>
        <w:rPr>
          <w:rFonts w:ascii="Times New Roman" w:eastAsia="Calibri" w:hAnsi="Times New Roman" w:cs="Times New Roman"/>
          <w:b/>
          <w:sz w:val="24"/>
          <w:szCs w:val="24"/>
        </w:rPr>
      </w:pPr>
      <w:r w:rsidRPr="00521C8D">
        <w:rPr>
          <w:rFonts w:ascii="Times New Roman" w:eastAsia="Calibri" w:hAnsi="Times New Roman" w:cs="Times New Roman"/>
          <w:b/>
          <w:sz w:val="24"/>
          <w:szCs w:val="24"/>
        </w:rPr>
        <w:t xml:space="preserve">Olaines Mehānikas un tehnoloģijas koledža (OMTK) </w:t>
      </w:r>
    </w:p>
    <w:p w:rsidR="00AC30BF" w:rsidRPr="00423904" w:rsidRDefault="00AC30BF" w:rsidP="003263CB">
      <w:pPr>
        <w:ind w:firstLine="720"/>
        <w:rPr>
          <w:rFonts w:eastAsia="Calibri"/>
          <w:szCs w:val="24"/>
          <w:lang w:eastAsia="lv-LV"/>
        </w:rPr>
      </w:pPr>
      <w:r w:rsidRPr="00521C8D">
        <w:rPr>
          <w:rFonts w:eastAsia="Calibri"/>
          <w:szCs w:val="24"/>
        </w:rPr>
        <w:t>Saskaņā ar OMTK studiju virzienu „Ķīmija, ķīmijas tehnoloģija un biotehnoloģija”, „Ražošana un pārstrāde” un „Vides aizsardzība” pašnovērtējuma ziņojumos 2013.gadā</w:t>
      </w:r>
      <w:r w:rsidRPr="00521C8D">
        <w:rPr>
          <w:rStyle w:val="FootnoteReference"/>
          <w:rFonts w:eastAsia="Calibri"/>
          <w:szCs w:val="24"/>
        </w:rPr>
        <w:footnoteReference w:id="63"/>
      </w:r>
      <w:r w:rsidRPr="00521C8D">
        <w:rPr>
          <w:rFonts w:eastAsia="Calibri"/>
          <w:szCs w:val="24"/>
        </w:rPr>
        <w:t xml:space="preserve"> minēto, OMTK ir nepilnīgs nodrošinājums ar jaunāko profesionālo literatūru, nepietiekams valsts finansējums materiāltehniskās bāzes regulārai atjaunošanai, nepieciešams </w:t>
      </w:r>
      <w:r w:rsidRPr="00521C8D">
        <w:rPr>
          <w:rFonts w:eastAsia="Calibri"/>
          <w:szCs w:val="24"/>
          <w:lang w:eastAsia="lv-LV"/>
        </w:rPr>
        <w:t xml:space="preserve">pilnveidot materiāli tehnisko nodrošinājumu ar instrumentiem un iekārtām laboratorijas darbu un mācību pētniecisko darbu veikšanai. </w:t>
      </w:r>
      <w:r w:rsidR="00266C91">
        <w:rPr>
          <w:rFonts w:eastAsia="Calibri"/>
          <w:szCs w:val="24"/>
        </w:rPr>
        <w:t xml:space="preserve">Arī </w:t>
      </w:r>
      <w:r w:rsidR="00266C91" w:rsidRPr="00266C91">
        <w:rPr>
          <w:rFonts w:eastAsia="Calibri"/>
          <w:szCs w:val="24"/>
        </w:rPr>
        <w:t>attīstības stratēģijā līdz 2020.gadam pie vājajām pusēm OMTK norāda, ka tai ir novecojusi materiāli tehniskā bāze, kas nepilnīgi nodrošina darba tirgus prasībām atbilstošu kompetenču iegūšanu, ir uzturēta, bet novecojusi ēku infrastruktūra, kurai ir slikti energoefektivitātes rādītāji.</w:t>
      </w:r>
      <w:r w:rsidR="00266C91">
        <w:rPr>
          <w:sz w:val="18"/>
          <w:szCs w:val="18"/>
        </w:rPr>
        <w:t xml:space="preserve"> </w:t>
      </w:r>
      <w:r w:rsidRPr="00521C8D">
        <w:rPr>
          <w:rFonts w:eastAsia="Calibri"/>
          <w:szCs w:val="24"/>
          <w:lang w:eastAsia="lv-LV"/>
        </w:rPr>
        <w:t>OMTK vīzija – izveidot OMTK par ekselences centru, nacionālās nozīmes ķīmijas, farmācijas, biotehnoloģijas un vides aizsardzības izglītības iestādi, kas kļūtu par šo nozaru centru Baltijā.</w:t>
      </w:r>
      <w:r w:rsidR="003263CB">
        <w:rPr>
          <w:rFonts w:eastAsia="Calibri"/>
          <w:szCs w:val="24"/>
          <w:lang w:eastAsia="lv-LV"/>
        </w:rPr>
        <w:t xml:space="preserve"> OMTK arī plāno uzsākt </w:t>
      </w:r>
      <w:r w:rsidR="003263CB" w:rsidRPr="003263CB">
        <w:rPr>
          <w:rFonts w:eastAsia="Calibri"/>
          <w:szCs w:val="24"/>
          <w:lang w:eastAsia="lv-LV"/>
        </w:rPr>
        <w:t xml:space="preserve">jaunu studiju programmu īstenošanu ar kvalifikāciju </w:t>
      </w:r>
      <w:r w:rsidR="003263CB" w:rsidRPr="00521C8D">
        <w:rPr>
          <w:rFonts w:eastAsia="Calibri"/>
          <w:szCs w:val="24"/>
          <w:lang w:eastAsia="lv-LV"/>
        </w:rPr>
        <w:t>–</w:t>
      </w:r>
      <w:r w:rsidR="003263CB" w:rsidRPr="003263CB">
        <w:rPr>
          <w:rFonts w:eastAsia="Calibri"/>
          <w:szCs w:val="24"/>
          <w:lang w:eastAsia="lv-LV"/>
        </w:rPr>
        <w:t xml:space="preserve"> </w:t>
      </w:r>
      <w:r w:rsidR="0016732B">
        <w:rPr>
          <w:rFonts w:eastAsia="Calibri"/>
          <w:szCs w:val="24"/>
          <w:lang w:eastAsia="lv-LV"/>
        </w:rPr>
        <w:t>f</w:t>
      </w:r>
      <w:r w:rsidR="003263CB" w:rsidRPr="003263CB">
        <w:rPr>
          <w:rFonts w:eastAsia="Calibri"/>
          <w:szCs w:val="24"/>
          <w:lang w:eastAsia="lv-LV"/>
        </w:rPr>
        <w:t>armaceitisko procesu speciālists, ķīmisko procesu speciālists, ķīmijas speciālists, ķīmijas, bioloģijas, fizikas mācību kabinetu laboranti vispārizglītojošās skolās.</w:t>
      </w:r>
    </w:p>
    <w:p w:rsidR="00AC30BF" w:rsidRPr="00E56027" w:rsidRDefault="00AC30BF" w:rsidP="00722156">
      <w:pPr>
        <w:pStyle w:val="ListParagraph"/>
        <w:numPr>
          <w:ilvl w:val="0"/>
          <w:numId w:val="44"/>
        </w:numPr>
        <w:rPr>
          <w:rFonts w:eastAsia="Calibri"/>
          <w:b/>
          <w:szCs w:val="24"/>
          <w:lang w:eastAsia="lv-LV"/>
        </w:rPr>
      </w:pPr>
      <w:r w:rsidRPr="00E56027">
        <w:rPr>
          <w:rFonts w:eastAsia="Calibri"/>
          <w:b/>
          <w:color w:val="000000"/>
          <w:szCs w:val="24"/>
          <w:lang w:eastAsia="lv-LV"/>
        </w:rPr>
        <w:t xml:space="preserve">Rīgas 1.medicīnas koledža </w:t>
      </w:r>
      <w:r w:rsidRPr="00E56027">
        <w:rPr>
          <w:rFonts w:eastAsia="Calibri"/>
          <w:b/>
          <w:szCs w:val="24"/>
          <w:lang w:eastAsia="lv-LV"/>
        </w:rPr>
        <w:t>(R1MK)</w:t>
      </w:r>
    </w:p>
    <w:p w:rsidR="00AC30BF" w:rsidRDefault="00AC30BF" w:rsidP="00AC30BF">
      <w:pPr>
        <w:ind w:firstLine="714"/>
        <w:contextualSpacing/>
        <w:rPr>
          <w:szCs w:val="24"/>
        </w:rPr>
      </w:pPr>
      <w:r>
        <w:rPr>
          <w:rFonts w:eastAsia="Calibri"/>
          <w:szCs w:val="24"/>
          <w:lang w:eastAsia="lv-LV"/>
        </w:rPr>
        <w:t>R1MK 2014.gada publiskajā pārskatā</w:t>
      </w:r>
      <w:r>
        <w:rPr>
          <w:rStyle w:val="FootnoteReference"/>
          <w:rFonts w:eastAsia="Calibri"/>
          <w:szCs w:val="24"/>
          <w:lang w:eastAsia="lv-LV"/>
        </w:rPr>
        <w:footnoteReference w:id="64"/>
      </w:r>
      <w:r>
        <w:rPr>
          <w:rFonts w:eastAsia="Calibri"/>
          <w:szCs w:val="24"/>
          <w:lang w:eastAsia="lv-LV"/>
        </w:rPr>
        <w:t xml:space="preserve"> pie k</w:t>
      </w:r>
      <w:r w:rsidRPr="001C01ED">
        <w:rPr>
          <w:rFonts w:eastAsia="Calibri"/>
          <w:szCs w:val="24"/>
          <w:lang w:eastAsia="lv-LV"/>
        </w:rPr>
        <w:t>oledžas pašnovērtējuma esošajai situācijai pie stiprajām pusēm norād</w:t>
      </w:r>
      <w:r>
        <w:rPr>
          <w:rFonts w:eastAsia="Calibri"/>
          <w:szCs w:val="24"/>
          <w:lang w:eastAsia="lv-LV"/>
        </w:rPr>
        <w:t>īts</w:t>
      </w:r>
      <w:r w:rsidRPr="001C01ED">
        <w:rPr>
          <w:rFonts w:eastAsia="Calibri"/>
          <w:szCs w:val="24"/>
          <w:lang w:eastAsia="lv-LV"/>
        </w:rPr>
        <w:t xml:space="preserve">, ka </w:t>
      </w:r>
      <w:r>
        <w:rPr>
          <w:rFonts w:eastAsia="Calibri"/>
          <w:szCs w:val="24"/>
          <w:lang w:eastAsia="lv-LV"/>
        </w:rPr>
        <w:t>koledžai</w:t>
      </w:r>
      <w:r w:rsidRPr="001C01ED">
        <w:rPr>
          <w:rFonts w:eastAsia="Calibri"/>
          <w:szCs w:val="24"/>
          <w:lang w:eastAsia="lv-LV"/>
        </w:rPr>
        <w:t xml:space="preserve"> ir nodrošināta laba</w:t>
      </w:r>
      <w:r>
        <w:t xml:space="preserve"> mācību metodiskā bāze. Atbilstošs studiju medicīniskais aprīkojums, t.sk. prakses bāzēs. Studentiem ir pieejama nepieciešamā informācija un materiāli pētniecības darba veikšanai. Par ERAF līdzekļiem ir uzlabota koledžas infrastruktūra, iegādāts modernākajām tehnoloģijām atbilstošs mācību aprīkojums un nodrošināta mūsdienīga pētniecības bāze. Savukārt pie vājajām pusēm norādīts, ka j</w:t>
      </w:r>
      <w:r w:rsidRPr="002A41F8">
        <w:t>āpiesaista ES finansējums koledžas dienesta viesnīcas ēkas energoefektivitātes uzlabošanai</w:t>
      </w:r>
      <w:r>
        <w:t xml:space="preserve">. </w:t>
      </w:r>
      <w:r>
        <w:rPr>
          <w:rFonts w:eastAsia="Calibri"/>
          <w:szCs w:val="24"/>
          <w:lang w:eastAsia="lv-LV"/>
        </w:rPr>
        <w:t>Saskaņā ar R1MK</w:t>
      </w:r>
      <w:r>
        <w:rPr>
          <w:rFonts w:eastAsia="Calibri"/>
          <w:color w:val="000000"/>
          <w:szCs w:val="24"/>
          <w:lang w:eastAsia="lv-LV"/>
        </w:rPr>
        <w:t xml:space="preserve"> stratēģijas pamatnostādnēm</w:t>
      </w:r>
      <w:r w:rsidRPr="00816515">
        <w:rPr>
          <w:rFonts w:eastAsia="Calibri"/>
          <w:color w:val="000000"/>
          <w:szCs w:val="24"/>
          <w:lang w:eastAsia="lv-LV"/>
        </w:rPr>
        <w:t xml:space="preserve"> </w:t>
      </w:r>
      <w:r w:rsidRPr="00816515">
        <w:rPr>
          <w:rFonts w:eastAsia="Calibri"/>
          <w:szCs w:val="24"/>
          <w:lang w:eastAsia="lv-LV"/>
        </w:rPr>
        <w:t xml:space="preserve">2015. </w:t>
      </w:r>
      <w:r w:rsidRPr="00521C8D">
        <w:rPr>
          <w:rFonts w:eastAsia="Calibri"/>
          <w:szCs w:val="24"/>
          <w:lang w:eastAsia="lv-LV"/>
        </w:rPr>
        <w:t>–</w:t>
      </w:r>
      <w:r>
        <w:rPr>
          <w:rFonts w:eastAsia="Calibri"/>
          <w:szCs w:val="24"/>
          <w:lang w:eastAsia="lv-LV"/>
        </w:rPr>
        <w:t xml:space="preserve"> </w:t>
      </w:r>
      <w:r w:rsidRPr="00816515">
        <w:rPr>
          <w:rFonts w:eastAsia="Calibri"/>
          <w:szCs w:val="24"/>
          <w:lang w:eastAsia="lv-LV"/>
        </w:rPr>
        <w:t>2020</w:t>
      </w:r>
      <w:r>
        <w:rPr>
          <w:rFonts w:eastAsia="Calibri"/>
          <w:szCs w:val="24"/>
          <w:lang w:eastAsia="lv-LV"/>
        </w:rPr>
        <w:t>.gadam</w:t>
      </w:r>
      <w:r w:rsidRPr="00816515">
        <w:rPr>
          <w:rFonts w:eastAsia="Calibri"/>
          <w:szCs w:val="24"/>
          <w:lang w:eastAsia="lv-LV"/>
        </w:rPr>
        <w:t xml:space="preserve"> R1MK plāno </w:t>
      </w:r>
      <w:r w:rsidRPr="00816515">
        <w:rPr>
          <w:szCs w:val="24"/>
        </w:rPr>
        <w:t>sadarbībā ar Latvijas Universitāti izveidot un uzsākt īstenot jaunas izglītības programmas</w:t>
      </w:r>
      <w:r>
        <w:rPr>
          <w:szCs w:val="24"/>
        </w:rPr>
        <w:t xml:space="preserve"> </w:t>
      </w:r>
      <w:r w:rsidRPr="00521C8D">
        <w:rPr>
          <w:rFonts w:eastAsia="Calibri"/>
          <w:szCs w:val="24"/>
          <w:lang w:eastAsia="lv-LV"/>
        </w:rPr>
        <w:t>–</w:t>
      </w:r>
      <w:r w:rsidRPr="00816515">
        <w:rPr>
          <w:szCs w:val="24"/>
        </w:rPr>
        <w:t xml:space="preserve"> “Veselības aprūpe, sabiedrības veselība” (kods 41726, ar iegūstamo kvalifikāciju “Militārais </w:t>
      </w:r>
      <w:proofErr w:type="spellStart"/>
      <w:r w:rsidRPr="00816515">
        <w:rPr>
          <w:szCs w:val="24"/>
        </w:rPr>
        <w:t>paramediķis</w:t>
      </w:r>
      <w:proofErr w:type="spellEnd"/>
      <w:r w:rsidRPr="00816515">
        <w:rPr>
          <w:szCs w:val="24"/>
        </w:rPr>
        <w:t>”), “Veselības aprūpe, sabiedrības veselība” (kods 41726, ar iegūstamo kvalifikāciju “</w:t>
      </w:r>
      <w:proofErr w:type="spellStart"/>
      <w:r w:rsidRPr="00816515">
        <w:rPr>
          <w:szCs w:val="24"/>
        </w:rPr>
        <w:t>Ergoterapeita</w:t>
      </w:r>
      <w:proofErr w:type="spellEnd"/>
      <w:r w:rsidRPr="00816515">
        <w:rPr>
          <w:szCs w:val="24"/>
        </w:rPr>
        <w:t xml:space="preserve"> asistents”), “Veselības aprūpe, sabiedrības veselība” (kods 41726, ar iegūstamo kvalifikāciju “Fizioterapeita asistents”).</w:t>
      </w:r>
    </w:p>
    <w:p w:rsidR="00AC30BF" w:rsidRPr="00521C8D" w:rsidRDefault="00AC30BF" w:rsidP="00722156">
      <w:pPr>
        <w:pStyle w:val="Normal1"/>
        <w:numPr>
          <w:ilvl w:val="0"/>
          <w:numId w:val="44"/>
        </w:numPr>
        <w:jc w:val="both"/>
        <w:rPr>
          <w:rFonts w:ascii="Times New Roman" w:eastAsia="Calibri" w:hAnsi="Times New Roman" w:cs="Times New Roman"/>
          <w:b/>
          <w:sz w:val="24"/>
          <w:szCs w:val="24"/>
        </w:rPr>
      </w:pPr>
      <w:r w:rsidRPr="00521C8D">
        <w:rPr>
          <w:rFonts w:ascii="Times New Roman" w:eastAsia="Calibri" w:hAnsi="Times New Roman" w:cs="Times New Roman"/>
          <w:b/>
          <w:sz w:val="24"/>
          <w:szCs w:val="24"/>
        </w:rPr>
        <w:t>Rīgas Celtniecības koledža (RCK)</w:t>
      </w:r>
    </w:p>
    <w:p w:rsidR="00AC30BF" w:rsidRDefault="00AC30BF" w:rsidP="00AC30BF">
      <w:pPr>
        <w:pStyle w:val="Normal1"/>
        <w:ind w:firstLine="714"/>
        <w:jc w:val="both"/>
        <w:rPr>
          <w:rFonts w:ascii="Times New Roman" w:eastAsia="Calibri" w:hAnsi="Times New Roman" w:cs="Times New Roman"/>
          <w:sz w:val="24"/>
          <w:szCs w:val="24"/>
        </w:rPr>
      </w:pPr>
      <w:r w:rsidRPr="00521C8D">
        <w:rPr>
          <w:rFonts w:ascii="Times New Roman" w:eastAsia="Calibri" w:hAnsi="Times New Roman" w:cs="Times New Roman"/>
          <w:sz w:val="24"/>
          <w:szCs w:val="24"/>
        </w:rPr>
        <w:t>Saskaņā ar RCK studiju virziena „Arhitektūra, būvniecība” un studiju virziena „Mākslas” pašnovērtējuma ziņojumos 2013.gadā</w:t>
      </w:r>
      <w:r w:rsidRPr="00521C8D">
        <w:rPr>
          <w:rStyle w:val="FootnoteReference"/>
          <w:rFonts w:eastAsia="Calibri" w:cs="Times New Roman"/>
          <w:sz w:val="24"/>
          <w:szCs w:val="24"/>
        </w:rPr>
        <w:footnoteReference w:id="65"/>
      </w:r>
      <w:r w:rsidRPr="00521C8D">
        <w:rPr>
          <w:rFonts w:ascii="Times New Roman" w:eastAsia="Calibri" w:hAnsi="Times New Roman" w:cs="Times New Roman"/>
          <w:sz w:val="24"/>
          <w:szCs w:val="24"/>
        </w:rPr>
        <w:t xml:space="preserve"> minēto, RCK nepieciešams uzlabot un pilnveidot studiju virzienu materiāli tehnisko bāzi, lai nodrošinātu mūsdienu darba tirgus </w:t>
      </w:r>
      <w:r w:rsidRPr="00521C8D">
        <w:rPr>
          <w:rFonts w:ascii="Times New Roman" w:eastAsia="Calibri" w:hAnsi="Times New Roman" w:cs="Times New Roman"/>
          <w:sz w:val="24"/>
          <w:szCs w:val="24"/>
        </w:rPr>
        <w:lastRenderedPageBreak/>
        <w:t>prasībām atbilstošu izglītības kvalitāti, kā arī minēts, ka nav pietiekami attīstītas e-studijas, nepietiekams valsts finansējums materiāli</w:t>
      </w:r>
      <w:r w:rsidR="00C61330">
        <w:rPr>
          <w:rFonts w:ascii="Times New Roman" w:eastAsia="Calibri" w:hAnsi="Times New Roman" w:cs="Times New Roman"/>
          <w:sz w:val="24"/>
          <w:szCs w:val="24"/>
        </w:rPr>
        <w:t xml:space="preserve"> </w:t>
      </w:r>
      <w:r w:rsidRPr="00521C8D">
        <w:rPr>
          <w:rFonts w:ascii="Times New Roman" w:eastAsia="Calibri" w:hAnsi="Times New Roman" w:cs="Times New Roman"/>
          <w:sz w:val="24"/>
          <w:szCs w:val="24"/>
        </w:rPr>
        <w:t>tehniskās bāzes regulārai atjaunošanai.</w:t>
      </w:r>
      <w:r w:rsidR="008316EB">
        <w:rPr>
          <w:rFonts w:ascii="Times New Roman" w:eastAsia="Calibri" w:hAnsi="Times New Roman" w:cs="Times New Roman"/>
          <w:sz w:val="24"/>
          <w:szCs w:val="24"/>
        </w:rPr>
        <w:t xml:space="preserve"> </w:t>
      </w:r>
      <w:r w:rsidR="002D7CC2">
        <w:rPr>
          <w:rFonts w:ascii="Times New Roman" w:eastAsia="Calibri" w:hAnsi="Times New Roman" w:cs="Times New Roman"/>
          <w:sz w:val="24"/>
          <w:szCs w:val="24"/>
        </w:rPr>
        <w:t>D</w:t>
      </w:r>
      <w:r w:rsidR="00721D01">
        <w:rPr>
          <w:rFonts w:ascii="Times New Roman" w:eastAsia="Calibri" w:hAnsi="Times New Roman" w:cs="Times New Roman"/>
          <w:sz w:val="24"/>
          <w:szCs w:val="24"/>
        </w:rPr>
        <w:t xml:space="preserve">arbības un </w:t>
      </w:r>
      <w:r w:rsidR="008316EB">
        <w:rPr>
          <w:rFonts w:ascii="Times New Roman" w:eastAsia="Calibri" w:hAnsi="Times New Roman" w:cs="Times New Roman"/>
          <w:sz w:val="24"/>
          <w:szCs w:val="24"/>
        </w:rPr>
        <w:t xml:space="preserve">attīstības </w:t>
      </w:r>
      <w:r w:rsidR="00721D01">
        <w:rPr>
          <w:rFonts w:ascii="Times New Roman" w:eastAsia="Calibri" w:hAnsi="Times New Roman" w:cs="Times New Roman"/>
          <w:sz w:val="24"/>
          <w:szCs w:val="24"/>
        </w:rPr>
        <w:t xml:space="preserve">ilgtermiņa </w:t>
      </w:r>
      <w:r w:rsidR="008316EB">
        <w:rPr>
          <w:rFonts w:ascii="Times New Roman" w:eastAsia="Calibri" w:hAnsi="Times New Roman" w:cs="Times New Roman"/>
          <w:sz w:val="24"/>
          <w:szCs w:val="24"/>
        </w:rPr>
        <w:t>stratēģijā 2015.</w:t>
      </w:r>
      <w:r w:rsidR="00721D01" w:rsidRPr="00721D01">
        <w:rPr>
          <w:rFonts w:eastAsia="Calibri"/>
          <w:szCs w:val="24"/>
        </w:rPr>
        <w:t xml:space="preserve"> </w:t>
      </w:r>
      <w:r w:rsidR="00721D01" w:rsidRPr="00521C8D">
        <w:rPr>
          <w:rFonts w:eastAsia="Calibri"/>
          <w:szCs w:val="24"/>
        </w:rPr>
        <w:t>–</w:t>
      </w:r>
      <w:r w:rsidR="00721D01">
        <w:rPr>
          <w:rFonts w:eastAsia="Calibri"/>
          <w:szCs w:val="24"/>
        </w:rPr>
        <w:t xml:space="preserve"> </w:t>
      </w:r>
      <w:r w:rsidR="008316EB">
        <w:rPr>
          <w:rFonts w:ascii="Times New Roman" w:eastAsia="Calibri" w:hAnsi="Times New Roman" w:cs="Times New Roman"/>
          <w:sz w:val="24"/>
          <w:szCs w:val="24"/>
        </w:rPr>
        <w:t>2020.gadam</w:t>
      </w:r>
      <w:r w:rsidR="00721D01">
        <w:rPr>
          <w:rStyle w:val="FootnoteReference"/>
          <w:rFonts w:eastAsia="Calibri" w:cs="Times New Roman"/>
          <w:sz w:val="24"/>
          <w:szCs w:val="24"/>
        </w:rPr>
        <w:footnoteReference w:id="66"/>
      </w:r>
      <w:r w:rsidR="008316EB">
        <w:rPr>
          <w:rFonts w:ascii="Times New Roman" w:eastAsia="Calibri" w:hAnsi="Times New Roman" w:cs="Times New Roman"/>
          <w:sz w:val="24"/>
          <w:szCs w:val="24"/>
        </w:rPr>
        <w:t xml:space="preserve"> RCK norāda, ka </w:t>
      </w:r>
      <w:r w:rsidR="002D7CC2">
        <w:rPr>
          <w:rFonts w:ascii="Times New Roman" w:eastAsia="Calibri" w:hAnsi="Times New Roman" w:cs="Times New Roman"/>
          <w:sz w:val="24"/>
          <w:szCs w:val="24"/>
        </w:rPr>
        <w:t xml:space="preserve">tiek plānoti liela apjoma remontdarbi no pašu ieņēmumiem, valsts dotācijām vai piesaistot ES fondu līdzekļus. Atbilstoši studiju un mācību programmu specifiskajām vajadzībām nepieciešams remontēt </w:t>
      </w:r>
      <w:proofErr w:type="spellStart"/>
      <w:r w:rsidR="002D7CC2">
        <w:rPr>
          <w:rFonts w:ascii="Times New Roman" w:eastAsia="Calibri" w:hAnsi="Times New Roman" w:cs="Times New Roman"/>
          <w:sz w:val="24"/>
          <w:szCs w:val="24"/>
        </w:rPr>
        <w:t>būvfizikas</w:t>
      </w:r>
      <w:proofErr w:type="spellEnd"/>
      <w:r w:rsidR="002D7CC2">
        <w:rPr>
          <w:rFonts w:ascii="Times New Roman" w:eastAsia="Calibri" w:hAnsi="Times New Roman" w:cs="Times New Roman"/>
          <w:sz w:val="24"/>
          <w:szCs w:val="24"/>
        </w:rPr>
        <w:t xml:space="preserve"> laboratoriju, būvmateriālu īpašību pārbaudes laboratoriju, restaurācijas darbnīcas un aprīkot tās ar nepieciešamo materiāli</w:t>
      </w:r>
      <w:r w:rsidR="002D7CC2" w:rsidRPr="00521C8D">
        <w:rPr>
          <w:rFonts w:eastAsia="Calibri"/>
          <w:szCs w:val="24"/>
        </w:rPr>
        <w:t>–</w:t>
      </w:r>
      <w:r w:rsidR="002D7CC2">
        <w:rPr>
          <w:rFonts w:ascii="Times New Roman" w:eastAsia="Calibri" w:hAnsi="Times New Roman" w:cs="Times New Roman"/>
          <w:sz w:val="24"/>
          <w:szCs w:val="24"/>
        </w:rPr>
        <w:t xml:space="preserve">tehnisko nodrošinājumu. RCK arī plāno izstrādāt jaunas studiju un mācību programmas atbilstoši darba tirgus pieprasījumam </w:t>
      </w:r>
      <w:r w:rsidR="002D7CC2" w:rsidRPr="00521C8D">
        <w:rPr>
          <w:rFonts w:eastAsia="Calibri"/>
          <w:szCs w:val="24"/>
        </w:rPr>
        <w:t>–</w:t>
      </w:r>
      <w:r w:rsidR="002D7CC2">
        <w:rPr>
          <w:rFonts w:ascii="Times New Roman" w:eastAsia="Calibri" w:hAnsi="Times New Roman" w:cs="Times New Roman"/>
          <w:sz w:val="24"/>
          <w:szCs w:val="24"/>
        </w:rPr>
        <w:t xml:space="preserve"> studiju programmas „Būvju restaurators”, kvalifikācija</w:t>
      </w:r>
      <w:r w:rsidR="00CB69C2">
        <w:rPr>
          <w:rFonts w:ascii="Times New Roman" w:eastAsia="Calibri" w:hAnsi="Times New Roman" w:cs="Times New Roman"/>
          <w:sz w:val="24"/>
          <w:szCs w:val="24"/>
        </w:rPr>
        <w:t xml:space="preserve"> </w:t>
      </w:r>
      <w:r w:rsidR="00CB69C2" w:rsidRPr="00521C8D">
        <w:rPr>
          <w:rFonts w:eastAsia="Calibri"/>
          <w:szCs w:val="24"/>
        </w:rPr>
        <w:t>–</w:t>
      </w:r>
      <w:r w:rsidR="002D7CC2">
        <w:rPr>
          <w:rFonts w:ascii="Times New Roman" w:eastAsia="Calibri" w:hAnsi="Times New Roman" w:cs="Times New Roman"/>
          <w:sz w:val="24"/>
          <w:szCs w:val="24"/>
        </w:rPr>
        <w:t xml:space="preserve"> restaurācijas būvdarbu vadītājs, „Ceļu būvniecība”, kvalifikācija </w:t>
      </w:r>
      <w:r w:rsidR="002D7CC2" w:rsidRPr="00521C8D">
        <w:rPr>
          <w:rFonts w:eastAsia="Calibri"/>
          <w:szCs w:val="24"/>
        </w:rPr>
        <w:t>–</w:t>
      </w:r>
      <w:r w:rsidR="002D7CC2">
        <w:rPr>
          <w:rFonts w:ascii="Times New Roman" w:eastAsia="Calibri" w:hAnsi="Times New Roman" w:cs="Times New Roman"/>
          <w:sz w:val="24"/>
          <w:szCs w:val="24"/>
        </w:rPr>
        <w:t xml:space="preserve"> autoceļu, ielu un ceļu būvdarbu vadītājs.</w:t>
      </w:r>
    </w:p>
    <w:p w:rsidR="00E56027" w:rsidRPr="00350F6D" w:rsidRDefault="00E56027" w:rsidP="00722156">
      <w:pPr>
        <w:pStyle w:val="Normal1"/>
        <w:numPr>
          <w:ilvl w:val="0"/>
          <w:numId w:val="44"/>
        </w:numPr>
        <w:jc w:val="both"/>
        <w:rPr>
          <w:rFonts w:ascii="Times New Roman" w:eastAsia="Calibri" w:hAnsi="Times New Roman" w:cs="Times New Roman"/>
          <w:b/>
          <w:color w:val="auto"/>
          <w:sz w:val="24"/>
          <w:szCs w:val="24"/>
        </w:rPr>
      </w:pPr>
      <w:r w:rsidRPr="00350F6D">
        <w:rPr>
          <w:rFonts w:ascii="Times New Roman" w:eastAsia="Calibri" w:hAnsi="Times New Roman" w:cs="Times New Roman"/>
          <w:b/>
          <w:color w:val="auto"/>
          <w:sz w:val="24"/>
          <w:szCs w:val="24"/>
        </w:rPr>
        <w:t>PIKC „Rīgas Tehniskā koledža”</w:t>
      </w:r>
      <w:r w:rsidR="00176DD5" w:rsidRPr="00350F6D">
        <w:rPr>
          <w:rFonts w:ascii="Times New Roman" w:eastAsia="Calibri" w:hAnsi="Times New Roman" w:cs="Times New Roman"/>
          <w:b/>
          <w:color w:val="auto"/>
          <w:sz w:val="24"/>
          <w:szCs w:val="24"/>
        </w:rPr>
        <w:t xml:space="preserve"> (RTK)</w:t>
      </w:r>
    </w:p>
    <w:p w:rsidR="009266D1" w:rsidRDefault="00176DD5" w:rsidP="00D24235">
      <w:pPr>
        <w:ind w:firstLine="720"/>
        <w:rPr>
          <w:szCs w:val="24"/>
        </w:rPr>
      </w:pPr>
      <w:r w:rsidRPr="00350F6D">
        <w:rPr>
          <w:rFonts w:eastAsia="Calibri"/>
          <w:szCs w:val="24"/>
        </w:rPr>
        <w:t xml:space="preserve">Saskaņā ar RTK attīstības stratēģiju 2014.-2020.gadam </w:t>
      </w:r>
      <w:r w:rsidR="00350F6D" w:rsidRPr="00350F6D">
        <w:rPr>
          <w:szCs w:val="24"/>
        </w:rPr>
        <w:t>atšķiras dažādu studiju un mācību programmu materiāli tehniskais nodrošinājums. Daudzas iekārtas ir fiziski un morāli novecojušas. Tās jāaizvieto ar jaunām, mūsdienīgām tehnoloģiskām iekārtām, bet finanšu līdzekļu trūkuma, kā arī daudzu iekārtu augsto izmaksu dēļ, tas ir iespējams vien epizodiski. Līdz ar to studiju un mācību procesa materiāli tehniskais nodrošinājums neatbilst mūsdienīgas un tehnoloģiski apsteidzošas profesionālās izglītības vajadzībām.</w:t>
      </w:r>
    </w:p>
    <w:p w:rsidR="008F32F4" w:rsidRDefault="008F32F4" w:rsidP="008F32F4">
      <w:pPr>
        <w:rPr>
          <w:szCs w:val="24"/>
        </w:rPr>
      </w:pPr>
    </w:p>
    <w:p w:rsidR="008F32F4" w:rsidRPr="008F32F4" w:rsidRDefault="008F32F4" w:rsidP="008F32F4">
      <w:pPr>
        <w:pStyle w:val="ListParagraph"/>
        <w:numPr>
          <w:ilvl w:val="0"/>
          <w:numId w:val="44"/>
        </w:numPr>
        <w:rPr>
          <w:b/>
          <w:szCs w:val="24"/>
        </w:rPr>
      </w:pPr>
      <w:r w:rsidRPr="008F32F4">
        <w:rPr>
          <w:b/>
          <w:szCs w:val="24"/>
        </w:rPr>
        <w:t xml:space="preserve">Rīgas Stradiņa universitātes Sarkanā Krusta medicīnas koledža (RSU SKMK)  </w:t>
      </w:r>
    </w:p>
    <w:p w:rsidR="008F32F4" w:rsidRDefault="008F32F4" w:rsidP="008F32F4">
      <w:pPr>
        <w:pStyle w:val="Default"/>
        <w:ind w:firstLine="360"/>
        <w:jc w:val="both"/>
      </w:pPr>
      <w:r w:rsidRPr="008F32F4">
        <w:rPr>
          <w:bCs/>
        </w:rPr>
        <w:t>Saskaņā ar RSU SKMK attīstības stratēģijā 2016. – 2020.gadam noteikto viens no galvenajiem koledžas attīstības pamatelementiem ir p</w:t>
      </w:r>
      <w:r w:rsidR="005A3FFC" w:rsidRPr="005A3FFC">
        <w:t xml:space="preserve">irmā līmeņa profesionālās augstākās izglītības studiju programmu īstenošanai nepieciešamās mācību vides uzlabošana </w:t>
      </w:r>
      <w:r w:rsidR="005A3FFC">
        <w:t>k</w:t>
      </w:r>
      <w:r w:rsidR="005A3FFC" w:rsidRPr="005A3FFC">
        <w:t>oledžā, kas atbilst tautsaimniecības attīstībai un nozares darba tirgus vajadzībām</w:t>
      </w:r>
      <w:r w:rsidR="005A3FFC">
        <w:t xml:space="preserve">. </w:t>
      </w:r>
      <w:r w:rsidR="005A3FFC" w:rsidRPr="00CA4B20">
        <w:t>Infrast</w:t>
      </w:r>
      <w:r w:rsidR="005A3FFC">
        <w:t>r</w:t>
      </w:r>
      <w:r w:rsidR="005A3FFC" w:rsidRPr="00CA4B20">
        <w:t>uk</w:t>
      </w:r>
      <w:r w:rsidR="005A3FFC">
        <w:t>t</w:t>
      </w:r>
      <w:r w:rsidR="005A3FFC" w:rsidRPr="00CA4B20">
        <w:t xml:space="preserve">ūras attīstībā plānots </w:t>
      </w:r>
      <w:r w:rsidR="005A3FFC">
        <w:t>modernizēt koledžas</w:t>
      </w:r>
      <w:r w:rsidR="005A3FFC" w:rsidRPr="00CA4B20">
        <w:t xml:space="preserve"> auditoriju un laboratoriju aprīkojumu, piesaistot ES </w:t>
      </w:r>
      <w:r w:rsidR="005A3FFC">
        <w:t>s</w:t>
      </w:r>
      <w:r w:rsidR="005A3FFC" w:rsidRPr="00CA4B20">
        <w:t>truktūrfondu līdzekļus</w:t>
      </w:r>
      <w:r w:rsidR="005A3FFC">
        <w:t>. Koledžas attīstības mērķis ir i</w:t>
      </w:r>
      <w:r w:rsidR="005A3FFC" w:rsidRPr="00CA4B20">
        <w:t>eviest e-studijas un līdz 2018. gadam pilnībā sakārtot e-studiju vidi</w:t>
      </w:r>
      <w:r w:rsidR="005A3FFC">
        <w:t xml:space="preserve">, </w:t>
      </w:r>
      <w:r w:rsidR="003662B6">
        <w:t>līdz ar to nepieciešams</w:t>
      </w:r>
      <w:r w:rsidR="005A3FFC" w:rsidRPr="00CA4B20">
        <w:t xml:space="preserve"> </w:t>
      </w:r>
      <w:r w:rsidR="005A3FFC">
        <w:t>i</w:t>
      </w:r>
      <w:r w:rsidR="005A3FFC" w:rsidRPr="00CA4B20">
        <w:t>eviest E-vides un digitālos mācību līdzekļus, piesaistot ES struktūrfondu līdzekļus</w:t>
      </w:r>
      <w:r w:rsidR="003662B6">
        <w:t>.</w:t>
      </w:r>
      <w:r w:rsidR="005A3FFC" w:rsidRPr="00CA4B20">
        <w:t xml:space="preserve"> </w:t>
      </w:r>
    </w:p>
    <w:p w:rsidR="008F32F4" w:rsidRDefault="008F32F4" w:rsidP="008F32F4">
      <w:pPr>
        <w:pStyle w:val="Default"/>
        <w:ind w:firstLine="360"/>
        <w:jc w:val="both"/>
      </w:pPr>
    </w:p>
    <w:p w:rsidR="008F32F4" w:rsidRPr="008F32F4" w:rsidRDefault="008F32F4" w:rsidP="008F32F4">
      <w:pPr>
        <w:pStyle w:val="ListParagraph"/>
        <w:numPr>
          <w:ilvl w:val="0"/>
          <w:numId w:val="44"/>
        </w:numPr>
        <w:rPr>
          <w:b/>
          <w:szCs w:val="24"/>
        </w:rPr>
      </w:pPr>
      <w:r w:rsidRPr="008F32F4">
        <w:rPr>
          <w:b/>
          <w:szCs w:val="24"/>
        </w:rPr>
        <w:t>Daugavpils Medicīnas koledža (DMK)</w:t>
      </w:r>
    </w:p>
    <w:p w:rsidR="008F32F4" w:rsidRDefault="007E7BF7" w:rsidP="008F32F4">
      <w:pPr>
        <w:ind w:firstLine="360"/>
        <w:rPr>
          <w:szCs w:val="24"/>
        </w:rPr>
      </w:pPr>
      <w:r w:rsidRPr="007E7BF7">
        <w:rPr>
          <w:bCs/>
          <w:szCs w:val="24"/>
        </w:rPr>
        <w:t>Daugavpils medicīnas koledžas stratē</w:t>
      </w:r>
      <w:r w:rsidRPr="001C7A10">
        <w:rPr>
          <w:bCs/>
          <w:szCs w:val="24"/>
        </w:rPr>
        <w:t>ģiskās attīstības virzienos (2015. – 2020</w:t>
      </w:r>
      <w:r w:rsidRPr="00A42830">
        <w:rPr>
          <w:bCs/>
          <w:szCs w:val="24"/>
        </w:rPr>
        <w:t>.gads)</w:t>
      </w:r>
      <w:r w:rsidRPr="007E7BF7">
        <w:rPr>
          <w:rStyle w:val="FootnoteReference"/>
          <w:bCs/>
          <w:szCs w:val="24"/>
        </w:rPr>
        <w:footnoteReference w:id="67"/>
      </w:r>
      <w:r w:rsidRPr="007E7BF7">
        <w:rPr>
          <w:bCs/>
          <w:szCs w:val="24"/>
        </w:rPr>
        <w:t xml:space="preserve"> ir noteikts, ka </w:t>
      </w:r>
      <w:r w:rsidRPr="001C7A10">
        <w:rPr>
          <w:bCs/>
          <w:szCs w:val="24"/>
        </w:rPr>
        <w:t xml:space="preserve">viena no prioritātēm </w:t>
      </w:r>
      <w:r w:rsidRPr="00A42830">
        <w:rPr>
          <w:bCs/>
          <w:szCs w:val="24"/>
        </w:rPr>
        <w:t xml:space="preserve">koledžas efektīvas darbības nodrošināšanai ir studiju un pētniecības vides nodrošinājuma uzlabošana. </w:t>
      </w:r>
      <w:r w:rsidR="008F32F4" w:rsidRPr="008F32F4">
        <w:rPr>
          <w:rFonts w:ascii="TimesNewRomanPSMT" w:hAnsi="TimesNewRomanPSMT" w:cs="TimesNewRomanPSMT"/>
          <w:szCs w:val="24"/>
        </w:rPr>
        <w:t xml:space="preserve">Lai nodrošinātu darba tirgū aktuālo prasmju apgūšanu, koledža nevar funkcionēt bez attīstītas informatīvās sistēmas un materiāli tehniskā nodrošinājuma. Tam nepieciešams </w:t>
      </w:r>
      <w:r w:rsidR="008F32F4" w:rsidRPr="008F32F4">
        <w:rPr>
          <w:szCs w:val="24"/>
        </w:rPr>
        <w:t>veikt bibliotēkas fondu atjaunošanu un paplašināšanu, būtiski palielinot mācību un zinātniskās literatūras iegādi un periodisko izdevumu pasūtīšanu.</w:t>
      </w:r>
    </w:p>
    <w:p w:rsidR="007E7BF7" w:rsidRDefault="007E7BF7" w:rsidP="00793669">
      <w:pPr>
        <w:ind w:firstLine="720"/>
        <w:rPr>
          <w:b/>
          <w:szCs w:val="24"/>
        </w:rPr>
      </w:pPr>
    </w:p>
    <w:p w:rsidR="00793669" w:rsidRPr="00BB72D3" w:rsidRDefault="00793669" w:rsidP="00793669">
      <w:pPr>
        <w:ind w:firstLine="720"/>
        <w:rPr>
          <w:b/>
          <w:szCs w:val="24"/>
        </w:rPr>
      </w:pPr>
      <w:r>
        <w:rPr>
          <w:b/>
          <w:szCs w:val="24"/>
        </w:rPr>
        <w:t>IZM v</w:t>
      </w:r>
      <w:r w:rsidRPr="00BB72D3">
        <w:rPr>
          <w:b/>
          <w:szCs w:val="24"/>
        </w:rPr>
        <w:t>ērtējums par koledžu (indikatīvo finansējuma saņēmēju) vajadzību analīzi</w:t>
      </w:r>
    </w:p>
    <w:p w:rsidR="00793669" w:rsidRDefault="00793669" w:rsidP="00793669">
      <w:pPr>
        <w:rPr>
          <w:szCs w:val="24"/>
        </w:rPr>
      </w:pPr>
      <w:r>
        <w:rPr>
          <w:szCs w:val="24"/>
        </w:rPr>
        <w:t>Koledžu sniegtā</w:t>
      </w:r>
      <w:r w:rsidRPr="00934987">
        <w:rPr>
          <w:szCs w:val="24"/>
        </w:rPr>
        <w:t xml:space="preserve"> informācija norāda uz STEM jomas </w:t>
      </w:r>
      <w:r>
        <w:rPr>
          <w:szCs w:val="24"/>
        </w:rPr>
        <w:t>izglītības</w:t>
      </w:r>
      <w:r w:rsidRPr="00934987">
        <w:rPr>
          <w:szCs w:val="24"/>
        </w:rPr>
        <w:t xml:space="preserve"> programmu attīstībai prioritāriem investīciju virzieniem: </w:t>
      </w:r>
    </w:p>
    <w:p w:rsidR="00793669" w:rsidRDefault="00793669" w:rsidP="00793669">
      <w:pPr>
        <w:pStyle w:val="ListParagraph"/>
        <w:numPr>
          <w:ilvl w:val="0"/>
          <w:numId w:val="49"/>
        </w:numPr>
        <w:rPr>
          <w:szCs w:val="24"/>
        </w:rPr>
      </w:pPr>
      <w:r w:rsidRPr="00934987">
        <w:rPr>
          <w:szCs w:val="24"/>
        </w:rPr>
        <w:t>modernizēt</w:t>
      </w:r>
      <w:r>
        <w:rPr>
          <w:szCs w:val="24"/>
        </w:rPr>
        <w:t xml:space="preserve"> esošo</w:t>
      </w:r>
      <w:r w:rsidRPr="00934987">
        <w:rPr>
          <w:szCs w:val="24"/>
        </w:rPr>
        <w:t xml:space="preserve"> </w:t>
      </w:r>
      <w:r>
        <w:rPr>
          <w:szCs w:val="24"/>
        </w:rPr>
        <w:t xml:space="preserve">materiāli tehnisko </w:t>
      </w:r>
      <w:r w:rsidRPr="00934987">
        <w:rPr>
          <w:szCs w:val="24"/>
        </w:rPr>
        <w:t>bāzi atbilstoši inovāciju un tehnoloģiju attīstībai</w:t>
      </w:r>
      <w:r>
        <w:rPr>
          <w:szCs w:val="24"/>
        </w:rPr>
        <w:t>, lai nodrošinātu darba tirgum aktuālo profesionālo kompetenču apguvi izglītojamajiem;</w:t>
      </w:r>
    </w:p>
    <w:p w:rsidR="00793669" w:rsidRDefault="00793669" w:rsidP="00793669">
      <w:pPr>
        <w:pStyle w:val="ListParagraph"/>
        <w:numPr>
          <w:ilvl w:val="0"/>
          <w:numId w:val="49"/>
        </w:numPr>
        <w:rPr>
          <w:szCs w:val="24"/>
        </w:rPr>
      </w:pPr>
      <w:r>
        <w:rPr>
          <w:szCs w:val="24"/>
        </w:rPr>
        <w:t xml:space="preserve">attīstīt jaunas laboratorijas, darbnīcas, </w:t>
      </w:r>
      <w:proofErr w:type="spellStart"/>
      <w:r>
        <w:rPr>
          <w:szCs w:val="24"/>
        </w:rPr>
        <w:t>simulatorus</w:t>
      </w:r>
      <w:proofErr w:type="spellEnd"/>
      <w:r>
        <w:rPr>
          <w:szCs w:val="24"/>
        </w:rPr>
        <w:t>, lai nodrošinātu gan esošo izglītības programmu profesionālā satura aktualizēšanu, gan veidotu jaunas izglītības programmas darba tirgū pieprasītu speciālistu sagatavošanai;</w:t>
      </w:r>
    </w:p>
    <w:p w:rsidR="00D24235" w:rsidRDefault="00793669" w:rsidP="00793669">
      <w:pPr>
        <w:pStyle w:val="ListParagraph"/>
        <w:numPr>
          <w:ilvl w:val="0"/>
          <w:numId w:val="49"/>
        </w:numPr>
        <w:rPr>
          <w:szCs w:val="24"/>
        </w:rPr>
      </w:pPr>
      <w:r w:rsidRPr="00793669">
        <w:rPr>
          <w:szCs w:val="24"/>
        </w:rPr>
        <w:t>veikt uzlabojumus koledžu infrastruktūrā, lai nodrošinātu atbilstošu izglītības vides kvalitāti STEM jom</w:t>
      </w:r>
      <w:r>
        <w:rPr>
          <w:szCs w:val="24"/>
        </w:rPr>
        <w:t>as izglītības programmās</w:t>
      </w:r>
      <w:r w:rsidRPr="00793669">
        <w:rPr>
          <w:szCs w:val="24"/>
        </w:rPr>
        <w:t>.</w:t>
      </w:r>
    </w:p>
    <w:p w:rsidR="00793669" w:rsidRPr="00793669" w:rsidRDefault="00793669" w:rsidP="00793669">
      <w:pPr>
        <w:pStyle w:val="ListParagraph"/>
        <w:rPr>
          <w:szCs w:val="24"/>
        </w:rPr>
      </w:pPr>
    </w:p>
    <w:p w:rsidR="00210467" w:rsidRDefault="001064B3" w:rsidP="00295D20">
      <w:pPr>
        <w:pStyle w:val="Heading2"/>
      </w:pPr>
      <w:bookmarkStart w:id="45" w:name="_Toc445290209"/>
      <w:r>
        <w:t xml:space="preserve">4.4. </w:t>
      </w:r>
      <w:r w:rsidR="0046252F">
        <w:t xml:space="preserve">Stratēģiskie </w:t>
      </w:r>
      <w:proofErr w:type="spellStart"/>
      <w:r w:rsidR="00CB69C2">
        <w:t>priekšatlases</w:t>
      </w:r>
      <w:proofErr w:type="spellEnd"/>
      <w:r w:rsidR="00CB69C2">
        <w:t xml:space="preserve"> </w:t>
      </w:r>
      <w:r w:rsidR="0046252F">
        <w:t>kritēriji</w:t>
      </w:r>
      <w:bookmarkEnd w:id="45"/>
    </w:p>
    <w:p w:rsidR="001064B3" w:rsidRPr="001064B3" w:rsidRDefault="001064B3" w:rsidP="001064B3"/>
    <w:p w:rsidR="001064B3" w:rsidRDefault="001064B3" w:rsidP="005F78DE">
      <w:pPr>
        <w:pStyle w:val="Normal1"/>
        <w:ind w:firstLine="720"/>
        <w:jc w:val="both"/>
        <w:rPr>
          <w:rFonts w:ascii="Times New Roman" w:hAnsi="Times New Roman" w:cs="Times New Roman"/>
          <w:color w:val="auto"/>
          <w:sz w:val="24"/>
          <w:szCs w:val="24"/>
        </w:rPr>
      </w:pPr>
      <w:r>
        <w:rPr>
          <w:rFonts w:ascii="Times New Roman" w:hAnsi="Times New Roman" w:cs="Times New Roman"/>
          <w:b/>
          <w:color w:val="auto"/>
          <w:sz w:val="24"/>
          <w:szCs w:val="24"/>
        </w:rPr>
        <w:lastRenderedPageBreak/>
        <w:t xml:space="preserve">Stratēģiskie </w:t>
      </w:r>
      <w:proofErr w:type="spellStart"/>
      <w:r w:rsidR="00CB69C2">
        <w:rPr>
          <w:rFonts w:ascii="Times New Roman" w:hAnsi="Times New Roman" w:cs="Times New Roman"/>
          <w:b/>
          <w:color w:val="auto"/>
          <w:sz w:val="24"/>
          <w:szCs w:val="24"/>
        </w:rPr>
        <w:t>priekšatlases</w:t>
      </w:r>
      <w:proofErr w:type="spellEnd"/>
      <w:r w:rsidR="00CB69C2">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kritēriji </w:t>
      </w:r>
      <w:r w:rsidRPr="0046252F">
        <w:rPr>
          <w:rFonts w:ascii="Times New Roman" w:hAnsi="Times New Roman" w:cs="Times New Roman"/>
          <w:color w:val="auto"/>
          <w:sz w:val="24"/>
          <w:szCs w:val="24"/>
        </w:rPr>
        <w:t>jeb nosacījumi</w:t>
      </w:r>
      <w:r>
        <w:rPr>
          <w:rFonts w:ascii="Times New Roman" w:hAnsi="Times New Roman" w:cs="Times New Roman"/>
          <w:color w:val="auto"/>
          <w:sz w:val="24"/>
          <w:szCs w:val="24"/>
        </w:rPr>
        <w:t xml:space="preserve"> potenciālo finansējuma saņēmēju (saraksta) noteikšanai:</w:t>
      </w:r>
    </w:p>
    <w:p w:rsidR="00FF1EE0" w:rsidRPr="00117C15" w:rsidRDefault="00EF5D39" w:rsidP="00722156">
      <w:pPr>
        <w:pStyle w:val="Normal1"/>
        <w:numPr>
          <w:ilvl w:val="0"/>
          <w:numId w:val="20"/>
        </w:numPr>
        <w:ind w:left="714" w:hanging="357"/>
        <w:jc w:val="both"/>
        <w:rPr>
          <w:rFonts w:ascii="Times New Roman" w:hAnsi="Times New Roman" w:cs="Times New Roman"/>
          <w:color w:val="auto"/>
          <w:sz w:val="24"/>
          <w:szCs w:val="24"/>
        </w:rPr>
      </w:pPr>
      <w:r w:rsidRPr="00117C15">
        <w:rPr>
          <w:rFonts w:ascii="Times New Roman" w:hAnsi="Times New Roman" w:cs="Times New Roman"/>
          <w:color w:val="auto"/>
          <w:sz w:val="24"/>
          <w:szCs w:val="24"/>
        </w:rPr>
        <w:t xml:space="preserve">koledža </w:t>
      </w:r>
      <w:r w:rsidR="00CB77BA" w:rsidRPr="00117C15">
        <w:rPr>
          <w:rFonts w:ascii="Times New Roman" w:hAnsi="Times New Roman" w:cs="Times New Roman"/>
          <w:sz w:val="24"/>
          <w:szCs w:val="24"/>
        </w:rPr>
        <w:t>2015./2016.ak.g.</w:t>
      </w:r>
      <w:r w:rsidR="00CB77BA" w:rsidRPr="00117C15">
        <w:rPr>
          <w:sz w:val="24"/>
          <w:szCs w:val="24"/>
        </w:rPr>
        <w:t xml:space="preserve"> </w:t>
      </w:r>
      <w:r w:rsidRPr="00117C15">
        <w:rPr>
          <w:rFonts w:ascii="Times New Roman" w:hAnsi="Times New Roman" w:cs="Times New Roman"/>
          <w:color w:val="auto"/>
          <w:sz w:val="24"/>
          <w:szCs w:val="24"/>
        </w:rPr>
        <w:t>īsteno STEM</w:t>
      </w:r>
      <w:r w:rsidR="004F39CA" w:rsidRPr="00117C15">
        <w:rPr>
          <w:rFonts w:ascii="Times New Roman" w:hAnsi="Times New Roman" w:cs="Times New Roman"/>
          <w:color w:val="auto"/>
          <w:sz w:val="24"/>
          <w:szCs w:val="24"/>
        </w:rPr>
        <w:t xml:space="preserve"> </w:t>
      </w:r>
      <w:r w:rsidRPr="00117C15">
        <w:rPr>
          <w:rFonts w:ascii="Times New Roman" w:hAnsi="Times New Roman" w:cs="Times New Roman"/>
          <w:color w:val="auto"/>
          <w:sz w:val="24"/>
          <w:szCs w:val="24"/>
        </w:rPr>
        <w:t>pirmā līmeņa profesionālās augstākās izglītības studiju programmas</w:t>
      </w:r>
      <w:r w:rsidR="00465F93" w:rsidRPr="00117C15">
        <w:rPr>
          <w:rStyle w:val="FootnoteReference"/>
          <w:rFonts w:cs="Times New Roman"/>
          <w:color w:val="auto"/>
          <w:sz w:val="24"/>
          <w:szCs w:val="24"/>
        </w:rPr>
        <w:footnoteReference w:id="68"/>
      </w:r>
      <w:r w:rsidR="00FF1EE0" w:rsidRPr="00117C15">
        <w:rPr>
          <w:rFonts w:ascii="Times New Roman" w:hAnsi="Times New Roman" w:cs="Times New Roman"/>
          <w:color w:val="auto"/>
          <w:sz w:val="24"/>
          <w:szCs w:val="24"/>
        </w:rPr>
        <w:t>, kuras saskaņā ar MK 02.12.2008. noteikumiem Nr.990 „Noteikumi par Latvijas izglītības klasifikāciju” ietilpst:</w:t>
      </w:r>
    </w:p>
    <w:p w:rsidR="00132352" w:rsidRPr="00117C15" w:rsidRDefault="00132352" w:rsidP="00132352">
      <w:pPr>
        <w:pStyle w:val="ListParagraph"/>
        <w:numPr>
          <w:ilvl w:val="0"/>
          <w:numId w:val="48"/>
        </w:numPr>
        <w:autoSpaceDE w:val="0"/>
        <w:autoSpaceDN w:val="0"/>
        <w:adjustRightInd w:val="0"/>
        <w:ind w:left="1429" w:hanging="357"/>
        <w:rPr>
          <w:szCs w:val="24"/>
          <w:lang w:eastAsia="lv-LV"/>
        </w:rPr>
      </w:pPr>
      <w:r w:rsidRPr="00117C15">
        <w:rPr>
          <w:szCs w:val="24"/>
          <w:lang w:eastAsia="lv-LV"/>
        </w:rPr>
        <w:t xml:space="preserve">izglītības tematiskajā grupā </w:t>
      </w:r>
      <w:r w:rsidRPr="00117C15">
        <w:rPr>
          <w:i/>
          <w:szCs w:val="24"/>
          <w:lang w:eastAsia="lv-LV"/>
        </w:rPr>
        <w:t>Dabaszinātnes, matemātika un informācijas tehnoloģijas</w:t>
      </w:r>
      <w:r w:rsidRPr="00117C15">
        <w:rPr>
          <w:szCs w:val="24"/>
          <w:lang w:eastAsia="lv-LV"/>
        </w:rPr>
        <w:t xml:space="preserve"> (koda 3.cipars „</w:t>
      </w:r>
      <w:r w:rsidRPr="00117C15">
        <w:rPr>
          <w:b/>
          <w:szCs w:val="24"/>
          <w:lang w:eastAsia="lv-LV"/>
        </w:rPr>
        <w:t>4</w:t>
      </w:r>
      <w:r w:rsidRPr="00117C15">
        <w:rPr>
          <w:szCs w:val="24"/>
          <w:lang w:eastAsia="lv-LV"/>
        </w:rPr>
        <w:t>”);</w:t>
      </w:r>
    </w:p>
    <w:p w:rsidR="00132352" w:rsidRDefault="00132352" w:rsidP="00132352">
      <w:pPr>
        <w:pStyle w:val="ListParagraph"/>
        <w:numPr>
          <w:ilvl w:val="0"/>
          <w:numId w:val="48"/>
        </w:numPr>
        <w:autoSpaceDE w:val="0"/>
        <w:autoSpaceDN w:val="0"/>
        <w:adjustRightInd w:val="0"/>
        <w:ind w:left="1429" w:hanging="357"/>
        <w:rPr>
          <w:szCs w:val="24"/>
          <w:lang w:eastAsia="lv-LV"/>
        </w:rPr>
      </w:pPr>
      <w:r w:rsidRPr="00117C15">
        <w:rPr>
          <w:szCs w:val="24"/>
          <w:lang w:eastAsia="lv-LV"/>
        </w:rPr>
        <w:t xml:space="preserve">izglītības tematiskajā grupā </w:t>
      </w:r>
      <w:r w:rsidRPr="00117C15">
        <w:rPr>
          <w:i/>
          <w:szCs w:val="24"/>
          <w:lang w:eastAsia="lv-LV"/>
        </w:rPr>
        <w:t>Inženierzinātnes, ražošana un būvniecība</w:t>
      </w:r>
      <w:r w:rsidRPr="00117C15">
        <w:rPr>
          <w:szCs w:val="24"/>
          <w:lang w:eastAsia="lv-LV"/>
        </w:rPr>
        <w:t xml:space="preserve"> (koda 3.cipars „</w:t>
      </w:r>
      <w:r w:rsidRPr="00117C15">
        <w:rPr>
          <w:b/>
          <w:szCs w:val="24"/>
          <w:lang w:eastAsia="lv-LV"/>
        </w:rPr>
        <w:t>5”</w:t>
      </w:r>
      <w:r w:rsidRPr="00117C15">
        <w:rPr>
          <w:szCs w:val="24"/>
          <w:lang w:eastAsia="lv-LV"/>
        </w:rPr>
        <w:t>);</w:t>
      </w:r>
    </w:p>
    <w:p w:rsidR="00917C42" w:rsidRPr="00117C15" w:rsidRDefault="00917C42" w:rsidP="00132352">
      <w:pPr>
        <w:pStyle w:val="ListParagraph"/>
        <w:numPr>
          <w:ilvl w:val="0"/>
          <w:numId w:val="48"/>
        </w:numPr>
        <w:autoSpaceDE w:val="0"/>
        <w:autoSpaceDN w:val="0"/>
        <w:adjustRightInd w:val="0"/>
        <w:ind w:left="1429" w:hanging="357"/>
        <w:rPr>
          <w:szCs w:val="24"/>
          <w:lang w:eastAsia="lv-LV"/>
        </w:rPr>
      </w:pPr>
      <w:r w:rsidRPr="00117C15">
        <w:rPr>
          <w:szCs w:val="24"/>
          <w:lang w:eastAsia="lv-LV"/>
        </w:rPr>
        <w:t>izglītības tematiskajā grupā</w:t>
      </w:r>
      <w:r>
        <w:rPr>
          <w:szCs w:val="24"/>
          <w:lang w:eastAsia="lv-LV"/>
        </w:rPr>
        <w:t xml:space="preserve"> </w:t>
      </w:r>
      <w:r w:rsidR="00BE3FB9" w:rsidRPr="00BE3FB9">
        <w:rPr>
          <w:i/>
          <w:szCs w:val="24"/>
          <w:lang w:eastAsia="lv-LV"/>
        </w:rPr>
        <w:t>Lauksaimniecība</w:t>
      </w:r>
      <w:r>
        <w:rPr>
          <w:szCs w:val="24"/>
          <w:lang w:eastAsia="lv-LV"/>
        </w:rPr>
        <w:t xml:space="preserve"> (</w:t>
      </w:r>
      <w:r w:rsidRPr="00117C15">
        <w:rPr>
          <w:szCs w:val="24"/>
          <w:lang w:eastAsia="lv-LV"/>
        </w:rPr>
        <w:t>koda 3.</w:t>
      </w:r>
      <w:r>
        <w:rPr>
          <w:szCs w:val="24"/>
          <w:lang w:eastAsia="lv-LV"/>
        </w:rPr>
        <w:t>cipars 6)</w:t>
      </w:r>
    </w:p>
    <w:p w:rsidR="00132352" w:rsidRPr="00117C15" w:rsidRDefault="00132352" w:rsidP="00132352">
      <w:pPr>
        <w:pStyle w:val="ListParagraph"/>
        <w:numPr>
          <w:ilvl w:val="0"/>
          <w:numId w:val="48"/>
        </w:numPr>
        <w:autoSpaceDE w:val="0"/>
        <w:autoSpaceDN w:val="0"/>
        <w:adjustRightInd w:val="0"/>
        <w:ind w:left="1429" w:hanging="357"/>
        <w:rPr>
          <w:szCs w:val="24"/>
          <w:lang w:eastAsia="lv-LV"/>
        </w:rPr>
      </w:pPr>
      <w:r w:rsidRPr="00117C15">
        <w:rPr>
          <w:szCs w:val="24"/>
          <w:lang w:eastAsia="lv-LV"/>
        </w:rPr>
        <w:t xml:space="preserve">izglītības tematiskajā jomā </w:t>
      </w:r>
      <w:r w:rsidRPr="00117C15">
        <w:rPr>
          <w:i/>
          <w:szCs w:val="24"/>
          <w:lang w:eastAsia="lv-LV"/>
        </w:rPr>
        <w:t>Veselības aprūpe</w:t>
      </w:r>
      <w:r w:rsidRPr="00117C15">
        <w:rPr>
          <w:szCs w:val="24"/>
          <w:lang w:eastAsia="lv-LV"/>
        </w:rPr>
        <w:t xml:space="preserve"> (koda 3. un 4.cipars „</w:t>
      </w:r>
      <w:r w:rsidRPr="00117C15">
        <w:rPr>
          <w:b/>
          <w:szCs w:val="24"/>
          <w:lang w:eastAsia="lv-LV"/>
        </w:rPr>
        <w:t>72</w:t>
      </w:r>
      <w:r w:rsidRPr="00117C15">
        <w:rPr>
          <w:szCs w:val="24"/>
          <w:lang w:eastAsia="lv-LV"/>
        </w:rPr>
        <w:t>”), izņemot kosmetoloģiju;</w:t>
      </w:r>
    </w:p>
    <w:p w:rsidR="00132352" w:rsidRPr="00117C15" w:rsidRDefault="00132352" w:rsidP="00132352">
      <w:pPr>
        <w:pStyle w:val="ListParagraph"/>
        <w:numPr>
          <w:ilvl w:val="0"/>
          <w:numId w:val="48"/>
        </w:numPr>
        <w:autoSpaceDE w:val="0"/>
        <w:autoSpaceDN w:val="0"/>
        <w:adjustRightInd w:val="0"/>
        <w:ind w:left="1429" w:hanging="357"/>
        <w:rPr>
          <w:szCs w:val="24"/>
          <w:lang w:eastAsia="lv-LV"/>
        </w:rPr>
      </w:pPr>
      <w:r w:rsidRPr="00117C15">
        <w:rPr>
          <w:szCs w:val="24"/>
          <w:lang w:eastAsia="lv-LV"/>
        </w:rPr>
        <w:t xml:space="preserve">izglītības tematiskajā jomā </w:t>
      </w:r>
      <w:r w:rsidRPr="00117C15">
        <w:rPr>
          <w:i/>
          <w:szCs w:val="24"/>
          <w:lang w:eastAsia="lv-LV"/>
        </w:rPr>
        <w:t xml:space="preserve">Mākslas </w:t>
      </w:r>
      <w:r w:rsidRPr="00117C15">
        <w:rPr>
          <w:szCs w:val="24"/>
          <w:lang w:eastAsia="lv-LV"/>
        </w:rPr>
        <w:t>(koda 3. un 4.cipars „</w:t>
      </w:r>
      <w:r w:rsidRPr="00117C15">
        <w:rPr>
          <w:b/>
          <w:szCs w:val="24"/>
          <w:lang w:eastAsia="lv-LV"/>
        </w:rPr>
        <w:t>21</w:t>
      </w:r>
      <w:r w:rsidRPr="00117C15">
        <w:rPr>
          <w:szCs w:val="24"/>
          <w:lang w:eastAsia="lv-LV"/>
        </w:rPr>
        <w:t>”);</w:t>
      </w:r>
    </w:p>
    <w:p w:rsidR="00132352" w:rsidRPr="00117C15" w:rsidRDefault="00132352" w:rsidP="00132352">
      <w:pPr>
        <w:pStyle w:val="ListParagraph"/>
        <w:numPr>
          <w:ilvl w:val="0"/>
          <w:numId w:val="48"/>
        </w:numPr>
        <w:autoSpaceDE w:val="0"/>
        <w:autoSpaceDN w:val="0"/>
        <w:adjustRightInd w:val="0"/>
        <w:ind w:left="1429" w:hanging="357"/>
        <w:rPr>
          <w:szCs w:val="24"/>
          <w:lang w:eastAsia="lv-LV"/>
        </w:rPr>
      </w:pPr>
      <w:r w:rsidRPr="00117C15">
        <w:rPr>
          <w:szCs w:val="24"/>
        </w:rPr>
        <w:t xml:space="preserve">izglītības tematiskajā jomā </w:t>
      </w:r>
      <w:r w:rsidRPr="00117C15">
        <w:rPr>
          <w:i/>
          <w:szCs w:val="24"/>
        </w:rPr>
        <w:t xml:space="preserve">Vides aizsardzība </w:t>
      </w:r>
      <w:r w:rsidRPr="00117C15">
        <w:rPr>
          <w:szCs w:val="24"/>
          <w:lang w:eastAsia="lv-LV"/>
        </w:rPr>
        <w:t>(koda 3. un 4.cipars „</w:t>
      </w:r>
      <w:r w:rsidRPr="00117C15">
        <w:rPr>
          <w:b/>
          <w:szCs w:val="24"/>
          <w:lang w:eastAsia="lv-LV"/>
        </w:rPr>
        <w:t>85</w:t>
      </w:r>
      <w:r w:rsidRPr="00117C15">
        <w:rPr>
          <w:szCs w:val="24"/>
          <w:lang w:eastAsia="lv-LV"/>
        </w:rPr>
        <w:t>”)</w:t>
      </w:r>
      <w:r w:rsidRPr="00117C15">
        <w:rPr>
          <w:szCs w:val="24"/>
        </w:rPr>
        <w:t>.</w:t>
      </w:r>
    </w:p>
    <w:p w:rsidR="003734B1" w:rsidRPr="00117C15" w:rsidRDefault="00EF5D39" w:rsidP="00132352">
      <w:pPr>
        <w:pStyle w:val="Normal1"/>
        <w:numPr>
          <w:ilvl w:val="0"/>
          <w:numId w:val="20"/>
        </w:numPr>
        <w:ind w:left="714" w:hanging="357"/>
        <w:jc w:val="both"/>
        <w:rPr>
          <w:rFonts w:ascii="Times New Roman" w:hAnsi="Times New Roman" w:cs="Times New Roman"/>
          <w:color w:val="auto"/>
          <w:sz w:val="24"/>
          <w:szCs w:val="24"/>
        </w:rPr>
      </w:pPr>
      <w:r w:rsidRPr="00117C15">
        <w:rPr>
          <w:rFonts w:ascii="Times New Roman" w:hAnsi="Times New Roman" w:cs="Times New Roman"/>
          <w:color w:val="auto"/>
          <w:sz w:val="24"/>
          <w:szCs w:val="24"/>
        </w:rPr>
        <w:t xml:space="preserve">koledža </w:t>
      </w:r>
      <w:r w:rsidR="00CB77BA" w:rsidRPr="00117C15">
        <w:rPr>
          <w:rFonts w:ascii="Times New Roman" w:hAnsi="Times New Roman" w:cs="Times New Roman"/>
          <w:sz w:val="24"/>
          <w:szCs w:val="24"/>
        </w:rPr>
        <w:t>2015./2016.ak.g.</w:t>
      </w:r>
      <w:r w:rsidR="00CB77BA" w:rsidRPr="00117C15">
        <w:rPr>
          <w:sz w:val="24"/>
          <w:szCs w:val="24"/>
        </w:rPr>
        <w:t xml:space="preserve"> </w:t>
      </w:r>
      <w:r w:rsidRPr="00117C15">
        <w:rPr>
          <w:rFonts w:ascii="Times New Roman" w:hAnsi="Times New Roman" w:cs="Times New Roman"/>
          <w:color w:val="auto"/>
          <w:sz w:val="24"/>
          <w:szCs w:val="24"/>
        </w:rPr>
        <w:t xml:space="preserve">īsteno </w:t>
      </w:r>
      <w:r w:rsidR="00480C65" w:rsidRPr="00117C15">
        <w:rPr>
          <w:rFonts w:ascii="Times New Roman" w:hAnsi="Times New Roman" w:cs="Times New Roman"/>
          <w:color w:val="auto"/>
          <w:sz w:val="24"/>
          <w:szCs w:val="24"/>
        </w:rPr>
        <w:t xml:space="preserve">STEM </w:t>
      </w:r>
      <w:r w:rsidRPr="00117C15">
        <w:rPr>
          <w:rFonts w:ascii="Times New Roman" w:hAnsi="Times New Roman" w:cs="Times New Roman"/>
          <w:color w:val="auto"/>
          <w:sz w:val="24"/>
          <w:szCs w:val="24"/>
        </w:rPr>
        <w:t>profesionālās vidējās izglītības programmas</w:t>
      </w:r>
      <w:r w:rsidR="009741D9" w:rsidRPr="00117C15">
        <w:rPr>
          <w:rStyle w:val="FootnoteReference"/>
          <w:rFonts w:cs="Times New Roman"/>
          <w:color w:val="auto"/>
          <w:sz w:val="24"/>
          <w:szCs w:val="24"/>
        </w:rPr>
        <w:footnoteReference w:id="69"/>
      </w:r>
      <w:r w:rsidR="00917C42">
        <w:rPr>
          <w:rFonts w:ascii="Times New Roman" w:hAnsi="Times New Roman" w:cs="Times New Roman"/>
          <w:color w:val="auto"/>
          <w:sz w:val="24"/>
          <w:szCs w:val="24"/>
        </w:rPr>
        <w:t xml:space="preserve"> </w:t>
      </w:r>
      <w:r w:rsidR="002002C7">
        <w:rPr>
          <w:rFonts w:ascii="Times New Roman" w:hAnsi="Times New Roman" w:cs="Times New Roman"/>
          <w:color w:val="auto"/>
          <w:sz w:val="24"/>
          <w:szCs w:val="24"/>
        </w:rPr>
        <w:t>vai</w:t>
      </w:r>
      <w:r w:rsidR="00917C42">
        <w:rPr>
          <w:rFonts w:ascii="Times New Roman" w:hAnsi="Times New Roman" w:cs="Times New Roman"/>
          <w:color w:val="auto"/>
          <w:sz w:val="24"/>
          <w:szCs w:val="24"/>
        </w:rPr>
        <w:t xml:space="preserve"> arodizglītības programmas</w:t>
      </w:r>
      <w:r w:rsidR="003734B1" w:rsidRPr="00117C15">
        <w:rPr>
          <w:rFonts w:ascii="Times New Roman" w:hAnsi="Times New Roman" w:cs="Times New Roman"/>
          <w:color w:val="auto"/>
          <w:sz w:val="24"/>
          <w:szCs w:val="24"/>
        </w:rPr>
        <w:t>,</w:t>
      </w:r>
      <w:r w:rsidR="00F405BC" w:rsidRPr="00117C15">
        <w:rPr>
          <w:rFonts w:ascii="Times New Roman" w:hAnsi="Times New Roman" w:cs="Times New Roman"/>
          <w:color w:val="auto"/>
          <w:sz w:val="24"/>
          <w:szCs w:val="24"/>
        </w:rPr>
        <w:t xml:space="preserve"> </w:t>
      </w:r>
      <w:r w:rsidR="003734B1" w:rsidRPr="00117C15">
        <w:rPr>
          <w:rFonts w:ascii="Times New Roman" w:hAnsi="Times New Roman" w:cs="Times New Roman"/>
          <w:color w:val="auto"/>
          <w:sz w:val="24"/>
          <w:szCs w:val="24"/>
        </w:rPr>
        <w:t>kuras saskaņā ar MK 02.12.2008. noteikumiem Nr.990 „Noteikumi par Latvijas izglītības klasifikāciju” atbilst</w:t>
      </w:r>
      <w:r w:rsidR="00CB68D2" w:rsidRPr="00117C15">
        <w:rPr>
          <w:rFonts w:ascii="Times New Roman" w:hAnsi="Times New Roman" w:cs="Times New Roman"/>
          <w:color w:val="auto"/>
          <w:sz w:val="24"/>
          <w:szCs w:val="24"/>
        </w:rPr>
        <w:t xml:space="preserve"> šādam izglītības programmas veidam un koda 1.un 2.ciparam (ar burtu/ bez burta)</w:t>
      </w:r>
      <w:r w:rsidR="003734B1" w:rsidRPr="00117C15">
        <w:rPr>
          <w:rFonts w:ascii="Times New Roman" w:hAnsi="Times New Roman" w:cs="Times New Roman"/>
          <w:color w:val="auto"/>
          <w:sz w:val="24"/>
          <w:szCs w:val="24"/>
        </w:rPr>
        <w:t>:</w:t>
      </w:r>
    </w:p>
    <w:p w:rsidR="00EF5D39" w:rsidRPr="003734B1" w:rsidRDefault="003734B1" w:rsidP="00132352">
      <w:pPr>
        <w:pStyle w:val="Normal1"/>
        <w:numPr>
          <w:ilvl w:val="0"/>
          <w:numId w:val="22"/>
        </w:numPr>
        <w:ind w:left="1429" w:hanging="357"/>
        <w:jc w:val="both"/>
        <w:rPr>
          <w:rFonts w:ascii="Times New Roman" w:hAnsi="Times New Roman" w:cs="Times New Roman"/>
          <w:color w:val="auto"/>
          <w:sz w:val="24"/>
          <w:szCs w:val="24"/>
        </w:rPr>
      </w:pPr>
      <w:r w:rsidRPr="003734B1">
        <w:rPr>
          <w:rFonts w:ascii="Times New Roman" w:hAnsi="Times New Roman" w:cs="Times New Roman"/>
          <w:color w:val="auto"/>
          <w:sz w:val="24"/>
          <w:szCs w:val="24"/>
        </w:rPr>
        <w:t>Profesionālā vidējā izglītība (3. līmeņa profesionālā kvalifikācija), īstenojama pēc pamatizglītības ieguves. Mācību ilgums 4 gadi. Koda 1. un 2.</w:t>
      </w:r>
      <w:r w:rsidR="00803D57">
        <w:rPr>
          <w:rFonts w:ascii="Times New Roman" w:hAnsi="Times New Roman" w:cs="Times New Roman"/>
          <w:color w:val="auto"/>
          <w:sz w:val="24"/>
          <w:szCs w:val="24"/>
        </w:rPr>
        <w:t>c</w:t>
      </w:r>
      <w:r w:rsidR="00DE006E">
        <w:rPr>
          <w:rFonts w:ascii="Times New Roman" w:hAnsi="Times New Roman" w:cs="Times New Roman"/>
          <w:color w:val="auto"/>
          <w:sz w:val="24"/>
          <w:szCs w:val="24"/>
        </w:rPr>
        <w:t xml:space="preserve">ipars </w:t>
      </w:r>
      <w:r w:rsidRPr="003734B1">
        <w:rPr>
          <w:rFonts w:ascii="Times New Roman" w:hAnsi="Times New Roman" w:cs="Times New Roman"/>
          <w:color w:val="auto"/>
          <w:sz w:val="24"/>
          <w:szCs w:val="24"/>
        </w:rPr>
        <w:t xml:space="preserve">- </w:t>
      </w:r>
      <w:r w:rsidRPr="0046252F">
        <w:rPr>
          <w:rFonts w:ascii="Times New Roman" w:hAnsi="Times New Roman" w:cs="Times New Roman"/>
          <w:b/>
          <w:color w:val="auto"/>
          <w:sz w:val="24"/>
          <w:szCs w:val="24"/>
        </w:rPr>
        <w:t>33</w:t>
      </w:r>
      <w:r w:rsidR="00EF5D39" w:rsidRPr="003734B1">
        <w:rPr>
          <w:rFonts w:ascii="Times New Roman" w:hAnsi="Times New Roman" w:cs="Times New Roman"/>
          <w:color w:val="auto"/>
          <w:sz w:val="24"/>
          <w:szCs w:val="24"/>
        </w:rPr>
        <w:t>;</w:t>
      </w:r>
    </w:p>
    <w:p w:rsidR="003734B1" w:rsidRPr="003734B1" w:rsidRDefault="003734B1" w:rsidP="00132352">
      <w:pPr>
        <w:pStyle w:val="Normal1"/>
        <w:numPr>
          <w:ilvl w:val="0"/>
          <w:numId w:val="22"/>
        </w:numPr>
        <w:ind w:left="1429" w:hanging="357"/>
        <w:jc w:val="both"/>
        <w:rPr>
          <w:rFonts w:ascii="Times New Roman" w:hAnsi="Times New Roman" w:cs="Times New Roman"/>
          <w:color w:val="auto"/>
          <w:sz w:val="24"/>
          <w:szCs w:val="24"/>
        </w:rPr>
      </w:pPr>
      <w:r w:rsidRPr="003734B1">
        <w:rPr>
          <w:rFonts w:ascii="Times New Roman" w:hAnsi="Times New Roman" w:cs="Times New Roman"/>
          <w:color w:val="auto"/>
          <w:sz w:val="24"/>
          <w:szCs w:val="24"/>
        </w:rPr>
        <w:t>Profesionālā vidējā izglītība (3. līmeņa profesionālā kvalifikācija), īstenojama pēc vispārējās vidējās izglītības ieguves. Mācību il</w:t>
      </w:r>
      <w:r w:rsidR="00CB68D2">
        <w:rPr>
          <w:rFonts w:ascii="Times New Roman" w:hAnsi="Times New Roman" w:cs="Times New Roman"/>
          <w:color w:val="auto"/>
          <w:sz w:val="24"/>
          <w:szCs w:val="24"/>
        </w:rPr>
        <w:t>gums 1,5–3 gadi. Koda 1. un 2.c</w:t>
      </w:r>
      <w:r w:rsidRPr="003734B1">
        <w:rPr>
          <w:rFonts w:ascii="Times New Roman" w:hAnsi="Times New Roman" w:cs="Times New Roman"/>
          <w:color w:val="auto"/>
          <w:sz w:val="24"/>
          <w:szCs w:val="24"/>
        </w:rPr>
        <w:t xml:space="preserve">ipars - </w:t>
      </w:r>
      <w:r w:rsidRPr="0046252F">
        <w:rPr>
          <w:rFonts w:ascii="Times New Roman" w:hAnsi="Times New Roman" w:cs="Times New Roman"/>
          <w:b/>
          <w:color w:val="auto"/>
          <w:sz w:val="24"/>
          <w:szCs w:val="24"/>
        </w:rPr>
        <w:t>35b</w:t>
      </w:r>
      <w:r w:rsidRPr="003734B1">
        <w:rPr>
          <w:rFonts w:ascii="Times New Roman" w:hAnsi="Times New Roman" w:cs="Times New Roman"/>
          <w:color w:val="auto"/>
          <w:sz w:val="24"/>
          <w:szCs w:val="24"/>
        </w:rPr>
        <w:t>;</w:t>
      </w:r>
    </w:p>
    <w:p w:rsidR="00917C42" w:rsidRDefault="003734B1" w:rsidP="00917C42">
      <w:pPr>
        <w:pStyle w:val="Normal1"/>
        <w:numPr>
          <w:ilvl w:val="0"/>
          <w:numId w:val="22"/>
        </w:numPr>
        <w:ind w:left="1429" w:hanging="357"/>
        <w:jc w:val="both"/>
        <w:rPr>
          <w:rFonts w:ascii="Times New Roman" w:hAnsi="Times New Roman" w:cs="Times New Roman"/>
          <w:color w:val="auto"/>
          <w:sz w:val="24"/>
          <w:szCs w:val="24"/>
        </w:rPr>
      </w:pPr>
      <w:r w:rsidRPr="003734B1">
        <w:rPr>
          <w:rFonts w:ascii="Times New Roman" w:hAnsi="Times New Roman" w:cs="Times New Roman"/>
          <w:color w:val="auto"/>
          <w:sz w:val="24"/>
          <w:szCs w:val="24"/>
        </w:rPr>
        <w:t>Profesionālā vidējā izglītība (3. līmeņa profesionālā kvalifikācija), turpinājums izglītības programmai ar koda 1. un 2. ciparu 32. Mācī</w:t>
      </w:r>
      <w:r w:rsidR="00CB68D2">
        <w:rPr>
          <w:rFonts w:ascii="Times New Roman" w:hAnsi="Times New Roman" w:cs="Times New Roman"/>
          <w:color w:val="auto"/>
          <w:sz w:val="24"/>
          <w:szCs w:val="24"/>
        </w:rPr>
        <w:t>bu ilgums 2 gadi. Koda 1. un 2.c</w:t>
      </w:r>
      <w:r w:rsidRPr="003734B1">
        <w:rPr>
          <w:rFonts w:ascii="Times New Roman" w:hAnsi="Times New Roman" w:cs="Times New Roman"/>
          <w:color w:val="auto"/>
          <w:sz w:val="24"/>
          <w:szCs w:val="24"/>
        </w:rPr>
        <w:t>ipars</w:t>
      </w:r>
      <w:r w:rsidR="00CB68D2">
        <w:rPr>
          <w:rFonts w:ascii="Times New Roman" w:hAnsi="Times New Roman" w:cs="Times New Roman"/>
          <w:color w:val="auto"/>
          <w:sz w:val="24"/>
          <w:szCs w:val="24"/>
        </w:rPr>
        <w:t xml:space="preserve"> </w:t>
      </w:r>
      <w:r w:rsidRPr="003734B1">
        <w:rPr>
          <w:rFonts w:ascii="Times New Roman" w:hAnsi="Times New Roman" w:cs="Times New Roman"/>
          <w:color w:val="auto"/>
          <w:sz w:val="24"/>
          <w:szCs w:val="24"/>
        </w:rPr>
        <w:t xml:space="preserve">– </w:t>
      </w:r>
      <w:r w:rsidRPr="0046252F">
        <w:rPr>
          <w:rFonts w:ascii="Times New Roman" w:hAnsi="Times New Roman" w:cs="Times New Roman"/>
          <w:b/>
          <w:color w:val="auto"/>
          <w:sz w:val="24"/>
          <w:szCs w:val="24"/>
        </w:rPr>
        <w:t>37</w:t>
      </w:r>
      <w:r w:rsidR="00C60504">
        <w:rPr>
          <w:rFonts w:ascii="Times New Roman" w:hAnsi="Times New Roman" w:cs="Times New Roman"/>
          <w:color w:val="auto"/>
          <w:sz w:val="24"/>
          <w:szCs w:val="24"/>
        </w:rPr>
        <w:t>;</w:t>
      </w:r>
    </w:p>
    <w:p w:rsidR="008F32F4" w:rsidRDefault="00DE60F0">
      <w:pPr>
        <w:pStyle w:val="Normal1"/>
        <w:numPr>
          <w:ilvl w:val="0"/>
          <w:numId w:val="22"/>
        </w:numPr>
        <w:ind w:left="1429" w:hanging="357"/>
        <w:jc w:val="both"/>
        <w:rPr>
          <w:rFonts w:ascii="Times New Roman" w:hAnsi="Times New Roman" w:cs="Times New Roman"/>
          <w:color w:val="auto"/>
          <w:sz w:val="24"/>
          <w:szCs w:val="24"/>
        </w:rPr>
      </w:pPr>
      <w:r w:rsidRPr="00DB33CF">
        <w:rPr>
          <w:rFonts w:ascii="Times New Roman" w:hAnsi="Times New Roman" w:cs="Times New Roman"/>
          <w:color w:val="auto"/>
          <w:sz w:val="24"/>
          <w:szCs w:val="24"/>
        </w:rPr>
        <w:t xml:space="preserve"> </w:t>
      </w:r>
      <w:r w:rsidR="00917C42">
        <w:rPr>
          <w:rFonts w:ascii="Times New Roman" w:hAnsi="Times New Roman" w:cs="Times New Roman"/>
          <w:color w:val="auto"/>
          <w:sz w:val="24"/>
          <w:szCs w:val="24"/>
        </w:rPr>
        <w:t xml:space="preserve">Arodizglītība (2.līmeņa profesionālā kvalifikācija), īstenojama pēc pamatizglītības ieguves. Mācību ilgums 1 gads. Koda 1. un 2.cipars – </w:t>
      </w:r>
      <w:r w:rsidR="0083653D" w:rsidRPr="0083653D">
        <w:rPr>
          <w:rFonts w:ascii="Times New Roman" w:hAnsi="Times New Roman" w:cs="Times New Roman"/>
          <w:b/>
          <w:color w:val="auto"/>
          <w:sz w:val="24"/>
          <w:szCs w:val="24"/>
        </w:rPr>
        <w:t>32a;</w:t>
      </w:r>
    </w:p>
    <w:p w:rsidR="008B5A20" w:rsidRPr="00707AC6" w:rsidRDefault="008B5A20" w:rsidP="008B5A20">
      <w:pPr>
        <w:pStyle w:val="Normal1"/>
        <w:numPr>
          <w:ilvl w:val="0"/>
          <w:numId w:val="22"/>
        </w:numPr>
        <w:ind w:left="1429" w:hanging="357"/>
        <w:jc w:val="both"/>
        <w:rPr>
          <w:rFonts w:ascii="Times New Roman" w:hAnsi="Times New Roman" w:cs="Times New Roman"/>
          <w:color w:val="auto"/>
          <w:sz w:val="24"/>
          <w:szCs w:val="24"/>
        </w:rPr>
      </w:pPr>
      <w:r>
        <w:rPr>
          <w:rFonts w:ascii="Times New Roman" w:hAnsi="Times New Roman" w:cs="Times New Roman"/>
          <w:color w:val="auto"/>
          <w:sz w:val="24"/>
          <w:szCs w:val="24"/>
        </w:rPr>
        <w:t>Arodizglītība (2.līmeņa profesionālā kvalifikācija), īstenojama pēc daļējas pamatizglītības programmas ap</w:t>
      </w:r>
      <w:r w:rsidR="005738A3">
        <w:rPr>
          <w:rFonts w:ascii="Times New Roman" w:hAnsi="Times New Roman" w:cs="Times New Roman"/>
          <w:color w:val="auto"/>
          <w:sz w:val="24"/>
          <w:szCs w:val="24"/>
        </w:rPr>
        <w:t>g</w:t>
      </w:r>
      <w:r>
        <w:rPr>
          <w:rFonts w:ascii="Times New Roman" w:hAnsi="Times New Roman" w:cs="Times New Roman"/>
          <w:color w:val="auto"/>
          <w:sz w:val="24"/>
          <w:szCs w:val="24"/>
        </w:rPr>
        <w:t xml:space="preserve">uves. Mācību ilgums 3 gads. Koda 1. un 2.cipars – </w:t>
      </w:r>
      <w:r>
        <w:rPr>
          <w:rFonts w:ascii="Times New Roman" w:hAnsi="Times New Roman" w:cs="Times New Roman"/>
          <w:b/>
          <w:color w:val="auto"/>
          <w:sz w:val="24"/>
          <w:szCs w:val="24"/>
        </w:rPr>
        <w:t>32b;</w:t>
      </w:r>
    </w:p>
    <w:p w:rsidR="008F32F4" w:rsidRDefault="00917C42">
      <w:pPr>
        <w:pStyle w:val="Normal1"/>
        <w:numPr>
          <w:ilvl w:val="0"/>
          <w:numId w:val="22"/>
        </w:numPr>
        <w:ind w:left="1429" w:hanging="35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Arodizglītība (2.līmeņa profesionālā kvalifikācija), īstenojama pēc vispārējās vai profesionālās vidējās izglītības ieguves. Mācību ilgums 1 gads. Koda 1. un 2.cipars – </w:t>
      </w:r>
      <w:r>
        <w:rPr>
          <w:rFonts w:ascii="Times New Roman" w:hAnsi="Times New Roman" w:cs="Times New Roman"/>
          <w:b/>
          <w:color w:val="auto"/>
          <w:sz w:val="24"/>
          <w:szCs w:val="24"/>
        </w:rPr>
        <w:t>35</w:t>
      </w:r>
      <w:r w:rsidRPr="00E77186">
        <w:rPr>
          <w:rFonts w:ascii="Times New Roman" w:hAnsi="Times New Roman" w:cs="Times New Roman"/>
          <w:b/>
          <w:color w:val="auto"/>
          <w:sz w:val="24"/>
          <w:szCs w:val="24"/>
        </w:rPr>
        <w:t>a</w:t>
      </w:r>
      <w:r>
        <w:rPr>
          <w:rFonts w:ascii="Times New Roman" w:hAnsi="Times New Roman" w:cs="Times New Roman"/>
          <w:b/>
          <w:color w:val="auto"/>
          <w:sz w:val="24"/>
          <w:szCs w:val="24"/>
        </w:rPr>
        <w:t>.</w:t>
      </w:r>
    </w:p>
    <w:p w:rsidR="008F32F4" w:rsidRDefault="008F32F4">
      <w:pPr>
        <w:pStyle w:val="Normal1"/>
        <w:ind w:left="1429"/>
        <w:jc w:val="both"/>
        <w:rPr>
          <w:rFonts w:ascii="Times New Roman" w:hAnsi="Times New Roman" w:cs="Times New Roman"/>
          <w:color w:val="auto"/>
          <w:sz w:val="24"/>
          <w:szCs w:val="24"/>
        </w:rPr>
      </w:pPr>
    </w:p>
    <w:p w:rsidR="00917C42" w:rsidRDefault="00917C42" w:rsidP="00E81980">
      <w:pPr>
        <w:ind w:firstLine="714"/>
        <w:rPr>
          <w:rFonts w:eastAsia="Calibri"/>
          <w:szCs w:val="24"/>
          <w:lang w:eastAsia="lv-LV"/>
        </w:rPr>
      </w:pPr>
    </w:p>
    <w:p w:rsidR="00E310CB" w:rsidRDefault="0046252F" w:rsidP="00E81980">
      <w:pPr>
        <w:ind w:firstLine="714"/>
        <w:rPr>
          <w:rFonts w:eastAsia="Calibri"/>
          <w:szCs w:val="24"/>
          <w:lang w:eastAsia="lv-LV"/>
        </w:rPr>
      </w:pPr>
      <w:r>
        <w:rPr>
          <w:rFonts w:eastAsia="Calibri"/>
          <w:szCs w:val="24"/>
          <w:lang w:eastAsia="lv-LV"/>
        </w:rPr>
        <w:t xml:space="preserve">1.stratēģiskajam </w:t>
      </w:r>
      <w:proofErr w:type="spellStart"/>
      <w:r w:rsidR="00CB77BA" w:rsidRPr="00CB77BA">
        <w:rPr>
          <w:szCs w:val="24"/>
        </w:rPr>
        <w:t>priekšatlases</w:t>
      </w:r>
      <w:proofErr w:type="spellEnd"/>
      <w:r w:rsidR="00CB77BA">
        <w:rPr>
          <w:rFonts w:eastAsia="Calibri"/>
          <w:szCs w:val="24"/>
          <w:lang w:eastAsia="lv-LV"/>
        </w:rPr>
        <w:t xml:space="preserve"> </w:t>
      </w:r>
      <w:r>
        <w:rPr>
          <w:rFonts w:eastAsia="Calibri"/>
          <w:szCs w:val="24"/>
          <w:lang w:eastAsia="lv-LV"/>
        </w:rPr>
        <w:t xml:space="preserve">kritērijam atbilst 13 valsts koledžas un 4 </w:t>
      </w:r>
      <w:r w:rsidR="00CB69C2">
        <w:rPr>
          <w:rFonts w:eastAsia="Calibri"/>
          <w:szCs w:val="24"/>
          <w:lang w:eastAsia="lv-LV"/>
        </w:rPr>
        <w:t>privātās</w:t>
      </w:r>
      <w:r>
        <w:rPr>
          <w:rFonts w:eastAsia="Calibri"/>
          <w:szCs w:val="24"/>
          <w:lang w:eastAsia="lv-LV"/>
        </w:rPr>
        <w:t xml:space="preserve"> koledžas</w:t>
      </w:r>
      <w:r w:rsidR="00FA63FE">
        <w:rPr>
          <w:rFonts w:eastAsia="Calibri"/>
          <w:szCs w:val="24"/>
          <w:lang w:eastAsia="lv-LV"/>
        </w:rPr>
        <w:t xml:space="preserve"> –</w:t>
      </w:r>
      <w:r w:rsidR="00E310CB">
        <w:rPr>
          <w:rFonts w:eastAsia="Calibri"/>
          <w:szCs w:val="24"/>
          <w:lang w:eastAsia="lv-LV"/>
        </w:rPr>
        <w:t xml:space="preserve"> DMK, JAK, LJK, </w:t>
      </w:r>
      <w:proofErr w:type="spellStart"/>
      <w:r w:rsidR="00E310CB" w:rsidRPr="00E310CB">
        <w:rPr>
          <w:rFonts w:eastAsia="Calibri"/>
          <w:szCs w:val="24"/>
          <w:lang w:eastAsia="lv-LV"/>
        </w:rPr>
        <w:t>LKuA</w:t>
      </w:r>
      <w:proofErr w:type="spellEnd"/>
      <w:r w:rsidR="00E310CB" w:rsidRPr="00E310CB">
        <w:rPr>
          <w:rFonts w:eastAsia="Calibri"/>
          <w:szCs w:val="24"/>
          <w:lang w:eastAsia="lv-LV"/>
        </w:rPr>
        <w:t xml:space="preserve"> LKK</w:t>
      </w:r>
      <w:r w:rsidR="00E310CB">
        <w:rPr>
          <w:rFonts w:eastAsia="Calibri"/>
          <w:szCs w:val="24"/>
          <w:lang w:eastAsia="lv-LV"/>
        </w:rPr>
        <w:t xml:space="preserve">, </w:t>
      </w:r>
      <w:r w:rsidR="00E310CB" w:rsidRPr="00E310CB">
        <w:rPr>
          <w:rFonts w:eastAsia="Calibri"/>
          <w:szCs w:val="24"/>
          <w:lang w:eastAsia="lv-LV"/>
        </w:rPr>
        <w:t>LU RMK</w:t>
      </w:r>
      <w:r w:rsidR="00E310CB">
        <w:rPr>
          <w:rFonts w:eastAsia="Calibri"/>
          <w:szCs w:val="24"/>
          <w:lang w:eastAsia="lv-LV"/>
        </w:rPr>
        <w:t xml:space="preserve">, </w:t>
      </w:r>
      <w:r w:rsidR="00E310CB" w:rsidRPr="00E310CB">
        <w:rPr>
          <w:rFonts w:eastAsia="Calibri"/>
          <w:szCs w:val="24"/>
          <w:lang w:eastAsia="lv-LV"/>
        </w:rPr>
        <w:t>LU SMK</w:t>
      </w:r>
      <w:r w:rsidR="00E310CB">
        <w:rPr>
          <w:rFonts w:eastAsia="Calibri"/>
          <w:szCs w:val="24"/>
          <w:lang w:eastAsia="lv-LV"/>
        </w:rPr>
        <w:t xml:space="preserve">, </w:t>
      </w:r>
      <w:r w:rsidR="00E310CB" w:rsidRPr="00E310CB">
        <w:rPr>
          <w:rFonts w:eastAsia="Calibri"/>
          <w:szCs w:val="24"/>
          <w:lang w:eastAsia="lv-LV"/>
        </w:rPr>
        <w:t>MK</w:t>
      </w:r>
      <w:r w:rsidR="00E310CB">
        <w:rPr>
          <w:rFonts w:eastAsia="Calibri"/>
          <w:szCs w:val="24"/>
          <w:lang w:eastAsia="lv-LV"/>
        </w:rPr>
        <w:t xml:space="preserve">, </w:t>
      </w:r>
      <w:r w:rsidR="00E310CB">
        <w:rPr>
          <w:rFonts w:eastAsia="Calibri"/>
          <w:szCs w:val="24"/>
        </w:rPr>
        <w:t xml:space="preserve">OMTK, </w:t>
      </w:r>
      <w:r w:rsidR="00E310CB" w:rsidRPr="00E310CB">
        <w:rPr>
          <w:rFonts w:eastAsia="Calibri"/>
          <w:szCs w:val="24"/>
        </w:rPr>
        <w:t>R1MK</w:t>
      </w:r>
      <w:r w:rsidR="00E310CB">
        <w:rPr>
          <w:rFonts w:eastAsia="Calibri"/>
          <w:szCs w:val="24"/>
        </w:rPr>
        <w:t xml:space="preserve">, </w:t>
      </w:r>
      <w:r w:rsidR="00E310CB" w:rsidRPr="00E310CB">
        <w:rPr>
          <w:rFonts w:eastAsia="Calibri"/>
          <w:szCs w:val="24"/>
        </w:rPr>
        <w:t>RCK</w:t>
      </w:r>
      <w:r w:rsidR="00E310CB">
        <w:rPr>
          <w:rFonts w:eastAsia="Calibri"/>
          <w:szCs w:val="24"/>
        </w:rPr>
        <w:t xml:space="preserve">, </w:t>
      </w:r>
      <w:r w:rsidR="00E310CB" w:rsidRPr="00E310CB">
        <w:rPr>
          <w:rFonts w:eastAsia="Calibri"/>
          <w:szCs w:val="24"/>
        </w:rPr>
        <w:t>RSU SKMK</w:t>
      </w:r>
      <w:r w:rsidR="00E310CB">
        <w:rPr>
          <w:rFonts w:eastAsia="Calibri"/>
          <w:szCs w:val="24"/>
        </w:rPr>
        <w:t xml:space="preserve">, </w:t>
      </w:r>
      <w:r w:rsidR="00E310CB" w:rsidRPr="00E310CB">
        <w:rPr>
          <w:rFonts w:eastAsia="Calibri"/>
          <w:szCs w:val="24"/>
        </w:rPr>
        <w:t>RTK</w:t>
      </w:r>
      <w:r w:rsidR="00E310CB">
        <w:rPr>
          <w:rFonts w:eastAsia="Calibri"/>
          <w:szCs w:val="24"/>
        </w:rPr>
        <w:t xml:space="preserve">, </w:t>
      </w:r>
      <w:r w:rsidR="00E310CB" w:rsidRPr="00E310CB">
        <w:rPr>
          <w:rFonts w:eastAsia="Calibri"/>
          <w:szCs w:val="24"/>
        </w:rPr>
        <w:t>SIVA</w:t>
      </w:r>
      <w:r w:rsidR="00E310CB">
        <w:rPr>
          <w:rFonts w:eastAsia="Calibri"/>
          <w:szCs w:val="24"/>
        </w:rPr>
        <w:t xml:space="preserve"> </w:t>
      </w:r>
      <w:r w:rsidR="00C82A74">
        <w:rPr>
          <w:rFonts w:eastAsia="Calibri"/>
          <w:szCs w:val="24"/>
        </w:rPr>
        <w:t xml:space="preserve">(sk. novērtējuma 1.pielikuma 2.izklājlapu) </w:t>
      </w:r>
      <w:r w:rsidR="00E310CB">
        <w:rPr>
          <w:rFonts w:eastAsia="Calibri"/>
          <w:szCs w:val="24"/>
        </w:rPr>
        <w:t xml:space="preserve">un </w:t>
      </w:r>
      <w:r w:rsidR="00C82A74" w:rsidRPr="00C82A74">
        <w:rPr>
          <w:rFonts w:eastAsia="Calibri"/>
          <w:szCs w:val="24"/>
        </w:rPr>
        <w:t>AK</w:t>
      </w:r>
      <w:r w:rsidR="00C82A74">
        <w:rPr>
          <w:rFonts w:eastAsia="Calibri"/>
          <w:szCs w:val="24"/>
        </w:rPr>
        <w:t xml:space="preserve">, </w:t>
      </w:r>
      <w:r w:rsidR="00C82A74" w:rsidRPr="00C82A74">
        <w:rPr>
          <w:rFonts w:eastAsia="Calibri"/>
          <w:szCs w:val="24"/>
        </w:rPr>
        <w:t>JK</w:t>
      </w:r>
      <w:r w:rsidR="00C82A74">
        <w:rPr>
          <w:rFonts w:eastAsia="Calibri"/>
          <w:szCs w:val="24"/>
        </w:rPr>
        <w:t xml:space="preserve">, </w:t>
      </w:r>
      <w:r w:rsidR="00C82A74" w:rsidRPr="00C82A74">
        <w:rPr>
          <w:rFonts w:eastAsia="Calibri"/>
          <w:szCs w:val="24"/>
        </w:rPr>
        <w:t>LBK</w:t>
      </w:r>
      <w:r w:rsidR="00C82A74">
        <w:rPr>
          <w:rFonts w:eastAsia="Calibri"/>
          <w:szCs w:val="24"/>
        </w:rPr>
        <w:t xml:space="preserve">, </w:t>
      </w:r>
      <w:r w:rsidR="00C82A74" w:rsidRPr="00C82A74">
        <w:rPr>
          <w:rFonts w:eastAsia="Calibri"/>
          <w:szCs w:val="24"/>
        </w:rPr>
        <w:t xml:space="preserve">NJK </w:t>
      </w:r>
      <w:r w:rsidR="00C82A74">
        <w:rPr>
          <w:rFonts w:eastAsia="Calibri"/>
          <w:szCs w:val="24"/>
        </w:rPr>
        <w:t>(sk. novērtējuma 1.pielikuma 4.izklājlapu)</w:t>
      </w:r>
      <w:r w:rsidR="00FA63FE">
        <w:rPr>
          <w:rFonts w:eastAsia="Calibri"/>
          <w:szCs w:val="24"/>
        </w:rPr>
        <w:t>.</w:t>
      </w:r>
    </w:p>
    <w:p w:rsidR="002B0D8D" w:rsidRDefault="0046252F" w:rsidP="00E81980">
      <w:pPr>
        <w:ind w:firstLine="714"/>
        <w:rPr>
          <w:rFonts w:eastAsia="Calibri"/>
          <w:szCs w:val="24"/>
          <w:lang w:eastAsia="lv-LV"/>
        </w:rPr>
      </w:pPr>
      <w:r>
        <w:rPr>
          <w:rFonts w:eastAsia="Calibri"/>
          <w:szCs w:val="24"/>
          <w:lang w:eastAsia="lv-LV"/>
        </w:rPr>
        <w:t xml:space="preserve">2.stratēģiskajam </w:t>
      </w:r>
      <w:proofErr w:type="spellStart"/>
      <w:r w:rsidR="00CB77BA" w:rsidRPr="00CB77BA">
        <w:rPr>
          <w:szCs w:val="24"/>
        </w:rPr>
        <w:t>priekšatlases</w:t>
      </w:r>
      <w:proofErr w:type="spellEnd"/>
      <w:r w:rsidR="00CB77BA">
        <w:rPr>
          <w:rFonts w:eastAsia="Calibri"/>
          <w:szCs w:val="24"/>
          <w:lang w:eastAsia="lv-LV"/>
        </w:rPr>
        <w:t xml:space="preserve"> </w:t>
      </w:r>
      <w:r>
        <w:rPr>
          <w:rFonts w:eastAsia="Calibri"/>
          <w:szCs w:val="24"/>
          <w:lang w:eastAsia="lv-LV"/>
        </w:rPr>
        <w:t xml:space="preserve">kritērijam </w:t>
      </w:r>
      <w:r w:rsidRPr="00B5720A">
        <w:rPr>
          <w:rFonts w:eastAsia="Calibri"/>
          <w:szCs w:val="24"/>
          <w:lang w:eastAsia="lv-LV"/>
        </w:rPr>
        <w:t xml:space="preserve">atbilst </w:t>
      </w:r>
      <w:r w:rsidR="00A54AA6">
        <w:rPr>
          <w:rFonts w:eastAsia="Calibri"/>
          <w:szCs w:val="24"/>
          <w:lang w:eastAsia="lv-LV"/>
        </w:rPr>
        <w:t xml:space="preserve">9 </w:t>
      </w:r>
      <w:r w:rsidR="00D102C5">
        <w:rPr>
          <w:rFonts w:eastAsia="Calibri"/>
          <w:szCs w:val="24"/>
          <w:lang w:eastAsia="lv-LV"/>
        </w:rPr>
        <w:t>valsts koledžas</w:t>
      </w:r>
      <w:r w:rsidR="006F2B50">
        <w:rPr>
          <w:rFonts w:eastAsia="Calibri"/>
          <w:szCs w:val="24"/>
          <w:lang w:eastAsia="lv-LV"/>
        </w:rPr>
        <w:t xml:space="preserve"> </w:t>
      </w:r>
      <w:r w:rsidR="00E81980">
        <w:rPr>
          <w:rFonts w:eastAsia="Calibri"/>
          <w:szCs w:val="24"/>
          <w:lang w:eastAsia="lv-LV"/>
        </w:rPr>
        <w:t>–</w:t>
      </w:r>
      <w:r w:rsidR="00D102C5">
        <w:rPr>
          <w:rFonts w:eastAsia="Calibri"/>
          <w:szCs w:val="24"/>
          <w:lang w:eastAsia="lv-LV"/>
        </w:rPr>
        <w:t xml:space="preserve"> </w:t>
      </w:r>
      <w:r w:rsidR="00A54AA6">
        <w:rPr>
          <w:rFonts w:eastAsia="Calibri"/>
          <w:szCs w:val="24"/>
          <w:lang w:eastAsia="lv-LV"/>
        </w:rPr>
        <w:t xml:space="preserve">DMK, </w:t>
      </w:r>
      <w:r w:rsidR="002B0D8D" w:rsidRPr="002B0D8D">
        <w:rPr>
          <w:rFonts w:eastAsia="Calibri"/>
          <w:szCs w:val="24"/>
        </w:rPr>
        <w:t>JAK</w:t>
      </w:r>
      <w:r w:rsidR="00B5720A">
        <w:rPr>
          <w:rFonts w:eastAsia="Calibri"/>
          <w:szCs w:val="24"/>
        </w:rPr>
        <w:t xml:space="preserve">, LJK, MK, OMTK, RCK, </w:t>
      </w:r>
      <w:r w:rsidR="002571F6">
        <w:rPr>
          <w:rFonts w:eastAsia="Calibri"/>
          <w:szCs w:val="24"/>
        </w:rPr>
        <w:t xml:space="preserve">R1MK </w:t>
      </w:r>
      <w:r w:rsidR="00AE421C">
        <w:rPr>
          <w:rFonts w:eastAsia="Calibri"/>
          <w:szCs w:val="24"/>
        </w:rPr>
        <w:t xml:space="preserve">un </w:t>
      </w:r>
      <w:r w:rsidR="00E81980">
        <w:rPr>
          <w:rFonts w:eastAsia="Calibri"/>
          <w:szCs w:val="24"/>
        </w:rPr>
        <w:t>RTK</w:t>
      </w:r>
      <w:r w:rsidR="00A54AA6">
        <w:rPr>
          <w:rFonts w:eastAsia="Calibri"/>
          <w:szCs w:val="24"/>
        </w:rPr>
        <w:t>, RSU SKMK</w:t>
      </w:r>
      <w:r w:rsidR="00E81980">
        <w:rPr>
          <w:rFonts w:eastAsia="Calibri"/>
          <w:szCs w:val="24"/>
        </w:rPr>
        <w:t xml:space="preserve"> </w:t>
      </w:r>
      <w:r w:rsidR="00E81980">
        <w:rPr>
          <w:rFonts w:eastAsia="Calibri"/>
          <w:szCs w:val="24"/>
          <w:lang w:eastAsia="lv-LV"/>
        </w:rPr>
        <w:t xml:space="preserve">(sk. </w:t>
      </w:r>
      <w:r w:rsidR="00B5720A">
        <w:rPr>
          <w:rFonts w:eastAsia="Calibri"/>
          <w:szCs w:val="24"/>
          <w:lang w:eastAsia="lv-LV"/>
        </w:rPr>
        <w:t xml:space="preserve">novērtējuma </w:t>
      </w:r>
      <w:r w:rsidR="00E81980">
        <w:rPr>
          <w:rFonts w:eastAsia="Calibri"/>
          <w:szCs w:val="24"/>
          <w:lang w:eastAsia="lv-LV"/>
        </w:rPr>
        <w:t>1.pielikum</w:t>
      </w:r>
      <w:r w:rsidR="00CB77BA">
        <w:rPr>
          <w:rFonts w:eastAsia="Calibri"/>
          <w:szCs w:val="24"/>
          <w:lang w:eastAsia="lv-LV"/>
        </w:rPr>
        <w:t xml:space="preserve">a </w:t>
      </w:r>
      <w:r w:rsidR="00CB77BA">
        <w:rPr>
          <w:rFonts w:eastAsia="Calibri"/>
          <w:szCs w:val="24"/>
        </w:rPr>
        <w:t>2.izklājlapu</w:t>
      </w:r>
      <w:r w:rsidR="00E81980">
        <w:rPr>
          <w:rFonts w:eastAsia="Calibri"/>
          <w:szCs w:val="24"/>
          <w:lang w:eastAsia="lv-LV"/>
        </w:rPr>
        <w:t>).</w:t>
      </w:r>
      <w:r w:rsidR="00DE60F0">
        <w:rPr>
          <w:rFonts w:eastAsia="Calibri"/>
          <w:szCs w:val="24"/>
          <w:lang w:eastAsia="lv-LV"/>
        </w:rPr>
        <w:t xml:space="preserve"> </w:t>
      </w:r>
    </w:p>
    <w:p w:rsidR="00DE60F0" w:rsidRPr="003D1752" w:rsidRDefault="00E56027" w:rsidP="00E81980">
      <w:pPr>
        <w:ind w:firstLine="714"/>
      </w:pPr>
      <w:r>
        <w:t xml:space="preserve"> </w:t>
      </w:r>
    </w:p>
    <w:p w:rsidR="00FA63FE" w:rsidRDefault="00FA63FE" w:rsidP="00EF5D39">
      <w:pPr>
        <w:pStyle w:val="Default"/>
        <w:ind w:firstLine="720"/>
        <w:jc w:val="both"/>
        <w:rPr>
          <w:b/>
          <w:color w:val="auto"/>
        </w:rPr>
      </w:pPr>
    </w:p>
    <w:p w:rsidR="00326D16" w:rsidRDefault="001064B3" w:rsidP="001064B3">
      <w:pPr>
        <w:pStyle w:val="Heading2"/>
      </w:pPr>
      <w:bookmarkStart w:id="46" w:name="_Toc445290210"/>
      <w:r>
        <w:lastRenderedPageBreak/>
        <w:t xml:space="preserve">4.5. </w:t>
      </w:r>
      <w:r w:rsidR="00326D16" w:rsidRPr="00521C8D">
        <w:t>Indikatīvais 2014.-2020.gada plānošanas perioda investīciju kartējums koledžu infrastruktūrā</w:t>
      </w:r>
      <w:bookmarkEnd w:id="46"/>
      <w:r w:rsidR="00326D16" w:rsidRPr="00326D16">
        <w:t xml:space="preserve"> </w:t>
      </w:r>
    </w:p>
    <w:p w:rsidR="00326D16" w:rsidRPr="00326D16" w:rsidRDefault="00326D16" w:rsidP="00EF5D39">
      <w:pPr>
        <w:pStyle w:val="Default"/>
        <w:ind w:firstLine="720"/>
        <w:jc w:val="both"/>
        <w:rPr>
          <w:b/>
          <w:color w:val="auto"/>
        </w:rPr>
      </w:pPr>
    </w:p>
    <w:p w:rsidR="00CB77BA" w:rsidRDefault="00CB77BA" w:rsidP="00EF5D39">
      <w:pPr>
        <w:pStyle w:val="Default"/>
        <w:ind w:firstLine="720"/>
        <w:jc w:val="both"/>
      </w:pPr>
      <w:r w:rsidRPr="00807B08">
        <w:t xml:space="preserve">Investīciju kartējumā iekļautas tās koledžas, kas atbilst </w:t>
      </w:r>
      <w:r w:rsidR="00631042">
        <w:t>abiem</w:t>
      </w:r>
      <w:r w:rsidR="00631042" w:rsidRPr="00807B08">
        <w:t xml:space="preserve"> </w:t>
      </w:r>
      <w:r w:rsidRPr="00807B08">
        <w:t xml:space="preserve">stratēģiskajiem </w:t>
      </w:r>
      <w:proofErr w:type="spellStart"/>
      <w:r w:rsidRPr="00807B08">
        <w:t>priekšatlases</w:t>
      </w:r>
      <w:proofErr w:type="spellEnd"/>
      <w:r w:rsidRPr="00807B08">
        <w:t xml:space="preserve"> kritērijiem (sk. novērtējuma 4.4.sadaļu). No tā izriet, ka dabaszinātņu, matemātikas un informācijas tehnoloģiju jomā tiek atbalstītas </w:t>
      </w:r>
      <w:r w:rsidRPr="00807B08">
        <w:rPr>
          <w:color w:val="auto"/>
        </w:rPr>
        <w:t>JAK un RTK, i</w:t>
      </w:r>
      <w:r w:rsidRPr="00807B08">
        <w:t xml:space="preserve">nženierzinātņu, ražošanas un būvniecības jomā – </w:t>
      </w:r>
      <w:r w:rsidRPr="00807B08">
        <w:rPr>
          <w:color w:val="auto"/>
        </w:rPr>
        <w:t xml:space="preserve">LJK, </w:t>
      </w:r>
      <w:r w:rsidRPr="00807B08">
        <w:t xml:space="preserve">MK, OMTK, </w:t>
      </w:r>
      <w:r w:rsidRPr="00807B08">
        <w:rPr>
          <w:color w:val="auto"/>
        </w:rPr>
        <w:t xml:space="preserve">RTK un RCK, vides aizsardzības jomā </w:t>
      </w:r>
      <w:r w:rsidRPr="00807B08">
        <w:t>–</w:t>
      </w:r>
      <w:r w:rsidRPr="00807B08">
        <w:rPr>
          <w:color w:val="auto"/>
        </w:rPr>
        <w:t xml:space="preserve"> </w:t>
      </w:r>
      <w:r w:rsidRPr="00807B08">
        <w:t>OMTK, radošo industriju (mākslas) jomā – RCK (studiju programma „Restaurācija”),</w:t>
      </w:r>
      <w:r>
        <w:t xml:space="preserve"> savukārt </w:t>
      </w:r>
      <w:proofErr w:type="spellStart"/>
      <w:r w:rsidRPr="00E310CB">
        <w:t>LKuA</w:t>
      </w:r>
      <w:proofErr w:type="spellEnd"/>
      <w:r w:rsidRPr="00E310CB">
        <w:t xml:space="preserve"> LKK</w:t>
      </w:r>
      <w:r>
        <w:t xml:space="preserve"> neatbilst 2.</w:t>
      </w:r>
      <w:r w:rsidRPr="00807B08">
        <w:t xml:space="preserve">stratēģiskajam </w:t>
      </w:r>
      <w:proofErr w:type="spellStart"/>
      <w:r w:rsidRPr="00807B08">
        <w:t>priekšatlases</w:t>
      </w:r>
      <w:proofErr w:type="spellEnd"/>
      <w:r w:rsidRPr="00807B08">
        <w:t xml:space="preserve"> kritērijam – t.i., </w:t>
      </w:r>
      <w:r>
        <w:t xml:space="preserve">2015./2016.ak.g. neīsteno profesionālās vidējās izglītības </w:t>
      </w:r>
      <w:r w:rsidR="00A54AA6">
        <w:t xml:space="preserve">vai arodizglītības </w:t>
      </w:r>
      <w:r>
        <w:t xml:space="preserve">programmas (sk. novērtējuma 1.pielikuma 2.izklājlapu), līdz ar to </w:t>
      </w:r>
      <w:proofErr w:type="spellStart"/>
      <w:r w:rsidR="007643D5" w:rsidRPr="00E310CB">
        <w:t>LKuA</w:t>
      </w:r>
      <w:proofErr w:type="spellEnd"/>
      <w:r w:rsidR="007643D5" w:rsidRPr="00E310CB">
        <w:t xml:space="preserve"> LKK</w:t>
      </w:r>
      <w:r w:rsidR="007643D5">
        <w:t xml:space="preserve"> </w:t>
      </w:r>
      <w:r>
        <w:t>netiek atbalstīta 8.1.4.SAM ietvaros. M</w:t>
      </w:r>
      <w:r w:rsidRPr="00807B08">
        <w:t>edicīnas jomā (veselības aprūpe) –</w:t>
      </w:r>
      <w:r w:rsidR="00A54AA6">
        <w:t xml:space="preserve"> </w:t>
      </w:r>
      <w:r w:rsidRPr="00807B08">
        <w:t>atbalsts</w:t>
      </w:r>
      <w:r w:rsidR="00A54AA6">
        <w:t xml:space="preserve"> plānots DMK, R</w:t>
      </w:r>
      <w:r w:rsidRPr="00807B08">
        <w:t xml:space="preserve">1MK </w:t>
      </w:r>
      <w:r w:rsidR="00A54AA6">
        <w:t>un RSU SKMK</w:t>
      </w:r>
      <w:r>
        <w:t>.</w:t>
      </w:r>
    </w:p>
    <w:p w:rsidR="005A02C7" w:rsidRDefault="00326D16" w:rsidP="00EF5D39">
      <w:pPr>
        <w:pStyle w:val="Default"/>
        <w:ind w:firstLine="720"/>
        <w:jc w:val="both"/>
      </w:pPr>
      <w:r>
        <w:t>Ieguldījumi tiek plānoti koledž</w:t>
      </w:r>
      <w:r w:rsidR="00120677">
        <w:t>ās</w:t>
      </w:r>
      <w:r>
        <w:t xml:space="preserve"> to īstenoto STEM </w:t>
      </w:r>
      <w:r w:rsidR="003D1752">
        <w:t>izglītības</w:t>
      </w:r>
      <w:r>
        <w:t xml:space="preserve"> programmu līmenī, vienlaikus norādot nepieciešamo ieguldījumu veidu </w:t>
      </w:r>
      <w:r w:rsidR="00AC30BF">
        <w:t>–</w:t>
      </w:r>
      <w:r>
        <w:t xml:space="preserve"> ēku</w:t>
      </w:r>
      <w:r w:rsidR="00AC30BF">
        <w:t xml:space="preserve"> </w:t>
      </w:r>
      <w:r>
        <w:t xml:space="preserve">renovācija vai aprīkojuma modernizācija. </w:t>
      </w:r>
    </w:p>
    <w:p w:rsidR="009F4833" w:rsidRDefault="009F4833" w:rsidP="003D1752">
      <w:pPr>
        <w:pStyle w:val="Default"/>
        <w:ind w:firstLine="720"/>
        <w:jc w:val="right"/>
      </w:pPr>
    </w:p>
    <w:p w:rsidR="005A02C7" w:rsidRDefault="003D1752" w:rsidP="003D1752">
      <w:pPr>
        <w:pStyle w:val="Default"/>
        <w:ind w:firstLine="720"/>
        <w:jc w:val="right"/>
      </w:pPr>
      <w:r>
        <w:t>4.1.tabula</w:t>
      </w:r>
    </w:p>
    <w:p w:rsidR="00326D16" w:rsidRDefault="00326D16" w:rsidP="00EF5D39">
      <w:pPr>
        <w:pStyle w:val="Default"/>
        <w:ind w:firstLine="720"/>
        <w:jc w:val="both"/>
      </w:pPr>
    </w:p>
    <w:tbl>
      <w:tblPr>
        <w:tblStyle w:val="TableGrid"/>
        <w:tblW w:w="5000" w:type="pct"/>
        <w:tblLook w:val="04A0"/>
      </w:tblPr>
      <w:tblGrid>
        <w:gridCol w:w="810"/>
        <w:gridCol w:w="1425"/>
        <w:gridCol w:w="1291"/>
        <w:gridCol w:w="1937"/>
        <w:gridCol w:w="1358"/>
        <w:gridCol w:w="1085"/>
        <w:gridCol w:w="1382"/>
      </w:tblGrid>
      <w:tr w:rsidR="003D1752" w:rsidRPr="003D1752" w:rsidTr="00B81F3B">
        <w:tc>
          <w:tcPr>
            <w:tcW w:w="436" w:type="pct"/>
            <w:vMerge w:val="restart"/>
            <w:vAlign w:val="center"/>
          </w:tcPr>
          <w:p w:rsidR="003D1752" w:rsidRPr="003D1752" w:rsidRDefault="003D1752" w:rsidP="003D1752">
            <w:pPr>
              <w:pStyle w:val="Default"/>
              <w:rPr>
                <w:sz w:val="22"/>
                <w:szCs w:val="22"/>
              </w:rPr>
            </w:pPr>
            <w:proofErr w:type="spellStart"/>
            <w:r w:rsidRPr="003D1752">
              <w:rPr>
                <w:sz w:val="22"/>
                <w:szCs w:val="22"/>
              </w:rPr>
              <w:t>N.p.k</w:t>
            </w:r>
            <w:proofErr w:type="spellEnd"/>
            <w:r w:rsidRPr="003D1752">
              <w:rPr>
                <w:sz w:val="22"/>
                <w:szCs w:val="22"/>
              </w:rPr>
              <w:t>.</w:t>
            </w:r>
          </w:p>
        </w:tc>
        <w:tc>
          <w:tcPr>
            <w:tcW w:w="767" w:type="pct"/>
            <w:vMerge w:val="restart"/>
            <w:vAlign w:val="center"/>
          </w:tcPr>
          <w:p w:rsidR="003D1752" w:rsidRPr="003D1752" w:rsidRDefault="003D1752" w:rsidP="003D1752">
            <w:pPr>
              <w:pStyle w:val="Default"/>
              <w:rPr>
                <w:sz w:val="22"/>
                <w:szCs w:val="22"/>
              </w:rPr>
            </w:pPr>
            <w:r w:rsidRPr="003D1752">
              <w:rPr>
                <w:sz w:val="22"/>
                <w:szCs w:val="22"/>
              </w:rPr>
              <w:t>Koledža</w:t>
            </w:r>
          </w:p>
        </w:tc>
        <w:tc>
          <w:tcPr>
            <w:tcW w:w="695" w:type="pct"/>
            <w:vMerge w:val="restart"/>
            <w:vAlign w:val="center"/>
          </w:tcPr>
          <w:p w:rsidR="003D1752" w:rsidRPr="003D1752" w:rsidRDefault="003D1752" w:rsidP="003D1752">
            <w:pPr>
              <w:pStyle w:val="Default"/>
              <w:rPr>
                <w:sz w:val="22"/>
                <w:szCs w:val="22"/>
              </w:rPr>
            </w:pPr>
            <w:r w:rsidRPr="003D1752">
              <w:rPr>
                <w:sz w:val="22"/>
                <w:szCs w:val="22"/>
              </w:rPr>
              <w:t xml:space="preserve">Plānošanas reģions </w:t>
            </w:r>
          </w:p>
          <w:p w:rsidR="003D1752" w:rsidRPr="003D1752" w:rsidRDefault="003D1752" w:rsidP="003D1752">
            <w:pPr>
              <w:pStyle w:val="Default"/>
              <w:rPr>
                <w:sz w:val="22"/>
                <w:szCs w:val="22"/>
              </w:rPr>
            </w:pPr>
          </w:p>
        </w:tc>
        <w:tc>
          <w:tcPr>
            <w:tcW w:w="1043" w:type="pct"/>
            <w:vMerge w:val="restart"/>
            <w:vAlign w:val="center"/>
          </w:tcPr>
          <w:p w:rsidR="003D1752" w:rsidRPr="003D1752" w:rsidRDefault="003D1752" w:rsidP="003D1752">
            <w:pPr>
              <w:pStyle w:val="Default"/>
              <w:rPr>
                <w:sz w:val="22"/>
                <w:szCs w:val="22"/>
              </w:rPr>
            </w:pPr>
            <w:r w:rsidRPr="003D1752">
              <w:rPr>
                <w:sz w:val="22"/>
                <w:szCs w:val="22"/>
              </w:rPr>
              <w:t>STEM izglītības programmas nosaukums</w:t>
            </w:r>
          </w:p>
        </w:tc>
        <w:tc>
          <w:tcPr>
            <w:tcW w:w="731" w:type="pct"/>
            <w:vMerge w:val="restart"/>
            <w:vAlign w:val="center"/>
          </w:tcPr>
          <w:p w:rsidR="003D1752" w:rsidRPr="003D1752" w:rsidRDefault="003D1752" w:rsidP="003D1752">
            <w:pPr>
              <w:pStyle w:val="Default"/>
              <w:rPr>
                <w:sz w:val="22"/>
                <w:szCs w:val="22"/>
              </w:rPr>
            </w:pPr>
            <w:r w:rsidRPr="003D1752">
              <w:rPr>
                <w:sz w:val="22"/>
                <w:szCs w:val="22"/>
              </w:rPr>
              <w:t>Izglītības programmas kods</w:t>
            </w:r>
          </w:p>
        </w:tc>
        <w:tc>
          <w:tcPr>
            <w:tcW w:w="1328" w:type="pct"/>
            <w:gridSpan w:val="2"/>
            <w:vAlign w:val="center"/>
          </w:tcPr>
          <w:p w:rsidR="003D1752" w:rsidRPr="003D1752" w:rsidRDefault="003D1752" w:rsidP="003D1752">
            <w:pPr>
              <w:pStyle w:val="Default"/>
              <w:jc w:val="center"/>
              <w:rPr>
                <w:sz w:val="22"/>
                <w:szCs w:val="22"/>
              </w:rPr>
            </w:pPr>
            <w:r w:rsidRPr="003D1752">
              <w:rPr>
                <w:sz w:val="22"/>
                <w:szCs w:val="22"/>
              </w:rPr>
              <w:t>Nepieciešamais ieguldījumu veids</w:t>
            </w:r>
            <w:r w:rsidR="001064B3">
              <w:rPr>
                <w:rStyle w:val="FootnoteReference"/>
                <w:sz w:val="22"/>
                <w:szCs w:val="22"/>
              </w:rPr>
              <w:footnoteReference w:id="70"/>
            </w:r>
          </w:p>
        </w:tc>
      </w:tr>
      <w:tr w:rsidR="003D1752" w:rsidRPr="003D1752" w:rsidTr="00B81F3B">
        <w:tc>
          <w:tcPr>
            <w:tcW w:w="436" w:type="pct"/>
            <w:vMerge/>
            <w:vAlign w:val="center"/>
          </w:tcPr>
          <w:p w:rsidR="003D1752" w:rsidRPr="003D1752" w:rsidRDefault="003D1752" w:rsidP="003D1752">
            <w:pPr>
              <w:pStyle w:val="Default"/>
              <w:rPr>
                <w:sz w:val="22"/>
                <w:szCs w:val="22"/>
              </w:rPr>
            </w:pPr>
          </w:p>
        </w:tc>
        <w:tc>
          <w:tcPr>
            <w:tcW w:w="767" w:type="pct"/>
            <w:vMerge/>
            <w:vAlign w:val="center"/>
          </w:tcPr>
          <w:p w:rsidR="003D1752" w:rsidRPr="003D1752" w:rsidRDefault="003D1752" w:rsidP="003D1752">
            <w:pPr>
              <w:pStyle w:val="Default"/>
              <w:rPr>
                <w:sz w:val="22"/>
                <w:szCs w:val="22"/>
              </w:rPr>
            </w:pPr>
          </w:p>
        </w:tc>
        <w:tc>
          <w:tcPr>
            <w:tcW w:w="695" w:type="pct"/>
            <w:vMerge/>
            <w:vAlign w:val="center"/>
          </w:tcPr>
          <w:p w:rsidR="003D1752" w:rsidRPr="003D1752" w:rsidRDefault="003D1752" w:rsidP="003D1752">
            <w:pPr>
              <w:pStyle w:val="Default"/>
              <w:rPr>
                <w:sz w:val="22"/>
                <w:szCs w:val="22"/>
              </w:rPr>
            </w:pPr>
          </w:p>
        </w:tc>
        <w:tc>
          <w:tcPr>
            <w:tcW w:w="1043" w:type="pct"/>
            <w:vMerge/>
            <w:vAlign w:val="center"/>
          </w:tcPr>
          <w:p w:rsidR="003D1752" w:rsidRPr="003D1752" w:rsidRDefault="003D1752" w:rsidP="003D1752">
            <w:pPr>
              <w:pStyle w:val="Default"/>
              <w:rPr>
                <w:sz w:val="22"/>
                <w:szCs w:val="22"/>
              </w:rPr>
            </w:pPr>
          </w:p>
        </w:tc>
        <w:tc>
          <w:tcPr>
            <w:tcW w:w="731" w:type="pct"/>
            <w:vMerge/>
            <w:vAlign w:val="center"/>
          </w:tcPr>
          <w:p w:rsidR="003D1752" w:rsidRPr="003D1752" w:rsidRDefault="003D1752" w:rsidP="003D1752">
            <w:pPr>
              <w:pStyle w:val="Default"/>
              <w:rPr>
                <w:sz w:val="22"/>
                <w:szCs w:val="22"/>
              </w:rPr>
            </w:pPr>
          </w:p>
        </w:tc>
        <w:tc>
          <w:tcPr>
            <w:tcW w:w="584" w:type="pct"/>
            <w:vAlign w:val="center"/>
          </w:tcPr>
          <w:p w:rsidR="003D1752" w:rsidRPr="003D1752" w:rsidRDefault="003D1752" w:rsidP="003D1752">
            <w:pPr>
              <w:pStyle w:val="Default"/>
              <w:rPr>
                <w:sz w:val="20"/>
                <w:szCs w:val="20"/>
              </w:rPr>
            </w:pPr>
            <w:r w:rsidRPr="003D1752">
              <w:rPr>
                <w:sz w:val="20"/>
                <w:szCs w:val="20"/>
              </w:rPr>
              <w:t>Ēku renovācija</w:t>
            </w:r>
          </w:p>
        </w:tc>
        <w:tc>
          <w:tcPr>
            <w:tcW w:w="744" w:type="pct"/>
            <w:vAlign w:val="center"/>
          </w:tcPr>
          <w:p w:rsidR="003D1752" w:rsidRPr="003D1752" w:rsidRDefault="003D1752" w:rsidP="003D1752">
            <w:pPr>
              <w:pStyle w:val="Default"/>
              <w:rPr>
                <w:sz w:val="20"/>
                <w:szCs w:val="20"/>
              </w:rPr>
            </w:pPr>
            <w:r w:rsidRPr="003D1752">
              <w:rPr>
                <w:sz w:val="20"/>
                <w:szCs w:val="20"/>
              </w:rPr>
              <w:t>Aprīkojuma modernizācija</w:t>
            </w:r>
          </w:p>
        </w:tc>
      </w:tr>
      <w:tr w:rsidR="00712F57" w:rsidRPr="003D1752" w:rsidTr="00B81F3B">
        <w:tc>
          <w:tcPr>
            <w:tcW w:w="436" w:type="pct"/>
            <w:vMerge w:val="restart"/>
          </w:tcPr>
          <w:p w:rsidR="00712F57" w:rsidRPr="00B50160" w:rsidRDefault="00712F57" w:rsidP="00EF5D39">
            <w:pPr>
              <w:pStyle w:val="Default"/>
              <w:jc w:val="both"/>
              <w:rPr>
                <w:sz w:val="22"/>
                <w:szCs w:val="22"/>
              </w:rPr>
            </w:pPr>
            <w:r w:rsidRPr="00B50160">
              <w:rPr>
                <w:sz w:val="22"/>
                <w:szCs w:val="22"/>
              </w:rPr>
              <w:t>1.</w:t>
            </w:r>
          </w:p>
        </w:tc>
        <w:tc>
          <w:tcPr>
            <w:tcW w:w="767" w:type="pct"/>
            <w:vMerge w:val="restart"/>
          </w:tcPr>
          <w:p w:rsidR="00712F57" w:rsidRPr="00B50160" w:rsidRDefault="00712F57" w:rsidP="00EF5D39">
            <w:pPr>
              <w:pStyle w:val="Default"/>
              <w:jc w:val="both"/>
              <w:rPr>
                <w:sz w:val="22"/>
                <w:szCs w:val="22"/>
              </w:rPr>
            </w:pPr>
            <w:r w:rsidRPr="00B50160">
              <w:rPr>
                <w:color w:val="auto"/>
                <w:sz w:val="22"/>
                <w:szCs w:val="22"/>
              </w:rPr>
              <w:t>JAK</w:t>
            </w:r>
          </w:p>
        </w:tc>
        <w:tc>
          <w:tcPr>
            <w:tcW w:w="695" w:type="pct"/>
            <w:vMerge w:val="restart"/>
          </w:tcPr>
          <w:p w:rsidR="00712F57" w:rsidRPr="00B50160" w:rsidRDefault="00712F57" w:rsidP="00EF5D39">
            <w:pPr>
              <w:pStyle w:val="Default"/>
              <w:jc w:val="both"/>
              <w:rPr>
                <w:sz w:val="22"/>
                <w:szCs w:val="22"/>
              </w:rPr>
            </w:pPr>
            <w:r w:rsidRPr="00B50160">
              <w:rPr>
                <w:sz w:val="22"/>
                <w:szCs w:val="22"/>
              </w:rPr>
              <w:t>Zemgale</w:t>
            </w:r>
          </w:p>
        </w:tc>
        <w:tc>
          <w:tcPr>
            <w:tcW w:w="1043" w:type="pct"/>
            <w:shd w:val="clear" w:color="auto" w:fill="auto"/>
          </w:tcPr>
          <w:p w:rsidR="00712F57" w:rsidRPr="001064B3" w:rsidRDefault="00712F57" w:rsidP="00F139B9">
            <w:pPr>
              <w:rPr>
                <w:rFonts w:eastAsia="Calibri"/>
                <w:color w:val="000000"/>
                <w:sz w:val="22"/>
                <w:szCs w:val="22"/>
                <w:lang w:eastAsia="lv-LV"/>
              </w:rPr>
            </w:pPr>
            <w:r w:rsidRPr="001064B3">
              <w:rPr>
                <w:rFonts w:eastAsia="Calibri"/>
                <w:color w:val="000000"/>
                <w:sz w:val="22"/>
                <w:szCs w:val="22"/>
                <w:lang w:eastAsia="lv-LV"/>
              </w:rPr>
              <w:t>Datorsistēmu un datortīkla administrēšana</w:t>
            </w:r>
          </w:p>
        </w:tc>
        <w:tc>
          <w:tcPr>
            <w:tcW w:w="731" w:type="pct"/>
          </w:tcPr>
          <w:p w:rsidR="00712F57" w:rsidRPr="00B50160" w:rsidRDefault="00712F57" w:rsidP="00EF5D39">
            <w:pPr>
              <w:pStyle w:val="Default"/>
              <w:jc w:val="both"/>
              <w:rPr>
                <w:sz w:val="22"/>
                <w:szCs w:val="22"/>
              </w:rPr>
            </w:pPr>
            <w:r w:rsidRPr="00B50160">
              <w:rPr>
                <w:sz w:val="22"/>
                <w:szCs w:val="22"/>
              </w:rPr>
              <w:t>41481</w:t>
            </w:r>
          </w:p>
        </w:tc>
        <w:tc>
          <w:tcPr>
            <w:tcW w:w="584" w:type="pct"/>
          </w:tcPr>
          <w:p w:rsidR="00712F57" w:rsidRPr="00B50160" w:rsidRDefault="00B50160" w:rsidP="00B50160">
            <w:pPr>
              <w:pStyle w:val="Default"/>
              <w:jc w:val="center"/>
              <w:rPr>
                <w:sz w:val="22"/>
                <w:szCs w:val="22"/>
              </w:rPr>
            </w:pPr>
            <w:r>
              <w:rPr>
                <w:sz w:val="22"/>
                <w:szCs w:val="22"/>
              </w:rPr>
              <w:t>X</w:t>
            </w:r>
          </w:p>
        </w:tc>
        <w:tc>
          <w:tcPr>
            <w:tcW w:w="744" w:type="pct"/>
          </w:tcPr>
          <w:p w:rsidR="00712F57"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vMerge/>
          </w:tcPr>
          <w:p w:rsidR="00B50160" w:rsidRPr="00B50160" w:rsidRDefault="00B50160" w:rsidP="00EF5D39">
            <w:pPr>
              <w:pStyle w:val="Default"/>
              <w:jc w:val="both"/>
              <w:rPr>
                <w:sz w:val="22"/>
                <w:szCs w:val="22"/>
              </w:rPr>
            </w:pPr>
          </w:p>
        </w:tc>
        <w:tc>
          <w:tcPr>
            <w:tcW w:w="1043" w:type="pct"/>
            <w:shd w:val="clear" w:color="auto" w:fill="auto"/>
          </w:tcPr>
          <w:p w:rsidR="00B50160" w:rsidRPr="001064B3" w:rsidRDefault="00B50160" w:rsidP="00EF5D39">
            <w:pPr>
              <w:pStyle w:val="Default"/>
              <w:jc w:val="both"/>
              <w:rPr>
                <w:sz w:val="22"/>
                <w:szCs w:val="22"/>
              </w:rPr>
            </w:pPr>
            <w:r w:rsidRPr="001064B3">
              <w:rPr>
                <w:sz w:val="22"/>
                <w:szCs w:val="22"/>
              </w:rPr>
              <w:t>Datorsistēmas</w:t>
            </w:r>
          </w:p>
        </w:tc>
        <w:tc>
          <w:tcPr>
            <w:tcW w:w="731" w:type="pct"/>
          </w:tcPr>
          <w:p w:rsidR="00B50160" w:rsidRPr="00B50160" w:rsidRDefault="00B50160" w:rsidP="00EF5D39">
            <w:pPr>
              <w:pStyle w:val="Default"/>
              <w:jc w:val="both"/>
              <w:rPr>
                <w:sz w:val="22"/>
                <w:szCs w:val="22"/>
              </w:rPr>
            </w:pPr>
            <w:r w:rsidRPr="00B50160">
              <w:rPr>
                <w:sz w:val="22"/>
                <w:szCs w:val="22"/>
              </w:rPr>
              <w:t>3348101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vMerge/>
          </w:tcPr>
          <w:p w:rsidR="00B50160" w:rsidRPr="00B50160" w:rsidRDefault="00B50160" w:rsidP="00EF5D39">
            <w:pPr>
              <w:pStyle w:val="Default"/>
              <w:jc w:val="both"/>
              <w:rPr>
                <w:sz w:val="22"/>
                <w:szCs w:val="22"/>
              </w:rPr>
            </w:pPr>
          </w:p>
        </w:tc>
        <w:tc>
          <w:tcPr>
            <w:tcW w:w="1043" w:type="pct"/>
            <w:shd w:val="clear" w:color="auto" w:fill="auto"/>
          </w:tcPr>
          <w:p w:rsidR="00B50160" w:rsidRPr="001064B3" w:rsidRDefault="00B50160" w:rsidP="00DE006E">
            <w:pPr>
              <w:pStyle w:val="Default"/>
              <w:jc w:val="both"/>
              <w:rPr>
                <w:sz w:val="22"/>
                <w:szCs w:val="22"/>
              </w:rPr>
            </w:pPr>
            <w:r w:rsidRPr="001064B3">
              <w:rPr>
                <w:sz w:val="22"/>
                <w:szCs w:val="22"/>
              </w:rPr>
              <w:t>Programmēšana</w:t>
            </w:r>
          </w:p>
        </w:tc>
        <w:tc>
          <w:tcPr>
            <w:tcW w:w="731" w:type="pct"/>
          </w:tcPr>
          <w:p w:rsidR="00B50160" w:rsidRPr="00B50160" w:rsidRDefault="00B50160" w:rsidP="00EF5D39">
            <w:pPr>
              <w:pStyle w:val="Default"/>
              <w:jc w:val="both"/>
              <w:rPr>
                <w:sz w:val="22"/>
                <w:szCs w:val="22"/>
              </w:rPr>
            </w:pPr>
            <w:r w:rsidRPr="00B50160">
              <w:rPr>
                <w:sz w:val="22"/>
                <w:szCs w:val="22"/>
              </w:rPr>
              <w:t>3348103</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val="restart"/>
          </w:tcPr>
          <w:p w:rsidR="00B50160" w:rsidRPr="00B50160" w:rsidRDefault="00B50160" w:rsidP="00EF5D39">
            <w:pPr>
              <w:pStyle w:val="Default"/>
              <w:jc w:val="both"/>
              <w:rPr>
                <w:sz w:val="22"/>
                <w:szCs w:val="22"/>
              </w:rPr>
            </w:pPr>
            <w:r w:rsidRPr="00B50160">
              <w:rPr>
                <w:sz w:val="22"/>
                <w:szCs w:val="22"/>
              </w:rPr>
              <w:t>2.</w:t>
            </w:r>
          </w:p>
        </w:tc>
        <w:tc>
          <w:tcPr>
            <w:tcW w:w="767" w:type="pct"/>
            <w:vMerge w:val="restart"/>
          </w:tcPr>
          <w:p w:rsidR="00B50160" w:rsidRPr="00B50160" w:rsidRDefault="00B50160" w:rsidP="00EF5D39">
            <w:pPr>
              <w:pStyle w:val="Default"/>
              <w:jc w:val="both"/>
              <w:rPr>
                <w:sz w:val="22"/>
                <w:szCs w:val="22"/>
              </w:rPr>
            </w:pPr>
            <w:r w:rsidRPr="00B50160">
              <w:rPr>
                <w:color w:val="auto"/>
                <w:sz w:val="22"/>
                <w:szCs w:val="22"/>
              </w:rPr>
              <w:t>LJK</w:t>
            </w:r>
          </w:p>
        </w:tc>
        <w:tc>
          <w:tcPr>
            <w:tcW w:w="695" w:type="pct"/>
            <w:vMerge w:val="restart"/>
          </w:tcPr>
          <w:p w:rsidR="00B50160" w:rsidRPr="00B50160" w:rsidRDefault="00B50160" w:rsidP="00F139B9">
            <w:pPr>
              <w:rPr>
                <w:rFonts w:eastAsia="Calibri"/>
                <w:color w:val="000000"/>
                <w:sz w:val="22"/>
                <w:szCs w:val="22"/>
                <w:lang w:eastAsia="lv-LV"/>
              </w:rPr>
            </w:pPr>
            <w:r w:rsidRPr="00B50160">
              <w:rPr>
                <w:rFonts w:eastAsia="Calibri"/>
                <w:color w:val="000000"/>
                <w:sz w:val="22"/>
                <w:szCs w:val="22"/>
                <w:lang w:eastAsia="lv-LV"/>
              </w:rPr>
              <w:t>Kurzeme</w:t>
            </w:r>
          </w:p>
          <w:p w:rsidR="00B50160" w:rsidRPr="00B50160" w:rsidRDefault="00B50160" w:rsidP="00EF5D39">
            <w:pPr>
              <w:pStyle w:val="Default"/>
              <w:jc w:val="both"/>
              <w:rPr>
                <w:sz w:val="22"/>
                <w:szCs w:val="22"/>
              </w:rPr>
            </w:pPr>
          </w:p>
        </w:tc>
        <w:tc>
          <w:tcPr>
            <w:tcW w:w="1043" w:type="pct"/>
            <w:shd w:val="clear" w:color="auto" w:fill="auto"/>
          </w:tcPr>
          <w:p w:rsidR="00B50160" w:rsidRPr="001064B3" w:rsidRDefault="00B50160" w:rsidP="006E1352">
            <w:pPr>
              <w:pStyle w:val="Default"/>
              <w:jc w:val="both"/>
              <w:rPr>
                <w:sz w:val="22"/>
                <w:szCs w:val="22"/>
              </w:rPr>
            </w:pPr>
            <w:r w:rsidRPr="001064B3">
              <w:rPr>
                <w:sz w:val="22"/>
                <w:szCs w:val="22"/>
              </w:rPr>
              <w:t xml:space="preserve">Jūras transports-kuģa mehāniķis </w:t>
            </w:r>
          </w:p>
        </w:tc>
        <w:tc>
          <w:tcPr>
            <w:tcW w:w="731" w:type="pct"/>
          </w:tcPr>
          <w:p w:rsidR="00B50160" w:rsidRPr="00B50160" w:rsidRDefault="00B50160" w:rsidP="00EF5D39">
            <w:pPr>
              <w:pStyle w:val="Default"/>
              <w:jc w:val="both"/>
              <w:rPr>
                <w:sz w:val="22"/>
                <w:szCs w:val="22"/>
              </w:rPr>
            </w:pPr>
            <w:r w:rsidRPr="00B50160">
              <w:rPr>
                <w:sz w:val="22"/>
                <w:szCs w:val="22"/>
              </w:rPr>
              <w:t>41525</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vMerge/>
          </w:tcPr>
          <w:p w:rsidR="00B50160" w:rsidRPr="00B50160" w:rsidRDefault="00B50160" w:rsidP="00EF5D39">
            <w:pPr>
              <w:pStyle w:val="Default"/>
              <w:jc w:val="both"/>
              <w:rPr>
                <w:sz w:val="22"/>
                <w:szCs w:val="22"/>
              </w:rPr>
            </w:pPr>
          </w:p>
        </w:tc>
        <w:tc>
          <w:tcPr>
            <w:tcW w:w="1043" w:type="pct"/>
            <w:shd w:val="clear" w:color="auto" w:fill="auto"/>
          </w:tcPr>
          <w:p w:rsidR="00B50160" w:rsidRPr="001064B3" w:rsidRDefault="00B50160" w:rsidP="006E1352">
            <w:pPr>
              <w:pStyle w:val="Default"/>
              <w:jc w:val="both"/>
              <w:rPr>
                <w:sz w:val="22"/>
                <w:szCs w:val="22"/>
              </w:rPr>
            </w:pPr>
            <w:r w:rsidRPr="001064B3">
              <w:rPr>
                <w:sz w:val="22"/>
                <w:szCs w:val="22"/>
              </w:rPr>
              <w:t xml:space="preserve">Kuģa mehāniķis </w:t>
            </w:r>
          </w:p>
        </w:tc>
        <w:tc>
          <w:tcPr>
            <w:tcW w:w="731" w:type="pct"/>
          </w:tcPr>
          <w:p w:rsidR="00B50160" w:rsidRPr="00B50160" w:rsidRDefault="00B50160" w:rsidP="006E1352">
            <w:pPr>
              <w:pStyle w:val="Default"/>
              <w:jc w:val="both"/>
              <w:rPr>
                <w:sz w:val="22"/>
                <w:szCs w:val="22"/>
              </w:rPr>
            </w:pPr>
            <w:r w:rsidRPr="00B50160">
              <w:rPr>
                <w:sz w:val="22"/>
                <w:szCs w:val="22"/>
              </w:rPr>
              <w:t>41525</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vMerge/>
          </w:tcPr>
          <w:p w:rsidR="00B50160" w:rsidRPr="00B50160" w:rsidRDefault="00B50160" w:rsidP="000200F2">
            <w:pPr>
              <w:rPr>
                <w:rFonts w:eastAsia="Calibri"/>
                <w:color w:val="000000"/>
                <w:sz w:val="22"/>
                <w:szCs w:val="22"/>
                <w:lang w:eastAsia="lv-LV"/>
              </w:rPr>
            </w:pPr>
          </w:p>
        </w:tc>
        <w:tc>
          <w:tcPr>
            <w:tcW w:w="1043" w:type="pct"/>
            <w:shd w:val="clear" w:color="auto" w:fill="auto"/>
          </w:tcPr>
          <w:p w:rsidR="00B50160" w:rsidRPr="001064B3" w:rsidRDefault="00B50160" w:rsidP="000200F2">
            <w:pPr>
              <w:rPr>
                <w:rFonts w:eastAsia="Calibri"/>
                <w:color w:val="000000"/>
                <w:sz w:val="22"/>
                <w:szCs w:val="22"/>
                <w:lang w:eastAsia="lv-LV"/>
              </w:rPr>
            </w:pPr>
            <w:r w:rsidRPr="001064B3">
              <w:rPr>
                <w:rFonts w:eastAsia="Calibri"/>
                <w:color w:val="000000"/>
                <w:sz w:val="22"/>
                <w:szCs w:val="22"/>
                <w:lang w:eastAsia="lv-LV"/>
              </w:rPr>
              <w:t>Jūras transports</w:t>
            </w:r>
          </w:p>
        </w:tc>
        <w:tc>
          <w:tcPr>
            <w:tcW w:w="731" w:type="pct"/>
          </w:tcPr>
          <w:p w:rsidR="00B50160" w:rsidRPr="00B50160" w:rsidRDefault="00B50160" w:rsidP="00EF5D39">
            <w:pPr>
              <w:pStyle w:val="Default"/>
              <w:jc w:val="both"/>
              <w:rPr>
                <w:sz w:val="22"/>
                <w:szCs w:val="22"/>
              </w:rPr>
            </w:pPr>
            <w:r w:rsidRPr="00B50160">
              <w:rPr>
                <w:sz w:val="22"/>
                <w:szCs w:val="22"/>
              </w:rPr>
              <w:t>3352506</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7E7FAA" w:rsidRPr="003D1752" w:rsidTr="00B81F3B">
        <w:tc>
          <w:tcPr>
            <w:tcW w:w="436" w:type="pct"/>
            <w:vMerge w:val="restart"/>
          </w:tcPr>
          <w:p w:rsidR="007E7FAA" w:rsidRPr="00B50160" w:rsidRDefault="007E7FAA" w:rsidP="00EF5D39">
            <w:pPr>
              <w:pStyle w:val="Default"/>
              <w:jc w:val="both"/>
              <w:rPr>
                <w:sz w:val="22"/>
                <w:szCs w:val="22"/>
              </w:rPr>
            </w:pPr>
            <w:r w:rsidRPr="00B50160">
              <w:rPr>
                <w:sz w:val="22"/>
                <w:szCs w:val="22"/>
              </w:rPr>
              <w:t>3.</w:t>
            </w:r>
          </w:p>
        </w:tc>
        <w:tc>
          <w:tcPr>
            <w:tcW w:w="767" w:type="pct"/>
            <w:vMerge w:val="restart"/>
          </w:tcPr>
          <w:p w:rsidR="007E7FAA" w:rsidRPr="00B50160" w:rsidRDefault="007E7FAA" w:rsidP="00EF5D39">
            <w:pPr>
              <w:pStyle w:val="Default"/>
              <w:jc w:val="both"/>
              <w:rPr>
                <w:sz w:val="22"/>
                <w:szCs w:val="22"/>
              </w:rPr>
            </w:pPr>
            <w:r w:rsidRPr="00B50160">
              <w:rPr>
                <w:sz w:val="22"/>
                <w:szCs w:val="22"/>
              </w:rPr>
              <w:t>MK</w:t>
            </w:r>
          </w:p>
        </w:tc>
        <w:tc>
          <w:tcPr>
            <w:tcW w:w="695" w:type="pct"/>
            <w:vMerge w:val="restart"/>
          </w:tcPr>
          <w:p w:rsidR="007E7FAA" w:rsidRPr="00B50160" w:rsidRDefault="007E7FAA" w:rsidP="000200F2">
            <w:pPr>
              <w:rPr>
                <w:rFonts w:eastAsia="Calibri"/>
                <w:color w:val="000000"/>
                <w:sz w:val="22"/>
                <w:szCs w:val="22"/>
                <w:lang w:eastAsia="lv-LV"/>
              </w:rPr>
            </w:pPr>
            <w:r w:rsidRPr="00B50160">
              <w:rPr>
                <w:rFonts w:eastAsia="Calibri"/>
                <w:color w:val="000000"/>
                <w:sz w:val="22"/>
                <w:szCs w:val="22"/>
                <w:lang w:eastAsia="lv-LV"/>
              </w:rPr>
              <w:t>Latgale</w:t>
            </w:r>
          </w:p>
        </w:tc>
        <w:tc>
          <w:tcPr>
            <w:tcW w:w="1043" w:type="pct"/>
            <w:shd w:val="clear" w:color="auto" w:fill="auto"/>
          </w:tcPr>
          <w:p w:rsidR="007E7FAA" w:rsidRPr="001064B3" w:rsidRDefault="007E7FAA" w:rsidP="000200F2">
            <w:pPr>
              <w:rPr>
                <w:sz w:val="22"/>
                <w:szCs w:val="22"/>
              </w:rPr>
            </w:pPr>
            <w:r w:rsidRPr="001064B3">
              <w:rPr>
                <w:rFonts w:eastAsia="Calibri"/>
                <w:color w:val="000000"/>
                <w:sz w:val="22"/>
                <w:szCs w:val="22"/>
                <w:lang w:eastAsia="lv-LV"/>
              </w:rPr>
              <w:t>Autotransports</w:t>
            </w:r>
          </w:p>
        </w:tc>
        <w:tc>
          <w:tcPr>
            <w:tcW w:w="731" w:type="pct"/>
          </w:tcPr>
          <w:p w:rsidR="007E7FAA" w:rsidRPr="00B50160" w:rsidRDefault="007E7FAA" w:rsidP="00EF5D39">
            <w:pPr>
              <w:pStyle w:val="Default"/>
              <w:jc w:val="both"/>
              <w:rPr>
                <w:sz w:val="22"/>
                <w:szCs w:val="22"/>
              </w:rPr>
            </w:pPr>
            <w:r w:rsidRPr="00B50160">
              <w:rPr>
                <w:sz w:val="22"/>
                <w:szCs w:val="22"/>
              </w:rPr>
              <w:t>41525</w:t>
            </w:r>
          </w:p>
        </w:tc>
        <w:tc>
          <w:tcPr>
            <w:tcW w:w="584" w:type="pct"/>
          </w:tcPr>
          <w:p w:rsidR="007E7FAA" w:rsidRPr="00B50160" w:rsidRDefault="007E7FAA" w:rsidP="00B50160">
            <w:pPr>
              <w:pStyle w:val="Default"/>
              <w:jc w:val="center"/>
              <w:rPr>
                <w:sz w:val="22"/>
                <w:szCs w:val="22"/>
              </w:rPr>
            </w:pPr>
            <w:r>
              <w:rPr>
                <w:sz w:val="22"/>
                <w:szCs w:val="22"/>
              </w:rPr>
              <w:t>X</w:t>
            </w:r>
          </w:p>
        </w:tc>
        <w:tc>
          <w:tcPr>
            <w:tcW w:w="744" w:type="pct"/>
          </w:tcPr>
          <w:p w:rsidR="007E7FAA" w:rsidRPr="00B50160" w:rsidRDefault="007E7FAA" w:rsidP="00B50160">
            <w:pPr>
              <w:pStyle w:val="Default"/>
              <w:jc w:val="center"/>
              <w:rPr>
                <w:sz w:val="22"/>
                <w:szCs w:val="22"/>
              </w:rPr>
            </w:pPr>
            <w:r>
              <w:rPr>
                <w:sz w:val="22"/>
                <w:szCs w:val="22"/>
              </w:rPr>
              <w:t>X</w:t>
            </w:r>
          </w:p>
        </w:tc>
      </w:tr>
      <w:tr w:rsidR="007E7FAA" w:rsidRPr="003D1752" w:rsidTr="00B81F3B">
        <w:tc>
          <w:tcPr>
            <w:tcW w:w="436" w:type="pct"/>
            <w:vMerge/>
          </w:tcPr>
          <w:p w:rsidR="007E7FAA" w:rsidRPr="00B50160" w:rsidRDefault="007E7FAA" w:rsidP="00EF5D39">
            <w:pPr>
              <w:pStyle w:val="Default"/>
              <w:jc w:val="both"/>
              <w:rPr>
                <w:sz w:val="22"/>
                <w:szCs w:val="22"/>
              </w:rPr>
            </w:pPr>
          </w:p>
        </w:tc>
        <w:tc>
          <w:tcPr>
            <w:tcW w:w="767" w:type="pct"/>
            <w:vMerge/>
          </w:tcPr>
          <w:p w:rsidR="007E7FAA" w:rsidRPr="00B50160" w:rsidRDefault="007E7FAA" w:rsidP="00EF5D39">
            <w:pPr>
              <w:pStyle w:val="Default"/>
              <w:jc w:val="both"/>
              <w:rPr>
                <w:sz w:val="22"/>
                <w:szCs w:val="22"/>
              </w:rPr>
            </w:pPr>
          </w:p>
        </w:tc>
        <w:tc>
          <w:tcPr>
            <w:tcW w:w="695" w:type="pct"/>
            <w:vMerge/>
          </w:tcPr>
          <w:p w:rsidR="007E7FAA" w:rsidRPr="00B50160" w:rsidRDefault="007E7FAA" w:rsidP="000200F2">
            <w:pPr>
              <w:rPr>
                <w:rFonts w:eastAsia="Calibri"/>
                <w:color w:val="000000"/>
                <w:sz w:val="22"/>
                <w:szCs w:val="22"/>
                <w:lang w:eastAsia="lv-LV"/>
              </w:rPr>
            </w:pPr>
          </w:p>
        </w:tc>
        <w:tc>
          <w:tcPr>
            <w:tcW w:w="1043" w:type="pct"/>
            <w:shd w:val="clear" w:color="auto" w:fill="auto"/>
          </w:tcPr>
          <w:p w:rsidR="007E7FAA" w:rsidRPr="001064B3" w:rsidRDefault="007E7FAA" w:rsidP="000200F2">
            <w:pPr>
              <w:rPr>
                <w:rFonts w:eastAsia="Calibri"/>
                <w:color w:val="000000"/>
                <w:sz w:val="22"/>
                <w:szCs w:val="22"/>
                <w:lang w:eastAsia="lv-LV"/>
              </w:rPr>
            </w:pPr>
            <w:r w:rsidRPr="001064B3">
              <w:rPr>
                <w:rFonts w:eastAsia="Calibri"/>
                <w:color w:val="000000"/>
                <w:sz w:val="22"/>
                <w:szCs w:val="22"/>
                <w:lang w:eastAsia="lv-LV"/>
              </w:rPr>
              <w:t>Autotransports</w:t>
            </w:r>
          </w:p>
        </w:tc>
        <w:tc>
          <w:tcPr>
            <w:tcW w:w="731" w:type="pct"/>
          </w:tcPr>
          <w:p w:rsidR="007E7FAA" w:rsidRPr="00B50160" w:rsidRDefault="007E7FAA" w:rsidP="00EF5D39">
            <w:pPr>
              <w:pStyle w:val="Default"/>
              <w:jc w:val="both"/>
              <w:rPr>
                <w:sz w:val="22"/>
                <w:szCs w:val="22"/>
              </w:rPr>
            </w:pPr>
            <w:r w:rsidRPr="00B50160">
              <w:rPr>
                <w:sz w:val="22"/>
                <w:szCs w:val="22"/>
              </w:rPr>
              <w:t>33525011</w:t>
            </w:r>
          </w:p>
        </w:tc>
        <w:tc>
          <w:tcPr>
            <w:tcW w:w="584" w:type="pct"/>
          </w:tcPr>
          <w:p w:rsidR="007E7FAA" w:rsidRPr="00B50160" w:rsidRDefault="007E7FAA" w:rsidP="00B50160">
            <w:pPr>
              <w:pStyle w:val="Default"/>
              <w:jc w:val="center"/>
              <w:rPr>
                <w:sz w:val="22"/>
                <w:szCs w:val="22"/>
              </w:rPr>
            </w:pPr>
            <w:r>
              <w:rPr>
                <w:sz w:val="22"/>
                <w:szCs w:val="22"/>
              </w:rPr>
              <w:t>X</w:t>
            </w:r>
          </w:p>
        </w:tc>
        <w:tc>
          <w:tcPr>
            <w:tcW w:w="744" w:type="pct"/>
          </w:tcPr>
          <w:p w:rsidR="007E7FAA" w:rsidRPr="00B50160" w:rsidRDefault="007E7FAA" w:rsidP="00B50160">
            <w:pPr>
              <w:pStyle w:val="Default"/>
              <w:jc w:val="center"/>
              <w:rPr>
                <w:sz w:val="22"/>
                <w:szCs w:val="22"/>
              </w:rPr>
            </w:pPr>
            <w:r>
              <w:rPr>
                <w:sz w:val="22"/>
                <w:szCs w:val="22"/>
              </w:rPr>
              <w:t>X</w:t>
            </w:r>
          </w:p>
        </w:tc>
      </w:tr>
      <w:tr w:rsidR="007E7FAA" w:rsidRPr="003D1752" w:rsidTr="00B81F3B">
        <w:tc>
          <w:tcPr>
            <w:tcW w:w="436" w:type="pct"/>
            <w:vMerge/>
          </w:tcPr>
          <w:p w:rsidR="007E7FAA" w:rsidRPr="00B50160" w:rsidRDefault="007E7FAA" w:rsidP="00EF5D39">
            <w:pPr>
              <w:pStyle w:val="Default"/>
              <w:jc w:val="both"/>
              <w:rPr>
                <w:sz w:val="22"/>
                <w:szCs w:val="22"/>
              </w:rPr>
            </w:pPr>
          </w:p>
        </w:tc>
        <w:tc>
          <w:tcPr>
            <w:tcW w:w="767" w:type="pct"/>
            <w:vMerge/>
          </w:tcPr>
          <w:p w:rsidR="007E7FAA" w:rsidRPr="00B50160" w:rsidRDefault="007E7FAA" w:rsidP="00EF5D39">
            <w:pPr>
              <w:pStyle w:val="Default"/>
              <w:jc w:val="both"/>
              <w:rPr>
                <w:sz w:val="22"/>
                <w:szCs w:val="22"/>
              </w:rPr>
            </w:pPr>
          </w:p>
        </w:tc>
        <w:tc>
          <w:tcPr>
            <w:tcW w:w="695" w:type="pct"/>
            <w:vMerge/>
          </w:tcPr>
          <w:p w:rsidR="007E7FAA" w:rsidRPr="00B50160" w:rsidRDefault="007E7FAA" w:rsidP="000200F2">
            <w:pPr>
              <w:rPr>
                <w:rFonts w:eastAsia="Calibri"/>
                <w:color w:val="000000"/>
                <w:sz w:val="22"/>
                <w:szCs w:val="22"/>
                <w:lang w:eastAsia="lv-LV"/>
              </w:rPr>
            </w:pPr>
          </w:p>
        </w:tc>
        <w:tc>
          <w:tcPr>
            <w:tcW w:w="1043" w:type="pct"/>
            <w:shd w:val="clear" w:color="auto" w:fill="auto"/>
          </w:tcPr>
          <w:p w:rsidR="007E7FAA" w:rsidRPr="001064B3" w:rsidRDefault="007E7FAA" w:rsidP="000200F2">
            <w:pPr>
              <w:rPr>
                <w:rFonts w:eastAsia="Calibri"/>
                <w:color w:val="000000"/>
                <w:sz w:val="22"/>
                <w:szCs w:val="22"/>
                <w:lang w:eastAsia="lv-LV"/>
              </w:rPr>
            </w:pPr>
            <w:r w:rsidRPr="001064B3">
              <w:rPr>
                <w:rFonts w:eastAsia="Calibri"/>
                <w:color w:val="000000"/>
                <w:sz w:val="22"/>
                <w:szCs w:val="22"/>
                <w:lang w:eastAsia="lv-LV"/>
              </w:rPr>
              <w:t>Lauksaimniecības tehnika</w:t>
            </w:r>
          </w:p>
        </w:tc>
        <w:tc>
          <w:tcPr>
            <w:tcW w:w="731" w:type="pct"/>
          </w:tcPr>
          <w:p w:rsidR="007E7FAA" w:rsidRPr="00B50160" w:rsidRDefault="007E7FAA" w:rsidP="00EF5D39">
            <w:pPr>
              <w:pStyle w:val="Default"/>
              <w:jc w:val="both"/>
              <w:rPr>
                <w:sz w:val="22"/>
                <w:szCs w:val="22"/>
              </w:rPr>
            </w:pPr>
            <w:r w:rsidRPr="00B50160">
              <w:rPr>
                <w:sz w:val="22"/>
                <w:szCs w:val="22"/>
              </w:rPr>
              <w:t>33525071</w:t>
            </w:r>
          </w:p>
        </w:tc>
        <w:tc>
          <w:tcPr>
            <w:tcW w:w="584" w:type="pct"/>
          </w:tcPr>
          <w:p w:rsidR="007E7FAA" w:rsidRPr="00B50160" w:rsidRDefault="007E7FAA" w:rsidP="00B50160">
            <w:pPr>
              <w:pStyle w:val="Default"/>
              <w:jc w:val="center"/>
              <w:rPr>
                <w:sz w:val="22"/>
                <w:szCs w:val="22"/>
              </w:rPr>
            </w:pPr>
            <w:r>
              <w:rPr>
                <w:sz w:val="22"/>
                <w:szCs w:val="22"/>
              </w:rPr>
              <w:t>X</w:t>
            </w:r>
          </w:p>
        </w:tc>
        <w:tc>
          <w:tcPr>
            <w:tcW w:w="744" w:type="pct"/>
          </w:tcPr>
          <w:p w:rsidR="007E7FAA" w:rsidRPr="00B50160" w:rsidRDefault="007E7FAA" w:rsidP="00B50160">
            <w:pPr>
              <w:pStyle w:val="Default"/>
              <w:jc w:val="center"/>
              <w:rPr>
                <w:sz w:val="22"/>
                <w:szCs w:val="22"/>
              </w:rPr>
            </w:pPr>
            <w:r>
              <w:rPr>
                <w:sz w:val="22"/>
                <w:szCs w:val="22"/>
              </w:rPr>
              <w:t>X</w:t>
            </w:r>
          </w:p>
        </w:tc>
      </w:tr>
      <w:tr w:rsidR="007E7FAA" w:rsidRPr="003D1752" w:rsidTr="00B81F3B">
        <w:tc>
          <w:tcPr>
            <w:tcW w:w="436" w:type="pct"/>
            <w:vMerge/>
          </w:tcPr>
          <w:p w:rsidR="007E7FAA" w:rsidRPr="00B50160" w:rsidRDefault="007E7FAA" w:rsidP="00631042">
            <w:pPr>
              <w:pStyle w:val="Default"/>
              <w:jc w:val="both"/>
              <w:rPr>
                <w:sz w:val="22"/>
                <w:szCs w:val="22"/>
              </w:rPr>
            </w:pPr>
          </w:p>
        </w:tc>
        <w:tc>
          <w:tcPr>
            <w:tcW w:w="767" w:type="pct"/>
            <w:vMerge/>
          </w:tcPr>
          <w:p w:rsidR="007E7FAA" w:rsidRPr="00B50160" w:rsidRDefault="007E7FAA" w:rsidP="00631042">
            <w:pPr>
              <w:pStyle w:val="Default"/>
              <w:jc w:val="both"/>
              <w:rPr>
                <w:sz w:val="22"/>
                <w:szCs w:val="22"/>
              </w:rPr>
            </w:pPr>
          </w:p>
        </w:tc>
        <w:tc>
          <w:tcPr>
            <w:tcW w:w="695" w:type="pct"/>
            <w:vMerge/>
          </w:tcPr>
          <w:p w:rsidR="007E7FAA" w:rsidRPr="00B50160" w:rsidRDefault="007E7FAA" w:rsidP="00631042">
            <w:pPr>
              <w:rPr>
                <w:rFonts w:eastAsia="Calibri"/>
                <w:color w:val="000000"/>
                <w:sz w:val="22"/>
                <w:szCs w:val="22"/>
                <w:lang w:eastAsia="lv-LV"/>
              </w:rPr>
            </w:pPr>
          </w:p>
        </w:tc>
        <w:tc>
          <w:tcPr>
            <w:tcW w:w="1043" w:type="pct"/>
            <w:shd w:val="clear" w:color="auto" w:fill="auto"/>
          </w:tcPr>
          <w:p w:rsidR="007E7FAA" w:rsidRPr="001064B3" w:rsidRDefault="007E7FAA" w:rsidP="00631042">
            <w:pPr>
              <w:rPr>
                <w:rFonts w:eastAsia="Calibri"/>
                <w:color w:val="000000"/>
                <w:sz w:val="22"/>
                <w:szCs w:val="22"/>
                <w:lang w:eastAsia="lv-LV"/>
              </w:rPr>
            </w:pPr>
            <w:r>
              <w:rPr>
                <w:rFonts w:eastAsia="Calibri"/>
                <w:color w:val="000000"/>
                <w:sz w:val="22"/>
                <w:szCs w:val="22"/>
                <w:lang w:eastAsia="lv-LV"/>
              </w:rPr>
              <w:t>Uzņēmējdarbība lauksaimniecībā</w:t>
            </w:r>
          </w:p>
        </w:tc>
        <w:tc>
          <w:tcPr>
            <w:tcW w:w="731" w:type="pct"/>
          </w:tcPr>
          <w:p w:rsidR="007E7FAA" w:rsidRPr="00B50160" w:rsidRDefault="007E7FAA" w:rsidP="00631042">
            <w:pPr>
              <w:pStyle w:val="Default"/>
              <w:jc w:val="both"/>
              <w:rPr>
                <w:sz w:val="22"/>
                <w:szCs w:val="22"/>
              </w:rPr>
            </w:pPr>
            <w:r>
              <w:rPr>
                <w:sz w:val="22"/>
                <w:szCs w:val="22"/>
              </w:rPr>
              <w:t>41621</w:t>
            </w:r>
          </w:p>
        </w:tc>
        <w:tc>
          <w:tcPr>
            <w:tcW w:w="584" w:type="pct"/>
          </w:tcPr>
          <w:p w:rsidR="007E7FAA" w:rsidRDefault="007E7FAA" w:rsidP="00631042">
            <w:pPr>
              <w:pStyle w:val="Default"/>
              <w:jc w:val="center"/>
              <w:rPr>
                <w:sz w:val="22"/>
                <w:szCs w:val="22"/>
              </w:rPr>
            </w:pPr>
            <w:r>
              <w:rPr>
                <w:sz w:val="22"/>
                <w:szCs w:val="22"/>
              </w:rPr>
              <w:t>X</w:t>
            </w:r>
          </w:p>
        </w:tc>
        <w:tc>
          <w:tcPr>
            <w:tcW w:w="744" w:type="pct"/>
          </w:tcPr>
          <w:p w:rsidR="007E7FAA" w:rsidRDefault="007E7FAA" w:rsidP="00631042">
            <w:pPr>
              <w:pStyle w:val="Default"/>
              <w:jc w:val="center"/>
              <w:rPr>
                <w:sz w:val="22"/>
                <w:szCs w:val="22"/>
              </w:rPr>
            </w:pPr>
            <w:r>
              <w:rPr>
                <w:sz w:val="22"/>
                <w:szCs w:val="22"/>
              </w:rPr>
              <w:t>X</w:t>
            </w:r>
          </w:p>
        </w:tc>
      </w:tr>
      <w:tr w:rsidR="007E7FAA" w:rsidRPr="003D1752" w:rsidTr="00B81F3B">
        <w:tc>
          <w:tcPr>
            <w:tcW w:w="436" w:type="pct"/>
            <w:vMerge/>
          </w:tcPr>
          <w:p w:rsidR="007E7FAA" w:rsidRPr="00B50160" w:rsidRDefault="007E7FAA" w:rsidP="007E7FAA">
            <w:pPr>
              <w:pStyle w:val="Default"/>
              <w:jc w:val="both"/>
              <w:rPr>
                <w:sz w:val="22"/>
                <w:szCs w:val="22"/>
              </w:rPr>
            </w:pPr>
          </w:p>
        </w:tc>
        <w:tc>
          <w:tcPr>
            <w:tcW w:w="767" w:type="pct"/>
            <w:vMerge/>
          </w:tcPr>
          <w:p w:rsidR="007E7FAA" w:rsidRPr="00B50160" w:rsidRDefault="007E7FAA" w:rsidP="007E7FAA">
            <w:pPr>
              <w:pStyle w:val="Default"/>
              <w:jc w:val="both"/>
              <w:rPr>
                <w:sz w:val="22"/>
                <w:szCs w:val="22"/>
              </w:rPr>
            </w:pPr>
          </w:p>
        </w:tc>
        <w:tc>
          <w:tcPr>
            <w:tcW w:w="695" w:type="pct"/>
            <w:vMerge/>
          </w:tcPr>
          <w:p w:rsidR="007E7FAA" w:rsidRPr="00B50160" w:rsidRDefault="007E7FAA" w:rsidP="007E7FAA">
            <w:pPr>
              <w:rPr>
                <w:rFonts w:eastAsia="Calibri"/>
                <w:color w:val="000000"/>
                <w:sz w:val="22"/>
                <w:szCs w:val="22"/>
                <w:lang w:eastAsia="lv-LV"/>
              </w:rPr>
            </w:pPr>
          </w:p>
        </w:tc>
        <w:tc>
          <w:tcPr>
            <w:tcW w:w="1043" w:type="pct"/>
            <w:shd w:val="clear" w:color="auto" w:fill="auto"/>
          </w:tcPr>
          <w:p w:rsidR="007E7FAA" w:rsidRDefault="007E7FAA" w:rsidP="007E7FAA">
            <w:pPr>
              <w:rPr>
                <w:rFonts w:eastAsia="Calibri"/>
                <w:color w:val="000000"/>
                <w:sz w:val="22"/>
                <w:szCs w:val="22"/>
                <w:lang w:eastAsia="lv-LV"/>
              </w:rPr>
            </w:pPr>
            <w:r>
              <w:rPr>
                <w:rFonts w:eastAsia="Calibri"/>
                <w:color w:val="000000"/>
                <w:sz w:val="22"/>
                <w:szCs w:val="22"/>
                <w:lang w:eastAsia="lv-LV"/>
              </w:rPr>
              <w:t>Autotransports</w:t>
            </w:r>
          </w:p>
        </w:tc>
        <w:tc>
          <w:tcPr>
            <w:tcW w:w="731" w:type="pct"/>
          </w:tcPr>
          <w:p w:rsidR="007E7FAA" w:rsidRPr="00B50160" w:rsidRDefault="007E7FAA" w:rsidP="007E7FAA">
            <w:pPr>
              <w:pStyle w:val="Default"/>
              <w:jc w:val="both"/>
              <w:rPr>
                <w:sz w:val="22"/>
                <w:szCs w:val="22"/>
              </w:rPr>
            </w:pPr>
            <w:r>
              <w:rPr>
                <w:sz w:val="22"/>
                <w:szCs w:val="22"/>
              </w:rPr>
              <w:t>32a52501</w:t>
            </w:r>
          </w:p>
        </w:tc>
        <w:tc>
          <w:tcPr>
            <w:tcW w:w="584" w:type="pct"/>
          </w:tcPr>
          <w:p w:rsidR="007E7FAA" w:rsidRDefault="007E7FAA" w:rsidP="007E7FAA">
            <w:pPr>
              <w:pStyle w:val="Default"/>
              <w:jc w:val="center"/>
              <w:rPr>
                <w:sz w:val="22"/>
                <w:szCs w:val="22"/>
              </w:rPr>
            </w:pPr>
            <w:r>
              <w:rPr>
                <w:sz w:val="22"/>
                <w:szCs w:val="22"/>
              </w:rPr>
              <w:t>X</w:t>
            </w:r>
          </w:p>
        </w:tc>
        <w:tc>
          <w:tcPr>
            <w:tcW w:w="744" w:type="pct"/>
          </w:tcPr>
          <w:p w:rsidR="007E7FAA" w:rsidRDefault="007E7FAA" w:rsidP="007E7FAA">
            <w:pPr>
              <w:pStyle w:val="Default"/>
              <w:jc w:val="center"/>
              <w:rPr>
                <w:sz w:val="22"/>
                <w:szCs w:val="22"/>
              </w:rPr>
            </w:pPr>
            <w:r>
              <w:rPr>
                <w:sz w:val="22"/>
                <w:szCs w:val="22"/>
              </w:rPr>
              <w:t>X</w:t>
            </w:r>
          </w:p>
        </w:tc>
      </w:tr>
      <w:tr w:rsidR="007E7FAA" w:rsidRPr="003D1752" w:rsidTr="00B81F3B">
        <w:tc>
          <w:tcPr>
            <w:tcW w:w="436" w:type="pct"/>
            <w:vMerge/>
          </w:tcPr>
          <w:p w:rsidR="007E7FAA" w:rsidRPr="00B50160" w:rsidRDefault="007E7FAA" w:rsidP="007E7FAA">
            <w:pPr>
              <w:pStyle w:val="Default"/>
              <w:jc w:val="both"/>
              <w:rPr>
                <w:sz w:val="22"/>
                <w:szCs w:val="22"/>
              </w:rPr>
            </w:pPr>
          </w:p>
        </w:tc>
        <w:tc>
          <w:tcPr>
            <w:tcW w:w="767" w:type="pct"/>
            <w:vMerge/>
          </w:tcPr>
          <w:p w:rsidR="007E7FAA" w:rsidRPr="00B50160" w:rsidRDefault="007E7FAA" w:rsidP="007E7FAA">
            <w:pPr>
              <w:pStyle w:val="Default"/>
              <w:jc w:val="both"/>
              <w:rPr>
                <w:sz w:val="22"/>
                <w:szCs w:val="22"/>
              </w:rPr>
            </w:pPr>
          </w:p>
        </w:tc>
        <w:tc>
          <w:tcPr>
            <w:tcW w:w="695" w:type="pct"/>
            <w:vMerge/>
          </w:tcPr>
          <w:p w:rsidR="007E7FAA" w:rsidRPr="00B50160" w:rsidRDefault="007E7FAA" w:rsidP="007E7FAA">
            <w:pPr>
              <w:rPr>
                <w:rFonts w:eastAsia="Calibri"/>
                <w:color w:val="000000"/>
                <w:sz w:val="22"/>
                <w:szCs w:val="22"/>
                <w:lang w:eastAsia="lv-LV"/>
              </w:rPr>
            </w:pPr>
          </w:p>
        </w:tc>
        <w:tc>
          <w:tcPr>
            <w:tcW w:w="1043" w:type="pct"/>
            <w:shd w:val="clear" w:color="auto" w:fill="auto"/>
          </w:tcPr>
          <w:p w:rsidR="007E7FAA" w:rsidRDefault="007E7FAA" w:rsidP="007E7FAA">
            <w:pPr>
              <w:rPr>
                <w:rFonts w:eastAsia="Calibri"/>
                <w:color w:val="000000"/>
                <w:sz w:val="22"/>
                <w:szCs w:val="22"/>
                <w:lang w:eastAsia="lv-LV"/>
              </w:rPr>
            </w:pPr>
            <w:r>
              <w:rPr>
                <w:rFonts w:eastAsia="Calibri"/>
                <w:color w:val="000000"/>
                <w:sz w:val="22"/>
                <w:szCs w:val="22"/>
                <w:lang w:eastAsia="lv-LV"/>
              </w:rPr>
              <w:t>Lauksaimniecība</w:t>
            </w:r>
          </w:p>
        </w:tc>
        <w:tc>
          <w:tcPr>
            <w:tcW w:w="731" w:type="pct"/>
          </w:tcPr>
          <w:p w:rsidR="007E7FAA" w:rsidRPr="00B50160" w:rsidRDefault="007E7FAA" w:rsidP="007E7FAA">
            <w:pPr>
              <w:pStyle w:val="Default"/>
              <w:jc w:val="both"/>
              <w:rPr>
                <w:sz w:val="22"/>
                <w:szCs w:val="22"/>
              </w:rPr>
            </w:pPr>
            <w:r>
              <w:rPr>
                <w:sz w:val="22"/>
                <w:szCs w:val="22"/>
              </w:rPr>
              <w:t>3362100</w:t>
            </w:r>
          </w:p>
        </w:tc>
        <w:tc>
          <w:tcPr>
            <w:tcW w:w="584" w:type="pct"/>
          </w:tcPr>
          <w:p w:rsidR="007E7FAA" w:rsidRDefault="007E7FAA" w:rsidP="007E7FAA">
            <w:pPr>
              <w:pStyle w:val="Default"/>
              <w:jc w:val="center"/>
              <w:rPr>
                <w:sz w:val="22"/>
                <w:szCs w:val="22"/>
              </w:rPr>
            </w:pPr>
            <w:r>
              <w:rPr>
                <w:sz w:val="22"/>
                <w:szCs w:val="22"/>
              </w:rPr>
              <w:t>X</w:t>
            </w:r>
          </w:p>
        </w:tc>
        <w:tc>
          <w:tcPr>
            <w:tcW w:w="744" w:type="pct"/>
          </w:tcPr>
          <w:p w:rsidR="007E7FAA" w:rsidRDefault="007E7FAA" w:rsidP="007E7FAA">
            <w:pPr>
              <w:pStyle w:val="Default"/>
              <w:jc w:val="center"/>
              <w:rPr>
                <w:sz w:val="22"/>
                <w:szCs w:val="22"/>
              </w:rPr>
            </w:pPr>
            <w:r>
              <w:rPr>
                <w:sz w:val="22"/>
                <w:szCs w:val="22"/>
              </w:rPr>
              <w:t>X</w:t>
            </w:r>
          </w:p>
        </w:tc>
      </w:tr>
      <w:tr w:rsidR="007E7FAA" w:rsidRPr="003D1752" w:rsidTr="00B81F3B">
        <w:tc>
          <w:tcPr>
            <w:tcW w:w="436" w:type="pct"/>
            <w:vMerge/>
          </w:tcPr>
          <w:p w:rsidR="007E7FAA" w:rsidRPr="00B50160" w:rsidRDefault="007E7FAA" w:rsidP="007E7FAA">
            <w:pPr>
              <w:pStyle w:val="Default"/>
              <w:jc w:val="both"/>
              <w:rPr>
                <w:sz w:val="22"/>
                <w:szCs w:val="22"/>
              </w:rPr>
            </w:pPr>
          </w:p>
        </w:tc>
        <w:tc>
          <w:tcPr>
            <w:tcW w:w="767" w:type="pct"/>
            <w:vMerge/>
          </w:tcPr>
          <w:p w:rsidR="007E7FAA" w:rsidRPr="00B50160" w:rsidRDefault="007E7FAA" w:rsidP="007E7FAA">
            <w:pPr>
              <w:pStyle w:val="Default"/>
              <w:jc w:val="both"/>
              <w:rPr>
                <w:sz w:val="22"/>
                <w:szCs w:val="22"/>
              </w:rPr>
            </w:pPr>
          </w:p>
        </w:tc>
        <w:tc>
          <w:tcPr>
            <w:tcW w:w="695" w:type="pct"/>
            <w:vMerge/>
          </w:tcPr>
          <w:p w:rsidR="007E7FAA" w:rsidRPr="00B50160" w:rsidRDefault="007E7FAA" w:rsidP="007E7FAA">
            <w:pPr>
              <w:rPr>
                <w:rFonts w:eastAsia="Calibri"/>
                <w:color w:val="000000"/>
                <w:sz w:val="22"/>
                <w:szCs w:val="22"/>
                <w:lang w:eastAsia="lv-LV"/>
              </w:rPr>
            </w:pPr>
          </w:p>
        </w:tc>
        <w:tc>
          <w:tcPr>
            <w:tcW w:w="1043" w:type="pct"/>
            <w:shd w:val="clear" w:color="auto" w:fill="auto"/>
          </w:tcPr>
          <w:p w:rsidR="007E7FAA" w:rsidRDefault="007E7FAA" w:rsidP="007E7FAA">
            <w:pPr>
              <w:rPr>
                <w:rFonts w:eastAsia="Calibri"/>
                <w:color w:val="000000"/>
                <w:sz w:val="22"/>
                <w:szCs w:val="22"/>
                <w:lang w:eastAsia="lv-LV"/>
              </w:rPr>
            </w:pPr>
            <w:r>
              <w:rPr>
                <w:rFonts w:eastAsia="Calibri"/>
                <w:color w:val="000000"/>
                <w:sz w:val="22"/>
                <w:szCs w:val="22"/>
                <w:lang w:eastAsia="lv-LV"/>
              </w:rPr>
              <w:t>Lauksaimniecība</w:t>
            </w:r>
          </w:p>
        </w:tc>
        <w:tc>
          <w:tcPr>
            <w:tcW w:w="731" w:type="pct"/>
          </w:tcPr>
          <w:p w:rsidR="007E7FAA" w:rsidRPr="00B50160" w:rsidRDefault="007E7FAA" w:rsidP="007E7FAA">
            <w:pPr>
              <w:pStyle w:val="Default"/>
              <w:jc w:val="both"/>
              <w:rPr>
                <w:sz w:val="22"/>
                <w:szCs w:val="22"/>
              </w:rPr>
            </w:pPr>
            <w:r>
              <w:rPr>
                <w:sz w:val="22"/>
                <w:szCs w:val="22"/>
              </w:rPr>
              <w:t>3</w:t>
            </w:r>
            <w:r w:rsidR="00C60504">
              <w:rPr>
                <w:sz w:val="22"/>
                <w:szCs w:val="22"/>
              </w:rPr>
              <w:t>5</w:t>
            </w:r>
            <w:r>
              <w:rPr>
                <w:sz w:val="22"/>
                <w:szCs w:val="22"/>
              </w:rPr>
              <w:t>b62100</w:t>
            </w:r>
          </w:p>
        </w:tc>
        <w:tc>
          <w:tcPr>
            <w:tcW w:w="584" w:type="pct"/>
          </w:tcPr>
          <w:p w:rsidR="007E7FAA" w:rsidRDefault="007E7FAA" w:rsidP="007E7FAA">
            <w:pPr>
              <w:pStyle w:val="Default"/>
              <w:jc w:val="center"/>
              <w:rPr>
                <w:sz w:val="22"/>
                <w:szCs w:val="22"/>
              </w:rPr>
            </w:pPr>
            <w:r>
              <w:rPr>
                <w:sz w:val="22"/>
                <w:szCs w:val="22"/>
              </w:rPr>
              <w:t>X</w:t>
            </w:r>
          </w:p>
        </w:tc>
        <w:tc>
          <w:tcPr>
            <w:tcW w:w="744" w:type="pct"/>
          </w:tcPr>
          <w:p w:rsidR="007E7FAA" w:rsidRDefault="007E7FAA" w:rsidP="007E7FAA">
            <w:pPr>
              <w:pStyle w:val="Default"/>
              <w:jc w:val="center"/>
              <w:rPr>
                <w:sz w:val="22"/>
                <w:szCs w:val="22"/>
              </w:rPr>
            </w:pPr>
            <w:r>
              <w:rPr>
                <w:sz w:val="22"/>
                <w:szCs w:val="22"/>
              </w:rPr>
              <w:t>X</w:t>
            </w:r>
          </w:p>
        </w:tc>
      </w:tr>
      <w:tr w:rsidR="007E7FAA" w:rsidRPr="003D1752" w:rsidTr="00B81F3B">
        <w:tc>
          <w:tcPr>
            <w:tcW w:w="436" w:type="pct"/>
            <w:vMerge/>
          </w:tcPr>
          <w:p w:rsidR="007E7FAA" w:rsidRPr="00B50160" w:rsidRDefault="007E7FAA" w:rsidP="007E7FAA">
            <w:pPr>
              <w:pStyle w:val="Default"/>
              <w:jc w:val="both"/>
              <w:rPr>
                <w:sz w:val="22"/>
                <w:szCs w:val="22"/>
              </w:rPr>
            </w:pPr>
          </w:p>
        </w:tc>
        <w:tc>
          <w:tcPr>
            <w:tcW w:w="767" w:type="pct"/>
            <w:vMerge/>
          </w:tcPr>
          <w:p w:rsidR="007E7FAA" w:rsidRPr="00B50160" w:rsidRDefault="007E7FAA" w:rsidP="007E7FAA">
            <w:pPr>
              <w:pStyle w:val="Default"/>
              <w:jc w:val="both"/>
              <w:rPr>
                <w:sz w:val="22"/>
                <w:szCs w:val="22"/>
              </w:rPr>
            </w:pPr>
          </w:p>
        </w:tc>
        <w:tc>
          <w:tcPr>
            <w:tcW w:w="695" w:type="pct"/>
            <w:vMerge/>
          </w:tcPr>
          <w:p w:rsidR="007E7FAA" w:rsidRPr="00B50160" w:rsidRDefault="007E7FAA" w:rsidP="007E7FAA">
            <w:pPr>
              <w:rPr>
                <w:rFonts w:eastAsia="Calibri"/>
                <w:color w:val="000000"/>
                <w:sz w:val="22"/>
                <w:szCs w:val="22"/>
                <w:lang w:eastAsia="lv-LV"/>
              </w:rPr>
            </w:pPr>
          </w:p>
        </w:tc>
        <w:tc>
          <w:tcPr>
            <w:tcW w:w="1043" w:type="pct"/>
            <w:shd w:val="clear" w:color="auto" w:fill="auto"/>
          </w:tcPr>
          <w:p w:rsidR="007E7FAA" w:rsidRDefault="007E7FAA" w:rsidP="007E7FAA">
            <w:pPr>
              <w:rPr>
                <w:rFonts w:eastAsia="Calibri"/>
                <w:color w:val="000000"/>
                <w:sz w:val="22"/>
                <w:szCs w:val="22"/>
                <w:lang w:eastAsia="lv-LV"/>
              </w:rPr>
            </w:pPr>
            <w:r>
              <w:rPr>
                <w:rFonts w:eastAsia="Calibri"/>
                <w:color w:val="000000"/>
                <w:sz w:val="22"/>
                <w:szCs w:val="22"/>
                <w:lang w:eastAsia="lv-LV"/>
              </w:rPr>
              <w:t>Dārzkopība</w:t>
            </w:r>
          </w:p>
        </w:tc>
        <w:tc>
          <w:tcPr>
            <w:tcW w:w="731" w:type="pct"/>
          </w:tcPr>
          <w:p w:rsidR="007E7FAA" w:rsidRPr="00B50160" w:rsidRDefault="007E7FAA" w:rsidP="007E7FAA">
            <w:pPr>
              <w:pStyle w:val="Default"/>
              <w:jc w:val="both"/>
              <w:rPr>
                <w:sz w:val="22"/>
                <w:szCs w:val="22"/>
              </w:rPr>
            </w:pPr>
            <w:r>
              <w:rPr>
                <w:sz w:val="22"/>
                <w:szCs w:val="22"/>
              </w:rPr>
              <w:t>32a62200</w:t>
            </w:r>
          </w:p>
        </w:tc>
        <w:tc>
          <w:tcPr>
            <w:tcW w:w="584" w:type="pct"/>
          </w:tcPr>
          <w:p w:rsidR="007E7FAA" w:rsidRDefault="007E7FAA" w:rsidP="007E7FAA">
            <w:pPr>
              <w:pStyle w:val="Default"/>
              <w:jc w:val="center"/>
              <w:rPr>
                <w:sz w:val="22"/>
                <w:szCs w:val="22"/>
              </w:rPr>
            </w:pPr>
            <w:r>
              <w:rPr>
                <w:sz w:val="22"/>
                <w:szCs w:val="22"/>
              </w:rPr>
              <w:t>X</w:t>
            </w:r>
          </w:p>
        </w:tc>
        <w:tc>
          <w:tcPr>
            <w:tcW w:w="744" w:type="pct"/>
          </w:tcPr>
          <w:p w:rsidR="007E7FAA" w:rsidRDefault="007E7FAA" w:rsidP="007E7FAA">
            <w:pPr>
              <w:pStyle w:val="Default"/>
              <w:jc w:val="center"/>
              <w:rPr>
                <w:sz w:val="22"/>
                <w:szCs w:val="22"/>
              </w:rPr>
            </w:pPr>
            <w:r>
              <w:rPr>
                <w:sz w:val="22"/>
                <w:szCs w:val="22"/>
              </w:rPr>
              <w:t>X</w:t>
            </w:r>
          </w:p>
        </w:tc>
      </w:tr>
      <w:tr w:rsidR="00B50160" w:rsidRPr="003D1752" w:rsidTr="00B81F3B">
        <w:tc>
          <w:tcPr>
            <w:tcW w:w="436" w:type="pct"/>
            <w:vMerge w:val="restart"/>
          </w:tcPr>
          <w:p w:rsidR="00B50160" w:rsidRPr="00B50160" w:rsidRDefault="00B50160" w:rsidP="00EF5D39">
            <w:pPr>
              <w:pStyle w:val="Default"/>
              <w:jc w:val="both"/>
              <w:rPr>
                <w:sz w:val="22"/>
                <w:szCs w:val="22"/>
              </w:rPr>
            </w:pPr>
            <w:r w:rsidRPr="00B50160">
              <w:rPr>
                <w:sz w:val="22"/>
                <w:szCs w:val="22"/>
              </w:rPr>
              <w:t>4.</w:t>
            </w:r>
          </w:p>
        </w:tc>
        <w:tc>
          <w:tcPr>
            <w:tcW w:w="767" w:type="pct"/>
            <w:vMerge w:val="restart"/>
          </w:tcPr>
          <w:p w:rsidR="00B50160" w:rsidRPr="00B50160" w:rsidRDefault="00B50160" w:rsidP="00EF5D39">
            <w:pPr>
              <w:pStyle w:val="Default"/>
              <w:jc w:val="both"/>
              <w:rPr>
                <w:sz w:val="22"/>
                <w:szCs w:val="22"/>
              </w:rPr>
            </w:pPr>
            <w:r w:rsidRPr="00B50160">
              <w:rPr>
                <w:sz w:val="22"/>
                <w:szCs w:val="22"/>
              </w:rPr>
              <w:t>OMTK</w:t>
            </w:r>
          </w:p>
        </w:tc>
        <w:tc>
          <w:tcPr>
            <w:tcW w:w="695" w:type="pct"/>
            <w:vMerge w:val="restart"/>
          </w:tcPr>
          <w:p w:rsidR="00B50160" w:rsidRPr="00B50160" w:rsidRDefault="00B50160" w:rsidP="000200F2">
            <w:pPr>
              <w:rPr>
                <w:rFonts w:eastAsia="Calibri"/>
                <w:color w:val="000000"/>
                <w:sz w:val="22"/>
                <w:szCs w:val="22"/>
                <w:lang w:eastAsia="lv-LV"/>
              </w:rPr>
            </w:pPr>
            <w:r w:rsidRPr="00B50160">
              <w:rPr>
                <w:rFonts w:eastAsia="Calibri"/>
                <w:color w:val="000000"/>
                <w:sz w:val="22"/>
                <w:szCs w:val="22"/>
                <w:lang w:eastAsia="lv-LV"/>
              </w:rPr>
              <w:t>Rīgas reģions</w:t>
            </w:r>
          </w:p>
        </w:tc>
        <w:tc>
          <w:tcPr>
            <w:tcW w:w="1043" w:type="pct"/>
            <w:shd w:val="clear" w:color="auto" w:fill="auto"/>
          </w:tcPr>
          <w:p w:rsidR="00B50160" w:rsidRPr="001064B3" w:rsidRDefault="00B50160" w:rsidP="000200F2">
            <w:pPr>
              <w:jc w:val="left"/>
              <w:rPr>
                <w:rFonts w:eastAsia="Calibri"/>
                <w:color w:val="000000"/>
                <w:sz w:val="22"/>
                <w:szCs w:val="22"/>
                <w:lang w:eastAsia="lv-LV"/>
              </w:rPr>
            </w:pPr>
            <w:r w:rsidRPr="001064B3">
              <w:rPr>
                <w:rFonts w:eastAsia="Calibri"/>
                <w:color w:val="000000"/>
                <w:sz w:val="22"/>
                <w:szCs w:val="22"/>
                <w:lang w:eastAsia="lv-LV"/>
              </w:rPr>
              <w:t>Biotehnoloģija</w:t>
            </w:r>
          </w:p>
        </w:tc>
        <w:tc>
          <w:tcPr>
            <w:tcW w:w="731" w:type="pct"/>
          </w:tcPr>
          <w:p w:rsidR="00B50160" w:rsidRPr="00B50160" w:rsidRDefault="00B50160" w:rsidP="00EF5D39">
            <w:pPr>
              <w:pStyle w:val="Default"/>
              <w:jc w:val="both"/>
              <w:rPr>
                <w:sz w:val="22"/>
                <w:szCs w:val="22"/>
              </w:rPr>
            </w:pPr>
            <w:r w:rsidRPr="00B50160">
              <w:rPr>
                <w:sz w:val="22"/>
                <w:szCs w:val="22"/>
              </w:rPr>
              <w:t>41524</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vMerge/>
          </w:tcPr>
          <w:p w:rsidR="00B50160" w:rsidRPr="00B50160" w:rsidRDefault="00B50160" w:rsidP="00EF5D39">
            <w:pPr>
              <w:pStyle w:val="Default"/>
              <w:jc w:val="both"/>
              <w:rPr>
                <w:sz w:val="22"/>
                <w:szCs w:val="22"/>
              </w:rPr>
            </w:pPr>
          </w:p>
        </w:tc>
        <w:tc>
          <w:tcPr>
            <w:tcW w:w="1043" w:type="pct"/>
            <w:shd w:val="clear" w:color="auto" w:fill="auto"/>
          </w:tcPr>
          <w:p w:rsidR="00B50160" w:rsidRPr="001064B3" w:rsidRDefault="00B50160" w:rsidP="000200F2">
            <w:pPr>
              <w:rPr>
                <w:rFonts w:eastAsia="Calibri"/>
                <w:color w:val="000000"/>
                <w:sz w:val="22"/>
                <w:szCs w:val="22"/>
                <w:lang w:eastAsia="lv-LV"/>
              </w:rPr>
            </w:pPr>
            <w:r w:rsidRPr="001064B3">
              <w:rPr>
                <w:rFonts w:eastAsia="Calibri"/>
                <w:color w:val="000000"/>
                <w:sz w:val="22"/>
                <w:szCs w:val="22"/>
                <w:lang w:eastAsia="lv-LV"/>
              </w:rPr>
              <w:t>Pārtikas produktu kvalitātes kontrole</w:t>
            </w:r>
          </w:p>
        </w:tc>
        <w:tc>
          <w:tcPr>
            <w:tcW w:w="731" w:type="pct"/>
          </w:tcPr>
          <w:p w:rsidR="00B50160" w:rsidRPr="00B50160" w:rsidRDefault="00B50160" w:rsidP="00EF5D39">
            <w:pPr>
              <w:pStyle w:val="Default"/>
              <w:jc w:val="both"/>
              <w:rPr>
                <w:sz w:val="22"/>
                <w:szCs w:val="22"/>
              </w:rPr>
            </w:pPr>
            <w:r w:rsidRPr="00B50160">
              <w:rPr>
                <w:sz w:val="22"/>
                <w:szCs w:val="22"/>
              </w:rPr>
              <w:t>41541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vMerge/>
          </w:tcPr>
          <w:p w:rsidR="00B50160" w:rsidRPr="00B50160" w:rsidRDefault="00B50160" w:rsidP="00EF5D39">
            <w:pPr>
              <w:pStyle w:val="Default"/>
              <w:jc w:val="both"/>
              <w:rPr>
                <w:sz w:val="22"/>
                <w:szCs w:val="22"/>
              </w:rPr>
            </w:pPr>
          </w:p>
        </w:tc>
        <w:tc>
          <w:tcPr>
            <w:tcW w:w="1043" w:type="pct"/>
          </w:tcPr>
          <w:p w:rsidR="00B50160" w:rsidRPr="00B50160" w:rsidRDefault="00B50160" w:rsidP="000200F2">
            <w:pPr>
              <w:rPr>
                <w:rFonts w:eastAsia="Calibri"/>
                <w:color w:val="000000"/>
                <w:sz w:val="22"/>
                <w:szCs w:val="22"/>
                <w:lang w:eastAsia="lv-LV"/>
              </w:rPr>
            </w:pPr>
            <w:r w:rsidRPr="00B50160">
              <w:rPr>
                <w:rFonts w:eastAsia="Calibri"/>
                <w:color w:val="000000"/>
                <w:sz w:val="22"/>
                <w:szCs w:val="22"/>
                <w:lang w:eastAsia="lv-LV"/>
              </w:rPr>
              <w:t>Vides aizsardzības tehnoloģija</w:t>
            </w:r>
          </w:p>
        </w:tc>
        <w:tc>
          <w:tcPr>
            <w:tcW w:w="731" w:type="pct"/>
          </w:tcPr>
          <w:p w:rsidR="00B50160" w:rsidRPr="00B50160" w:rsidRDefault="00B50160" w:rsidP="00EF5D39">
            <w:pPr>
              <w:pStyle w:val="Default"/>
              <w:jc w:val="both"/>
              <w:rPr>
                <w:sz w:val="22"/>
                <w:szCs w:val="22"/>
              </w:rPr>
            </w:pPr>
            <w:r w:rsidRPr="00B50160">
              <w:rPr>
                <w:sz w:val="22"/>
                <w:szCs w:val="22"/>
              </w:rPr>
              <w:t>41850</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vMerge/>
          </w:tcPr>
          <w:p w:rsidR="00B50160" w:rsidRPr="00B50160" w:rsidRDefault="00B50160" w:rsidP="00EF5D39">
            <w:pPr>
              <w:pStyle w:val="Default"/>
              <w:jc w:val="both"/>
              <w:rPr>
                <w:sz w:val="22"/>
                <w:szCs w:val="22"/>
              </w:rPr>
            </w:pPr>
          </w:p>
        </w:tc>
        <w:tc>
          <w:tcPr>
            <w:tcW w:w="1043" w:type="pct"/>
          </w:tcPr>
          <w:p w:rsidR="00B50160" w:rsidRPr="00B50160" w:rsidRDefault="00B50160" w:rsidP="00613D2D">
            <w:pPr>
              <w:pStyle w:val="Default"/>
              <w:jc w:val="both"/>
              <w:rPr>
                <w:sz w:val="22"/>
                <w:szCs w:val="22"/>
              </w:rPr>
            </w:pPr>
            <w:r w:rsidRPr="00B50160">
              <w:rPr>
                <w:sz w:val="22"/>
                <w:szCs w:val="22"/>
              </w:rPr>
              <w:t>Pārtikas produktu pārstrādes un ražošanas tehnoloģija</w:t>
            </w:r>
          </w:p>
        </w:tc>
        <w:tc>
          <w:tcPr>
            <w:tcW w:w="731" w:type="pct"/>
          </w:tcPr>
          <w:p w:rsidR="00B50160" w:rsidRPr="00B50160" w:rsidRDefault="00B50160" w:rsidP="00EF5D39">
            <w:pPr>
              <w:pStyle w:val="Default"/>
              <w:jc w:val="both"/>
              <w:rPr>
                <w:sz w:val="22"/>
                <w:szCs w:val="22"/>
              </w:rPr>
            </w:pPr>
            <w:r w:rsidRPr="00B50160">
              <w:rPr>
                <w:sz w:val="22"/>
                <w:szCs w:val="22"/>
              </w:rPr>
              <w:t>41541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vMerge/>
          </w:tcPr>
          <w:p w:rsidR="00B50160" w:rsidRPr="00B50160" w:rsidRDefault="00B50160" w:rsidP="00EF5D39">
            <w:pPr>
              <w:pStyle w:val="Default"/>
              <w:jc w:val="both"/>
              <w:rPr>
                <w:sz w:val="22"/>
                <w:szCs w:val="22"/>
              </w:rPr>
            </w:pPr>
          </w:p>
        </w:tc>
        <w:tc>
          <w:tcPr>
            <w:tcW w:w="1043" w:type="pct"/>
          </w:tcPr>
          <w:p w:rsidR="00B50160" w:rsidRPr="00B50160" w:rsidRDefault="00B50160" w:rsidP="00D50D6F">
            <w:pPr>
              <w:pStyle w:val="Default"/>
              <w:jc w:val="both"/>
              <w:rPr>
                <w:sz w:val="22"/>
                <w:szCs w:val="22"/>
                <w:highlight w:val="cyan"/>
              </w:rPr>
            </w:pPr>
            <w:r w:rsidRPr="00B50160">
              <w:rPr>
                <w:sz w:val="22"/>
                <w:szCs w:val="22"/>
              </w:rPr>
              <w:t>Biotehnoloģija</w:t>
            </w:r>
          </w:p>
        </w:tc>
        <w:tc>
          <w:tcPr>
            <w:tcW w:w="731" w:type="pct"/>
          </w:tcPr>
          <w:p w:rsidR="00B50160" w:rsidRPr="00B50160" w:rsidRDefault="00B50160" w:rsidP="00EF5D39">
            <w:pPr>
              <w:pStyle w:val="Default"/>
              <w:jc w:val="both"/>
              <w:rPr>
                <w:sz w:val="22"/>
                <w:szCs w:val="22"/>
              </w:rPr>
            </w:pPr>
            <w:r w:rsidRPr="00B50160">
              <w:rPr>
                <w:sz w:val="22"/>
                <w:szCs w:val="22"/>
              </w:rPr>
              <w:t>33524021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vMerge/>
          </w:tcPr>
          <w:p w:rsidR="00B50160" w:rsidRPr="00B50160" w:rsidRDefault="00B50160" w:rsidP="00EF5D39">
            <w:pPr>
              <w:pStyle w:val="Default"/>
              <w:jc w:val="both"/>
              <w:rPr>
                <w:sz w:val="22"/>
                <w:szCs w:val="22"/>
              </w:rPr>
            </w:pPr>
          </w:p>
        </w:tc>
        <w:tc>
          <w:tcPr>
            <w:tcW w:w="1043" w:type="pct"/>
          </w:tcPr>
          <w:p w:rsidR="00B50160" w:rsidRPr="00B50160" w:rsidRDefault="00B50160" w:rsidP="00D50D6F">
            <w:pPr>
              <w:pStyle w:val="Default"/>
              <w:jc w:val="both"/>
              <w:rPr>
                <w:sz w:val="22"/>
                <w:szCs w:val="22"/>
                <w:highlight w:val="cyan"/>
              </w:rPr>
            </w:pPr>
            <w:proofErr w:type="spellStart"/>
            <w:r w:rsidRPr="00B50160">
              <w:rPr>
                <w:sz w:val="22"/>
                <w:szCs w:val="22"/>
              </w:rPr>
              <w:t>Inženiermehānika</w:t>
            </w:r>
            <w:proofErr w:type="spellEnd"/>
          </w:p>
        </w:tc>
        <w:tc>
          <w:tcPr>
            <w:tcW w:w="731" w:type="pct"/>
          </w:tcPr>
          <w:p w:rsidR="00B50160" w:rsidRPr="00B50160" w:rsidRDefault="00B50160" w:rsidP="00EF5D39">
            <w:pPr>
              <w:pStyle w:val="Default"/>
              <w:jc w:val="both"/>
              <w:rPr>
                <w:sz w:val="22"/>
                <w:szCs w:val="22"/>
              </w:rPr>
            </w:pPr>
            <w:r w:rsidRPr="00B50160">
              <w:rPr>
                <w:sz w:val="22"/>
                <w:szCs w:val="22"/>
              </w:rPr>
              <w:t>33521021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vMerge/>
          </w:tcPr>
          <w:p w:rsidR="00B50160" w:rsidRPr="00B50160" w:rsidRDefault="00B50160" w:rsidP="00EF5D39">
            <w:pPr>
              <w:pStyle w:val="Default"/>
              <w:jc w:val="both"/>
              <w:rPr>
                <w:sz w:val="22"/>
                <w:szCs w:val="22"/>
              </w:rPr>
            </w:pPr>
          </w:p>
        </w:tc>
        <w:tc>
          <w:tcPr>
            <w:tcW w:w="1043" w:type="pct"/>
          </w:tcPr>
          <w:p w:rsidR="00B50160" w:rsidRPr="00B50160" w:rsidRDefault="00B50160" w:rsidP="00D50D6F">
            <w:pPr>
              <w:pStyle w:val="Default"/>
              <w:jc w:val="both"/>
              <w:rPr>
                <w:sz w:val="22"/>
                <w:szCs w:val="22"/>
                <w:highlight w:val="cyan"/>
              </w:rPr>
            </w:pPr>
            <w:r w:rsidRPr="00B50160">
              <w:rPr>
                <w:sz w:val="22"/>
                <w:szCs w:val="22"/>
              </w:rPr>
              <w:t>Pārtikas produktu kvalitātes kontrole</w:t>
            </w:r>
          </w:p>
        </w:tc>
        <w:tc>
          <w:tcPr>
            <w:tcW w:w="731" w:type="pct"/>
          </w:tcPr>
          <w:p w:rsidR="00B50160" w:rsidRPr="00B50160" w:rsidRDefault="00B50160" w:rsidP="00EF5D39">
            <w:pPr>
              <w:pStyle w:val="Default"/>
              <w:jc w:val="both"/>
              <w:rPr>
                <w:sz w:val="22"/>
                <w:szCs w:val="22"/>
              </w:rPr>
            </w:pPr>
            <w:r w:rsidRPr="00B50160">
              <w:rPr>
                <w:sz w:val="22"/>
                <w:szCs w:val="22"/>
              </w:rPr>
              <w:t>33541031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vMerge/>
          </w:tcPr>
          <w:p w:rsidR="00B50160" w:rsidRPr="00B50160" w:rsidRDefault="00B50160" w:rsidP="00EF5D39">
            <w:pPr>
              <w:pStyle w:val="Default"/>
              <w:jc w:val="both"/>
              <w:rPr>
                <w:sz w:val="22"/>
                <w:szCs w:val="22"/>
              </w:rPr>
            </w:pPr>
          </w:p>
        </w:tc>
        <w:tc>
          <w:tcPr>
            <w:tcW w:w="1043" w:type="pct"/>
          </w:tcPr>
          <w:p w:rsidR="00B50160" w:rsidRPr="00B50160" w:rsidRDefault="00B50160" w:rsidP="00D50D6F">
            <w:pPr>
              <w:pStyle w:val="Default"/>
              <w:jc w:val="both"/>
              <w:rPr>
                <w:sz w:val="22"/>
                <w:szCs w:val="22"/>
              </w:rPr>
            </w:pPr>
            <w:r w:rsidRPr="00B50160">
              <w:rPr>
                <w:sz w:val="22"/>
                <w:szCs w:val="22"/>
              </w:rPr>
              <w:t>Vides aizsardzība</w:t>
            </w:r>
          </w:p>
        </w:tc>
        <w:tc>
          <w:tcPr>
            <w:tcW w:w="731" w:type="pct"/>
          </w:tcPr>
          <w:p w:rsidR="00B50160" w:rsidRPr="00B50160" w:rsidRDefault="00B50160" w:rsidP="00EF5D39">
            <w:pPr>
              <w:pStyle w:val="Default"/>
              <w:jc w:val="both"/>
              <w:rPr>
                <w:sz w:val="22"/>
                <w:szCs w:val="22"/>
              </w:rPr>
            </w:pPr>
            <w:r w:rsidRPr="00B50160">
              <w:rPr>
                <w:sz w:val="22"/>
                <w:szCs w:val="22"/>
              </w:rPr>
              <w:t>33850001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val="restart"/>
          </w:tcPr>
          <w:p w:rsidR="00B50160" w:rsidRPr="00B50160" w:rsidRDefault="00B50160" w:rsidP="00EF5D39">
            <w:pPr>
              <w:pStyle w:val="Default"/>
              <w:jc w:val="both"/>
              <w:rPr>
                <w:sz w:val="22"/>
                <w:szCs w:val="22"/>
              </w:rPr>
            </w:pPr>
            <w:r w:rsidRPr="00B50160">
              <w:rPr>
                <w:sz w:val="22"/>
                <w:szCs w:val="22"/>
              </w:rPr>
              <w:t>5.</w:t>
            </w:r>
          </w:p>
        </w:tc>
        <w:tc>
          <w:tcPr>
            <w:tcW w:w="767" w:type="pct"/>
            <w:vMerge w:val="restart"/>
          </w:tcPr>
          <w:p w:rsidR="00B50160" w:rsidRPr="00B50160" w:rsidRDefault="00B50160" w:rsidP="00EF5D39">
            <w:pPr>
              <w:pStyle w:val="Default"/>
              <w:jc w:val="both"/>
              <w:rPr>
                <w:sz w:val="22"/>
                <w:szCs w:val="22"/>
              </w:rPr>
            </w:pPr>
            <w:r w:rsidRPr="00B50160">
              <w:rPr>
                <w:color w:val="auto"/>
                <w:sz w:val="22"/>
                <w:szCs w:val="22"/>
              </w:rPr>
              <w:t>RTK</w:t>
            </w:r>
          </w:p>
        </w:tc>
        <w:tc>
          <w:tcPr>
            <w:tcW w:w="695" w:type="pct"/>
          </w:tcPr>
          <w:p w:rsidR="00B50160" w:rsidRPr="00B50160" w:rsidRDefault="00B50160" w:rsidP="00FB3E42">
            <w:pPr>
              <w:rPr>
                <w:rFonts w:eastAsia="Calibri"/>
                <w:color w:val="000000"/>
                <w:sz w:val="22"/>
                <w:szCs w:val="22"/>
                <w:lang w:eastAsia="lv-LV"/>
              </w:rPr>
            </w:pPr>
            <w:r w:rsidRPr="00B50160">
              <w:rPr>
                <w:rFonts w:eastAsia="Calibri"/>
                <w:color w:val="000000"/>
                <w:sz w:val="22"/>
                <w:szCs w:val="22"/>
                <w:lang w:eastAsia="lv-LV"/>
              </w:rPr>
              <w:t>Rīga/</w:t>
            </w:r>
          </w:p>
          <w:p w:rsidR="00B50160" w:rsidRPr="00B50160" w:rsidRDefault="00B50160" w:rsidP="00167054">
            <w:pPr>
              <w:rPr>
                <w:sz w:val="22"/>
                <w:szCs w:val="22"/>
              </w:rPr>
            </w:pPr>
            <w:r w:rsidRPr="00B50160">
              <w:rPr>
                <w:rFonts w:eastAsia="Calibri"/>
                <w:color w:val="000000"/>
                <w:sz w:val="22"/>
                <w:szCs w:val="22"/>
                <w:lang w:eastAsia="lv-LV"/>
              </w:rPr>
              <w:t>Latgale/ Vidzeme</w:t>
            </w:r>
          </w:p>
        </w:tc>
        <w:tc>
          <w:tcPr>
            <w:tcW w:w="1043" w:type="pct"/>
          </w:tcPr>
          <w:p w:rsidR="00B50160" w:rsidRPr="00B50160" w:rsidRDefault="00B50160" w:rsidP="00FB3E42">
            <w:pPr>
              <w:rPr>
                <w:sz w:val="22"/>
                <w:szCs w:val="22"/>
              </w:rPr>
            </w:pPr>
            <w:r w:rsidRPr="00B50160">
              <w:rPr>
                <w:rFonts w:eastAsia="Calibri"/>
                <w:color w:val="000000"/>
                <w:sz w:val="22"/>
                <w:szCs w:val="22"/>
                <w:lang w:eastAsia="lv-LV"/>
              </w:rPr>
              <w:t>Informācijas tehnoloģijas</w:t>
            </w:r>
          </w:p>
        </w:tc>
        <w:tc>
          <w:tcPr>
            <w:tcW w:w="731" w:type="pct"/>
          </w:tcPr>
          <w:p w:rsidR="00B50160" w:rsidRPr="00B50160" w:rsidRDefault="00B50160" w:rsidP="00EF5D39">
            <w:pPr>
              <w:pStyle w:val="Default"/>
              <w:jc w:val="both"/>
              <w:rPr>
                <w:sz w:val="22"/>
                <w:szCs w:val="22"/>
              </w:rPr>
            </w:pPr>
            <w:r w:rsidRPr="00B50160">
              <w:rPr>
                <w:sz w:val="22"/>
                <w:szCs w:val="22"/>
              </w:rPr>
              <w:t>41481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Pr="00B50160" w:rsidRDefault="00B50160" w:rsidP="00EF5D39">
            <w:pPr>
              <w:pStyle w:val="Default"/>
              <w:jc w:val="both"/>
              <w:rPr>
                <w:sz w:val="22"/>
                <w:szCs w:val="22"/>
              </w:rPr>
            </w:pPr>
            <w:r w:rsidRPr="00B50160">
              <w:rPr>
                <w:sz w:val="22"/>
                <w:szCs w:val="22"/>
              </w:rPr>
              <w:t>Rīga/</w:t>
            </w:r>
          </w:p>
          <w:p w:rsidR="00B50160" w:rsidRPr="00B50160" w:rsidRDefault="00B50160" w:rsidP="00EF5D39">
            <w:pPr>
              <w:pStyle w:val="Default"/>
              <w:jc w:val="both"/>
              <w:rPr>
                <w:sz w:val="22"/>
                <w:szCs w:val="22"/>
              </w:rPr>
            </w:pPr>
            <w:r w:rsidRPr="00B50160">
              <w:rPr>
                <w:sz w:val="22"/>
                <w:szCs w:val="22"/>
              </w:rPr>
              <w:t>Kurzeme</w:t>
            </w:r>
          </w:p>
        </w:tc>
        <w:tc>
          <w:tcPr>
            <w:tcW w:w="1043" w:type="pct"/>
          </w:tcPr>
          <w:p w:rsidR="00B50160" w:rsidRPr="00B50160" w:rsidRDefault="00B50160" w:rsidP="00FB3E42">
            <w:pPr>
              <w:rPr>
                <w:sz w:val="22"/>
                <w:szCs w:val="22"/>
              </w:rPr>
            </w:pPr>
            <w:r w:rsidRPr="00B50160">
              <w:rPr>
                <w:rFonts w:eastAsia="Calibri"/>
                <w:color w:val="000000"/>
                <w:sz w:val="22"/>
                <w:szCs w:val="22"/>
                <w:lang w:eastAsia="lv-LV"/>
              </w:rPr>
              <w:t>Autotransports</w:t>
            </w:r>
          </w:p>
        </w:tc>
        <w:tc>
          <w:tcPr>
            <w:tcW w:w="731" w:type="pct"/>
          </w:tcPr>
          <w:p w:rsidR="00B50160" w:rsidRPr="00B50160" w:rsidRDefault="00B50160" w:rsidP="00EF5D39">
            <w:pPr>
              <w:pStyle w:val="Default"/>
              <w:jc w:val="both"/>
              <w:rPr>
                <w:sz w:val="22"/>
                <w:szCs w:val="22"/>
              </w:rPr>
            </w:pPr>
            <w:r w:rsidRPr="00B50160">
              <w:rPr>
                <w:sz w:val="22"/>
                <w:szCs w:val="22"/>
              </w:rPr>
              <w:t>41521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Pr="00B50160" w:rsidRDefault="00B50160" w:rsidP="00167054">
            <w:pPr>
              <w:rPr>
                <w:rFonts w:eastAsia="Calibri"/>
                <w:color w:val="000000"/>
                <w:sz w:val="22"/>
                <w:szCs w:val="22"/>
                <w:lang w:eastAsia="lv-LV"/>
              </w:rPr>
            </w:pPr>
            <w:r w:rsidRPr="00B50160">
              <w:rPr>
                <w:rFonts w:eastAsia="Calibri"/>
                <w:color w:val="000000"/>
                <w:sz w:val="22"/>
                <w:szCs w:val="22"/>
                <w:lang w:eastAsia="lv-LV"/>
              </w:rPr>
              <w:t>Rīga/</w:t>
            </w:r>
          </w:p>
          <w:p w:rsidR="00B50160" w:rsidRPr="00B50160" w:rsidRDefault="00B50160" w:rsidP="00167054">
            <w:pPr>
              <w:pStyle w:val="Default"/>
              <w:jc w:val="both"/>
              <w:rPr>
                <w:sz w:val="22"/>
                <w:szCs w:val="22"/>
              </w:rPr>
            </w:pPr>
            <w:r w:rsidRPr="00B50160">
              <w:rPr>
                <w:sz w:val="22"/>
                <w:szCs w:val="22"/>
              </w:rPr>
              <w:t>Latgale</w:t>
            </w:r>
          </w:p>
        </w:tc>
        <w:tc>
          <w:tcPr>
            <w:tcW w:w="1043" w:type="pct"/>
          </w:tcPr>
          <w:p w:rsidR="00B50160" w:rsidRPr="00B50160" w:rsidRDefault="00B50160" w:rsidP="00FB3E42">
            <w:pPr>
              <w:rPr>
                <w:sz w:val="22"/>
                <w:szCs w:val="22"/>
              </w:rPr>
            </w:pPr>
            <w:proofErr w:type="spellStart"/>
            <w:r w:rsidRPr="00B50160">
              <w:rPr>
                <w:rFonts w:eastAsia="Calibri"/>
                <w:color w:val="000000"/>
                <w:sz w:val="22"/>
                <w:szCs w:val="22"/>
                <w:lang w:eastAsia="lv-LV"/>
              </w:rPr>
              <w:t>Inženiermehānika</w:t>
            </w:r>
            <w:proofErr w:type="spellEnd"/>
          </w:p>
        </w:tc>
        <w:tc>
          <w:tcPr>
            <w:tcW w:w="731" w:type="pct"/>
          </w:tcPr>
          <w:p w:rsidR="00B50160" w:rsidRPr="00B50160" w:rsidRDefault="00B50160" w:rsidP="00EF5D39">
            <w:pPr>
              <w:pStyle w:val="Default"/>
              <w:jc w:val="both"/>
              <w:rPr>
                <w:sz w:val="22"/>
                <w:szCs w:val="22"/>
              </w:rPr>
            </w:pPr>
            <w:r w:rsidRPr="00B50160">
              <w:rPr>
                <w:sz w:val="22"/>
                <w:szCs w:val="22"/>
              </w:rPr>
              <w:t>41521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Pr="00B50160" w:rsidRDefault="00B50160" w:rsidP="00167054">
            <w:pPr>
              <w:pStyle w:val="Default"/>
              <w:jc w:val="both"/>
              <w:rPr>
                <w:sz w:val="22"/>
                <w:szCs w:val="22"/>
              </w:rPr>
            </w:pPr>
            <w:r w:rsidRPr="00B50160">
              <w:rPr>
                <w:sz w:val="22"/>
                <w:szCs w:val="22"/>
              </w:rPr>
              <w:t>Rīga/</w:t>
            </w:r>
          </w:p>
          <w:p w:rsidR="00B50160" w:rsidRPr="00B50160" w:rsidRDefault="00B50160" w:rsidP="00167054">
            <w:pPr>
              <w:pStyle w:val="Default"/>
              <w:jc w:val="both"/>
              <w:rPr>
                <w:sz w:val="22"/>
                <w:szCs w:val="22"/>
              </w:rPr>
            </w:pPr>
            <w:r w:rsidRPr="00B50160">
              <w:rPr>
                <w:sz w:val="22"/>
                <w:szCs w:val="22"/>
              </w:rPr>
              <w:t>Kurzeme</w:t>
            </w:r>
          </w:p>
        </w:tc>
        <w:tc>
          <w:tcPr>
            <w:tcW w:w="1043" w:type="pct"/>
          </w:tcPr>
          <w:p w:rsidR="00B50160" w:rsidRPr="00B50160" w:rsidRDefault="00B50160" w:rsidP="00FB3E42">
            <w:pPr>
              <w:rPr>
                <w:sz w:val="22"/>
                <w:szCs w:val="22"/>
              </w:rPr>
            </w:pPr>
            <w:r w:rsidRPr="00B50160">
              <w:rPr>
                <w:rFonts w:eastAsia="Calibri"/>
                <w:color w:val="000000"/>
                <w:sz w:val="22"/>
                <w:szCs w:val="22"/>
                <w:lang w:eastAsia="lv-LV"/>
              </w:rPr>
              <w:t>Elektriskās iekārtas</w:t>
            </w:r>
          </w:p>
        </w:tc>
        <w:tc>
          <w:tcPr>
            <w:tcW w:w="731" w:type="pct"/>
          </w:tcPr>
          <w:p w:rsidR="00B50160" w:rsidRPr="00B50160" w:rsidRDefault="00B50160" w:rsidP="00EF5D39">
            <w:pPr>
              <w:pStyle w:val="Default"/>
              <w:jc w:val="both"/>
              <w:rPr>
                <w:sz w:val="22"/>
                <w:szCs w:val="22"/>
              </w:rPr>
            </w:pPr>
            <w:r w:rsidRPr="00B50160">
              <w:rPr>
                <w:sz w:val="22"/>
                <w:szCs w:val="22"/>
              </w:rPr>
              <w:t>41522</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Pr="00B50160" w:rsidRDefault="00B50160" w:rsidP="00EF5D39">
            <w:pPr>
              <w:pStyle w:val="Default"/>
              <w:jc w:val="both"/>
              <w:rPr>
                <w:sz w:val="22"/>
                <w:szCs w:val="22"/>
              </w:rPr>
            </w:pPr>
            <w:r w:rsidRPr="00B50160">
              <w:rPr>
                <w:sz w:val="22"/>
                <w:szCs w:val="22"/>
              </w:rPr>
              <w:t>Rīga</w:t>
            </w:r>
          </w:p>
        </w:tc>
        <w:tc>
          <w:tcPr>
            <w:tcW w:w="1043" w:type="pct"/>
          </w:tcPr>
          <w:p w:rsidR="00B50160" w:rsidRPr="00B50160" w:rsidRDefault="00B50160" w:rsidP="00FB3E42">
            <w:pPr>
              <w:rPr>
                <w:sz w:val="22"/>
                <w:szCs w:val="22"/>
              </w:rPr>
            </w:pPr>
            <w:proofErr w:type="spellStart"/>
            <w:r w:rsidRPr="00B50160">
              <w:rPr>
                <w:rFonts w:eastAsia="Calibri"/>
                <w:color w:val="000000"/>
                <w:sz w:val="22"/>
                <w:szCs w:val="22"/>
                <w:lang w:eastAsia="lv-LV"/>
              </w:rPr>
              <w:t>Siltumenerģētika</w:t>
            </w:r>
            <w:proofErr w:type="spellEnd"/>
          </w:p>
        </w:tc>
        <w:tc>
          <w:tcPr>
            <w:tcW w:w="731" w:type="pct"/>
          </w:tcPr>
          <w:p w:rsidR="00B50160" w:rsidRPr="00B50160" w:rsidRDefault="00B50160" w:rsidP="00EF5D39">
            <w:pPr>
              <w:pStyle w:val="Default"/>
              <w:jc w:val="both"/>
              <w:rPr>
                <w:sz w:val="22"/>
                <w:szCs w:val="22"/>
              </w:rPr>
            </w:pPr>
            <w:r w:rsidRPr="00B50160">
              <w:rPr>
                <w:sz w:val="22"/>
                <w:szCs w:val="22"/>
              </w:rPr>
              <w:t>41522</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Pr="00B50160" w:rsidRDefault="00B50160" w:rsidP="00EF5D39">
            <w:pPr>
              <w:pStyle w:val="Default"/>
              <w:jc w:val="both"/>
              <w:rPr>
                <w:sz w:val="22"/>
                <w:szCs w:val="22"/>
              </w:rPr>
            </w:pPr>
            <w:r w:rsidRPr="00B50160">
              <w:rPr>
                <w:sz w:val="22"/>
                <w:szCs w:val="22"/>
              </w:rPr>
              <w:t>Rīga</w:t>
            </w:r>
          </w:p>
        </w:tc>
        <w:tc>
          <w:tcPr>
            <w:tcW w:w="1043" w:type="pct"/>
          </w:tcPr>
          <w:p w:rsidR="00B50160" w:rsidRPr="00B50160" w:rsidRDefault="00B50160" w:rsidP="00FB3E42">
            <w:pPr>
              <w:rPr>
                <w:sz w:val="22"/>
                <w:szCs w:val="22"/>
              </w:rPr>
            </w:pPr>
            <w:r w:rsidRPr="00B50160">
              <w:rPr>
                <w:rFonts w:eastAsia="Calibri"/>
                <w:color w:val="000000"/>
                <w:sz w:val="22"/>
                <w:szCs w:val="22"/>
                <w:lang w:eastAsia="lv-LV"/>
              </w:rPr>
              <w:t>Elektronika</w:t>
            </w:r>
          </w:p>
        </w:tc>
        <w:tc>
          <w:tcPr>
            <w:tcW w:w="731" w:type="pct"/>
          </w:tcPr>
          <w:p w:rsidR="00B50160" w:rsidRPr="00B50160" w:rsidRDefault="00B50160" w:rsidP="00EF5D39">
            <w:pPr>
              <w:pStyle w:val="Default"/>
              <w:jc w:val="both"/>
              <w:rPr>
                <w:sz w:val="22"/>
                <w:szCs w:val="22"/>
              </w:rPr>
            </w:pPr>
            <w:r w:rsidRPr="00B50160">
              <w:rPr>
                <w:sz w:val="22"/>
                <w:szCs w:val="22"/>
              </w:rPr>
              <w:t>41523</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Pr="00B50160" w:rsidRDefault="00B50160" w:rsidP="00EF5D39">
            <w:pPr>
              <w:pStyle w:val="Default"/>
              <w:jc w:val="both"/>
              <w:rPr>
                <w:sz w:val="22"/>
                <w:szCs w:val="22"/>
              </w:rPr>
            </w:pPr>
            <w:r w:rsidRPr="00B50160">
              <w:rPr>
                <w:sz w:val="22"/>
                <w:szCs w:val="22"/>
              </w:rPr>
              <w:t>Rīga</w:t>
            </w:r>
          </w:p>
        </w:tc>
        <w:tc>
          <w:tcPr>
            <w:tcW w:w="1043" w:type="pct"/>
          </w:tcPr>
          <w:p w:rsidR="00B50160" w:rsidRPr="00B50160" w:rsidRDefault="00B50160" w:rsidP="00FB3E42">
            <w:pPr>
              <w:rPr>
                <w:rFonts w:eastAsia="Calibri"/>
                <w:color w:val="000000"/>
                <w:sz w:val="22"/>
                <w:szCs w:val="22"/>
                <w:lang w:eastAsia="lv-LV"/>
              </w:rPr>
            </w:pPr>
            <w:r w:rsidRPr="00B50160">
              <w:rPr>
                <w:rFonts w:eastAsia="Calibri"/>
                <w:color w:val="000000"/>
                <w:sz w:val="22"/>
                <w:szCs w:val="22"/>
                <w:lang w:eastAsia="lv-LV"/>
              </w:rPr>
              <w:t>Telekomunikācijas</w:t>
            </w:r>
          </w:p>
        </w:tc>
        <w:tc>
          <w:tcPr>
            <w:tcW w:w="731" w:type="pct"/>
          </w:tcPr>
          <w:p w:rsidR="00B50160" w:rsidRPr="00B50160" w:rsidRDefault="00B50160" w:rsidP="00EF5D39">
            <w:pPr>
              <w:pStyle w:val="Default"/>
              <w:jc w:val="both"/>
              <w:rPr>
                <w:sz w:val="22"/>
                <w:szCs w:val="22"/>
              </w:rPr>
            </w:pPr>
            <w:r w:rsidRPr="00B50160">
              <w:rPr>
                <w:sz w:val="22"/>
                <w:szCs w:val="22"/>
              </w:rPr>
              <w:t>41523</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Pr="00B50160" w:rsidRDefault="00B50160" w:rsidP="00EF5D39">
            <w:pPr>
              <w:pStyle w:val="Default"/>
              <w:jc w:val="both"/>
              <w:rPr>
                <w:sz w:val="22"/>
                <w:szCs w:val="22"/>
              </w:rPr>
            </w:pPr>
            <w:r w:rsidRPr="00B50160">
              <w:rPr>
                <w:sz w:val="22"/>
                <w:szCs w:val="22"/>
              </w:rPr>
              <w:t>Rīga</w:t>
            </w:r>
          </w:p>
        </w:tc>
        <w:tc>
          <w:tcPr>
            <w:tcW w:w="1043" w:type="pct"/>
          </w:tcPr>
          <w:p w:rsidR="00B50160" w:rsidRPr="00B50160" w:rsidRDefault="00B50160" w:rsidP="00FB3E42">
            <w:pPr>
              <w:rPr>
                <w:rFonts w:eastAsia="Calibri"/>
                <w:color w:val="000000"/>
                <w:sz w:val="22"/>
                <w:szCs w:val="22"/>
                <w:lang w:eastAsia="lv-LV"/>
              </w:rPr>
            </w:pPr>
            <w:r w:rsidRPr="00B50160">
              <w:rPr>
                <w:rFonts w:eastAsia="Calibri"/>
                <w:color w:val="000000"/>
                <w:sz w:val="22"/>
                <w:szCs w:val="22"/>
                <w:lang w:eastAsia="lv-LV"/>
              </w:rPr>
              <w:t>Kokapstrāde</w:t>
            </w:r>
          </w:p>
        </w:tc>
        <w:tc>
          <w:tcPr>
            <w:tcW w:w="731" w:type="pct"/>
          </w:tcPr>
          <w:p w:rsidR="00B50160" w:rsidRPr="00B50160" w:rsidRDefault="00B50160" w:rsidP="00EF5D39">
            <w:pPr>
              <w:pStyle w:val="Default"/>
              <w:jc w:val="both"/>
              <w:rPr>
                <w:sz w:val="22"/>
                <w:szCs w:val="22"/>
              </w:rPr>
            </w:pPr>
            <w:r w:rsidRPr="00B50160">
              <w:rPr>
                <w:sz w:val="22"/>
                <w:szCs w:val="22"/>
              </w:rPr>
              <w:t>41543</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color w:val="auto"/>
                <w:sz w:val="22"/>
                <w:szCs w:val="22"/>
                <w:highlight w:val="cyan"/>
              </w:rPr>
            </w:pPr>
          </w:p>
        </w:tc>
        <w:tc>
          <w:tcPr>
            <w:tcW w:w="695" w:type="pct"/>
          </w:tcPr>
          <w:p w:rsidR="00B50160" w:rsidRPr="00B50160" w:rsidRDefault="00B50160" w:rsidP="00120677">
            <w:pPr>
              <w:rPr>
                <w:rFonts w:eastAsia="Calibri"/>
                <w:color w:val="000000"/>
                <w:sz w:val="22"/>
                <w:szCs w:val="22"/>
                <w:lang w:eastAsia="lv-LV"/>
              </w:rPr>
            </w:pPr>
            <w:r w:rsidRPr="00B50160">
              <w:rPr>
                <w:sz w:val="22"/>
                <w:szCs w:val="22"/>
              </w:rPr>
              <w:t>Rīga</w:t>
            </w:r>
          </w:p>
        </w:tc>
        <w:tc>
          <w:tcPr>
            <w:tcW w:w="1043" w:type="pct"/>
          </w:tcPr>
          <w:p w:rsidR="00B50160" w:rsidRPr="00B50160" w:rsidRDefault="00B50160" w:rsidP="00120677">
            <w:pPr>
              <w:rPr>
                <w:rFonts w:eastAsia="Calibri"/>
                <w:color w:val="000000"/>
                <w:sz w:val="22"/>
                <w:szCs w:val="22"/>
                <w:lang w:eastAsia="lv-LV"/>
              </w:rPr>
            </w:pPr>
            <w:proofErr w:type="spellStart"/>
            <w:r w:rsidRPr="00B50160">
              <w:rPr>
                <w:rFonts w:eastAsia="Calibri"/>
                <w:color w:val="000000"/>
                <w:sz w:val="22"/>
                <w:szCs w:val="22"/>
                <w:lang w:eastAsia="lv-LV"/>
              </w:rPr>
              <w:t>Aukstumtehnika</w:t>
            </w:r>
            <w:proofErr w:type="spellEnd"/>
          </w:p>
        </w:tc>
        <w:tc>
          <w:tcPr>
            <w:tcW w:w="731" w:type="pct"/>
          </w:tcPr>
          <w:p w:rsidR="00B50160" w:rsidRPr="00B50160" w:rsidRDefault="00B50160" w:rsidP="00EF5D39">
            <w:pPr>
              <w:pStyle w:val="Default"/>
              <w:jc w:val="both"/>
              <w:rPr>
                <w:sz w:val="22"/>
                <w:szCs w:val="22"/>
              </w:rPr>
            </w:pPr>
            <w:r w:rsidRPr="00B50160">
              <w:rPr>
                <w:sz w:val="22"/>
                <w:szCs w:val="22"/>
              </w:rPr>
              <w:t>41526</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color w:val="auto"/>
                <w:sz w:val="22"/>
                <w:szCs w:val="22"/>
                <w:highlight w:val="cyan"/>
              </w:rPr>
            </w:pPr>
          </w:p>
        </w:tc>
        <w:tc>
          <w:tcPr>
            <w:tcW w:w="695" w:type="pct"/>
          </w:tcPr>
          <w:p w:rsidR="00B50160" w:rsidRPr="00B50160" w:rsidRDefault="00B50160">
            <w:pPr>
              <w:rPr>
                <w:sz w:val="22"/>
                <w:szCs w:val="22"/>
              </w:rPr>
            </w:pPr>
            <w:r w:rsidRPr="00B50160">
              <w:rPr>
                <w:sz w:val="22"/>
                <w:szCs w:val="22"/>
              </w:rPr>
              <w:t>Rīga</w:t>
            </w:r>
          </w:p>
        </w:tc>
        <w:tc>
          <w:tcPr>
            <w:tcW w:w="1043" w:type="pct"/>
          </w:tcPr>
          <w:p w:rsidR="00B50160" w:rsidRPr="00B50160" w:rsidRDefault="00B50160" w:rsidP="00120677">
            <w:pPr>
              <w:rPr>
                <w:rFonts w:eastAsia="Calibri"/>
                <w:color w:val="000000"/>
                <w:sz w:val="22"/>
                <w:szCs w:val="22"/>
                <w:lang w:eastAsia="lv-LV"/>
              </w:rPr>
            </w:pPr>
            <w:r w:rsidRPr="00B50160">
              <w:rPr>
                <w:rFonts w:eastAsia="Calibri"/>
                <w:color w:val="000000"/>
                <w:sz w:val="22"/>
                <w:szCs w:val="22"/>
                <w:lang w:eastAsia="lv-LV"/>
              </w:rPr>
              <w:t>Autotransports</w:t>
            </w:r>
          </w:p>
        </w:tc>
        <w:tc>
          <w:tcPr>
            <w:tcW w:w="731" w:type="pct"/>
          </w:tcPr>
          <w:p w:rsidR="00B50160" w:rsidRPr="00B50160" w:rsidRDefault="00B50160" w:rsidP="00EF5D39">
            <w:pPr>
              <w:pStyle w:val="Default"/>
              <w:jc w:val="both"/>
              <w:rPr>
                <w:sz w:val="22"/>
                <w:szCs w:val="22"/>
              </w:rPr>
            </w:pPr>
            <w:r w:rsidRPr="00B50160">
              <w:rPr>
                <w:sz w:val="22"/>
                <w:szCs w:val="22"/>
              </w:rPr>
              <w:t>3352501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color w:val="auto"/>
                <w:sz w:val="22"/>
                <w:szCs w:val="22"/>
                <w:highlight w:val="cyan"/>
              </w:rPr>
            </w:pPr>
          </w:p>
        </w:tc>
        <w:tc>
          <w:tcPr>
            <w:tcW w:w="695" w:type="pct"/>
          </w:tcPr>
          <w:p w:rsidR="00B50160" w:rsidRPr="00B50160" w:rsidRDefault="00B50160">
            <w:pPr>
              <w:rPr>
                <w:sz w:val="22"/>
                <w:szCs w:val="22"/>
              </w:rPr>
            </w:pPr>
            <w:r w:rsidRPr="00B50160">
              <w:rPr>
                <w:sz w:val="22"/>
                <w:szCs w:val="22"/>
              </w:rPr>
              <w:t>Rīga</w:t>
            </w:r>
          </w:p>
        </w:tc>
        <w:tc>
          <w:tcPr>
            <w:tcW w:w="1043" w:type="pct"/>
          </w:tcPr>
          <w:p w:rsidR="00B50160" w:rsidRPr="00B50160" w:rsidRDefault="00B50160" w:rsidP="00120677">
            <w:pPr>
              <w:rPr>
                <w:rFonts w:eastAsia="Calibri"/>
                <w:color w:val="000000"/>
                <w:sz w:val="22"/>
                <w:szCs w:val="22"/>
                <w:lang w:eastAsia="lv-LV"/>
              </w:rPr>
            </w:pPr>
            <w:r w:rsidRPr="00B50160">
              <w:rPr>
                <w:rFonts w:eastAsia="Calibri"/>
                <w:color w:val="000000"/>
                <w:sz w:val="22"/>
                <w:szCs w:val="22"/>
                <w:lang w:eastAsia="lv-LV"/>
              </w:rPr>
              <w:t>Datorsistēmas</w:t>
            </w:r>
          </w:p>
        </w:tc>
        <w:tc>
          <w:tcPr>
            <w:tcW w:w="731" w:type="pct"/>
          </w:tcPr>
          <w:p w:rsidR="00B50160" w:rsidRPr="00B50160" w:rsidRDefault="00B50160" w:rsidP="00EF5D39">
            <w:pPr>
              <w:pStyle w:val="Default"/>
              <w:jc w:val="both"/>
              <w:rPr>
                <w:sz w:val="22"/>
                <w:szCs w:val="22"/>
              </w:rPr>
            </w:pPr>
            <w:r w:rsidRPr="00B50160">
              <w:rPr>
                <w:sz w:val="22"/>
                <w:szCs w:val="22"/>
              </w:rPr>
              <w:t>3348101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color w:val="auto"/>
                <w:sz w:val="22"/>
                <w:szCs w:val="22"/>
                <w:highlight w:val="cyan"/>
              </w:rPr>
            </w:pPr>
          </w:p>
        </w:tc>
        <w:tc>
          <w:tcPr>
            <w:tcW w:w="695" w:type="pct"/>
          </w:tcPr>
          <w:p w:rsidR="00B50160" w:rsidRPr="00B50160" w:rsidRDefault="00B50160">
            <w:pPr>
              <w:rPr>
                <w:sz w:val="22"/>
                <w:szCs w:val="22"/>
              </w:rPr>
            </w:pPr>
            <w:r w:rsidRPr="00B50160">
              <w:rPr>
                <w:sz w:val="22"/>
                <w:szCs w:val="22"/>
              </w:rPr>
              <w:t>Rīga</w:t>
            </w:r>
          </w:p>
        </w:tc>
        <w:tc>
          <w:tcPr>
            <w:tcW w:w="1043" w:type="pct"/>
          </w:tcPr>
          <w:p w:rsidR="00B50160" w:rsidRPr="00B50160" w:rsidRDefault="00B50160" w:rsidP="00120677">
            <w:pPr>
              <w:rPr>
                <w:rFonts w:eastAsia="Calibri"/>
                <w:color w:val="000000"/>
                <w:sz w:val="22"/>
                <w:szCs w:val="22"/>
                <w:lang w:eastAsia="lv-LV"/>
              </w:rPr>
            </w:pPr>
            <w:r w:rsidRPr="00B50160">
              <w:rPr>
                <w:rFonts w:eastAsia="Calibri"/>
                <w:color w:val="000000"/>
                <w:sz w:val="22"/>
                <w:szCs w:val="22"/>
                <w:lang w:eastAsia="lv-LV"/>
              </w:rPr>
              <w:t>Enerģētika un elektrotehnika</w:t>
            </w:r>
          </w:p>
        </w:tc>
        <w:tc>
          <w:tcPr>
            <w:tcW w:w="731" w:type="pct"/>
          </w:tcPr>
          <w:p w:rsidR="00B50160" w:rsidRPr="00B50160" w:rsidRDefault="00B50160" w:rsidP="00EF5D39">
            <w:pPr>
              <w:pStyle w:val="Default"/>
              <w:jc w:val="both"/>
              <w:rPr>
                <w:sz w:val="22"/>
                <w:szCs w:val="22"/>
              </w:rPr>
            </w:pPr>
            <w:r w:rsidRPr="00B50160">
              <w:rPr>
                <w:sz w:val="22"/>
                <w:szCs w:val="22"/>
              </w:rPr>
              <w:t>3352201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color w:val="auto"/>
                <w:sz w:val="22"/>
                <w:szCs w:val="22"/>
                <w:highlight w:val="cyan"/>
              </w:rPr>
            </w:pPr>
          </w:p>
        </w:tc>
        <w:tc>
          <w:tcPr>
            <w:tcW w:w="695" w:type="pct"/>
          </w:tcPr>
          <w:p w:rsidR="00B50160" w:rsidRPr="00B50160" w:rsidRDefault="00B50160">
            <w:pPr>
              <w:rPr>
                <w:sz w:val="22"/>
                <w:szCs w:val="22"/>
              </w:rPr>
            </w:pPr>
            <w:r w:rsidRPr="00B50160">
              <w:rPr>
                <w:sz w:val="22"/>
                <w:szCs w:val="22"/>
              </w:rPr>
              <w:t>Rīga</w:t>
            </w:r>
          </w:p>
        </w:tc>
        <w:tc>
          <w:tcPr>
            <w:tcW w:w="1043" w:type="pct"/>
          </w:tcPr>
          <w:p w:rsidR="00B50160" w:rsidRPr="00B50160" w:rsidRDefault="00B50160" w:rsidP="00120677">
            <w:pPr>
              <w:rPr>
                <w:rFonts w:eastAsia="Calibri"/>
                <w:color w:val="000000"/>
                <w:sz w:val="22"/>
                <w:szCs w:val="22"/>
                <w:lang w:eastAsia="lv-LV"/>
              </w:rPr>
            </w:pPr>
            <w:r w:rsidRPr="00B50160">
              <w:rPr>
                <w:rFonts w:eastAsia="Calibri"/>
                <w:color w:val="000000"/>
                <w:sz w:val="22"/>
                <w:szCs w:val="22"/>
                <w:lang w:eastAsia="lv-LV"/>
              </w:rPr>
              <w:t>Elektronika</w:t>
            </w:r>
          </w:p>
        </w:tc>
        <w:tc>
          <w:tcPr>
            <w:tcW w:w="731" w:type="pct"/>
          </w:tcPr>
          <w:p w:rsidR="00B50160" w:rsidRPr="00B50160" w:rsidRDefault="00B50160" w:rsidP="00EF5D39">
            <w:pPr>
              <w:pStyle w:val="Default"/>
              <w:jc w:val="both"/>
              <w:rPr>
                <w:sz w:val="22"/>
                <w:szCs w:val="22"/>
              </w:rPr>
            </w:pPr>
            <w:r w:rsidRPr="00B50160">
              <w:rPr>
                <w:sz w:val="22"/>
                <w:szCs w:val="22"/>
              </w:rPr>
              <w:t>3352302</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color w:val="auto"/>
                <w:sz w:val="22"/>
                <w:szCs w:val="22"/>
                <w:highlight w:val="cyan"/>
              </w:rPr>
            </w:pPr>
          </w:p>
        </w:tc>
        <w:tc>
          <w:tcPr>
            <w:tcW w:w="695" w:type="pct"/>
          </w:tcPr>
          <w:p w:rsidR="00B50160" w:rsidRPr="00B50160" w:rsidRDefault="00B50160">
            <w:pPr>
              <w:rPr>
                <w:sz w:val="22"/>
                <w:szCs w:val="22"/>
              </w:rPr>
            </w:pPr>
            <w:r w:rsidRPr="00B50160">
              <w:rPr>
                <w:sz w:val="22"/>
                <w:szCs w:val="22"/>
              </w:rPr>
              <w:t>Rīga</w:t>
            </w:r>
          </w:p>
        </w:tc>
        <w:tc>
          <w:tcPr>
            <w:tcW w:w="1043" w:type="pct"/>
          </w:tcPr>
          <w:p w:rsidR="00B50160" w:rsidRPr="00B50160" w:rsidRDefault="00B50160" w:rsidP="00120677">
            <w:pPr>
              <w:rPr>
                <w:rFonts w:eastAsia="Calibri"/>
                <w:color w:val="000000"/>
                <w:sz w:val="22"/>
                <w:szCs w:val="22"/>
                <w:lang w:eastAsia="lv-LV"/>
              </w:rPr>
            </w:pPr>
            <w:r w:rsidRPr="00B50160">
              <w:rPr>
                <w:rFonts w:eastAsia="Calibri"/>
                <w:color w:val="000000"/>
                <w:sz w:val="22"/>
                <w:szCs w:val="22"/>
                <w:lang w:eastAsia="lv-LV"/>
              </w:rPr>
              <w:t>Metālapstrāde</w:t>
            </w:r>
          </w:p>
        </w:tc>
        <w:tc>
          <w:tcPr>
            <w:tcW w:w="731" w:type="pct"/>
          </w:tcPr>
          <w:p w:rsidR="00B50160" w:rsidRPr="00B50160" w:rsidRDefault="00B50160" w:rsidP="00EF5D39">
            <w:pPr>
              <w:pStyle w:val="Default"/>
              <w:jc w:val="both"/>
              <w:rPr>
                <w:sz w:val="22"/>
                <w:szCs w:val="22"/>
              </w:rPr>
            </w:pPr>
            <w:r w:rsidRPr="00B50160">
              <w:rPr>
                <w:sz w:val="22"/>
                <w:szCs w:val="22"/>
              </w:rPr>
              <w:t>3352101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color w:val="auto"/>
                <w:sz w:val="22"/>
                <w:szCs w:val="22"/>
                <w:highlight w:val="cyan"/>
              </w:rPr>
            </w:pPr>
          </w:p>
        </w:tc>
        <w:tc>
          <w:tcPr>
            <w:tcW w:w="695" w:type="pct"/>
          </w:tcPr>
          <w:p w:rsidR="00B50160" w:rsidRPr="00B50160" w:rsidRDefault="00B50160">
            <w:pPr>
              <w:rPr>
                <w:sz w:val="22"/>
                <w:szCs w:val="22"/>
              </w:rPr>
            </w:pPr>
            <w:r w:rsidRPr="00B50160">
              <w:rPr>
                <w:sz w:val="22"/>
                <w:szCs w:val="22"/>
              </w:rPr>
              <w:t>Rīga</w:t>
            </w:r>
          </w:p>
        </w:tc>
        <w:tc>
          <w:tcPr>
            <w:tcW w:w="1043" w:type="pct"/>
          </w:tcPr>
          <w:p w:rsidR="00B50160" w:rsidRPr="00B50160" w:rsidRDefault="00B50160" w:rsidP="00120677">
            <w:pPr>
              <w:rPr>
                <w:rFonts w:eastAsia="Calibri"/>
                <w:color w:val="000000"/>
                <w:sz w:val="22"/>
                <w:szCs w:val="22"/>
                <w:lang w:eastAsia="lv-LV"/>
              </w:rPr>
            </w:pPr>
            <w:r w:rsidRPr="00B50160">
              <w:rPr>
                <w:rFonts w:eastAsia="Calibri"/>
                <w:color w:val="000000"/>
                <w:sz w:val="22"/>
                <w:szCs w:val="22"/>
                <w:lang w:eastAsia="lv-LV"/>
              </w:rPr>
              <w:t>Kokizstrādājumu izgatavošana</w:t>
            </w:r>
          </w:p>
        </w:tc>
        <w:tc>
          <w:tcPr>
            <w:tcW w:w="731" w:type="pct"/>
          </w:tcPr>
          <w:p w:rsidR="00B50160" w:rsidRPr="00B50160" w:rsidRDefault="00B50160" w:rsidP="00EF5D39">
            <w:pPr>
              <w:pStyle w:val="Default"/>
              <w:jc w:val="both"/>
              <w:rPr>
                <w:sz w:val="22"/>
                <w:szCs w:val="22"/>
              </w:rPr>
            </w:pPr>
            <w:r w:rsidRPr="00B50160">
              <w:rPr>
                <w:sz w:val="22"/>
                <w:szCs w:val="22"/>
              </w:rPr>
              <w:t>3354304</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color w:val="auto"/>
                <w:sz w:val="22"/>
                <w:szCs w:val="22"/>
                <w:highlight w:val="cyan"/>
              </w:rPr>
            </w:pPr>
          </w:p>
        </w:tc>
        <w:tc>
          <w:tcPr>
            <w:tcW w:w="695" w:type="pct"/>
          </w:tcPr>
          <w:p w:rsidR="00B50160" w:rsidRPr="00B50160" w:rsidRDefault="00B50160">
            <w:pPr>
              <w:rPr>
                <w:sz w:val="22"/>
                <w:szCs w:val="22"/>
              </w:rPr>
            </w:pPr>
            <w:r w:rsidRPr="00B50160">
              <w:rPr>
                <w:sz w:val="22"/>
                <w:szCs w:val="22"/>
              </w:rPr>
              <w:t>Rīga</w:t>
            </w:r>
          </w:p>
        </w:tc>
        <w:tc>
          <w:tcPr>
            <w:tcW w:w="1043" w:type="pct"/>
          </w:tcPr>
          <w:p w:rsidR="00B50160" w:rsidRPr="00B50160" w:rsidRDefault="00B50160" w:rsidP="00120677">
            <w:pPr>
              <w:rPr>
                <w:rFonts w:eastAsia="Calibri"/>
                <w:color w:val="000000"/>
                <w:sz w:val="22"/>
                <w:szCs w:val="22"/>
                <w:lang w:eastAsia="lv-LV"/>
              </w:rPr>
            </w:pPr>
            <w:proofErr w:type="spellStart"/>
            <w:r w:rsidRPr="00B50160">
              <w:rPr>
                <w:rFonts w:eastAsia="Calibri"/>
                <w:color w:val="000000"/>
                <w:sz w:val="22"/>
                <w:szCs w:val="22"/>
                <w:lang w:eastAsia="lv-LV"/>
              </w:rPr>
              <w:t>Mehatronika</w:t>
            </w:r>
            <w:proofErr w:type="spellEnd"/>
          </w:p>
        </w:tc>
        <w:tc>
          <w:tcPr>
            <w:tcW w:w="731" w:type="pct"/>
          </w:tcPr>
          <w:p w:rsidR="00B50160" w:rsidRPr="00B50160" w:rsidRDefault="00B50160" w:rsidP="00EF5D39">
            <w:pPr>
              <w:pStyle w:val="Default"/>
              <w:jc w:val="both"/>
              <w:rPr>
                <w:sz w:val="22"/>
                <w:szCs w:val="22"/>
              </w:rPr>
            </w:pPr>
            <w:r w:rsidRPr="00B50160">
              <w:rPr>
                <w:sz w:val="22"/>
                <w:szCs w:val="22"/>
              </w:rPr>
              <w:t>3352106</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color w:val="auto"/>
                <w:sz w:val="22"/>
                <w:szCs w:val="22"/>
                <w:highlight w:val="cyan"/>
              </w:rPr>
            </w:pPr>
          </w:p>
        </w:tc>
        <w:tc>
          <w:tcPr>
            <w:tcW w:w="695" w:type="pct"/>
          </w:tcPr>
          <w:p w:rsidR="00B50160" w:rsidRPr="00B50160" w:rsidRDefault="00B50160">
            <w:pPr>
              <w:rPr>
                <w:sz w:val="22"/>
                <w:szCs w:val="22"/>
              </w:rPr>
            </w:pPr>
            <w:r w:rsidRPr="00B50160">
              <w:rPr>
                <w:sz w:val="22"/>
                <w:szCs w:val="22"/>
              </w:rPr>
              <w:t>Rīga</w:t>
            </w:r>
          </w:p>
        </w:tc>
        <w:tc>
          <w:tcPr>
            <w:tcW w:w="1043" w:type="pct"/>
          </w:tcPr>
          <w:p w:rsidR="00B50160" w:rsidRPr="00B50160" w:rsidRDefault="00B50160" w:rsidP="00120677">
            <w:pPr>
              <w:rPr>
                <w:rFonts w:eastAsia="Calibri"/>
                <w:color w:val="000000"/>
                <w:sz w:val="22"/>
                <w:szCs w:val="22"/>
                <w:lang w:eastAsia="lv-LV"/>
              </w:rPr>
            </w:pPr>
            <w:r w:rsidRPr="00B50160">
              <w:rPr>
                <w:rFonts w:eastAsia="Calibri"/>
                <w:color w:val="000000"/>
                <w:sz w:val="22"/>
                <w:szCs w:val="22"/>
                <w:lang w:eastAsia="lv-LV"/>
              </w:rPr>
              <w:t>Programmēšana</w:t>
            </w:r>
          </w:p>
        </w:tc>
        <w:tc>
          <w:tcPr>
            <w:tcW w:w="731" w:type="pct"/>
          </w:tcPr>
          <w:p w:rsidR="00B50160" w:rsidRPr="00B50160" w:rsidRDefault="00B50160" w:rsidP="00EF5D39">
            <w:pPr>
              <w:pStyle w:val="Default"/>
              <w:jc w:val="both"/>
              <w:rPr>
                <w:sz w:val="22"/>
                <w:szCs w:val="22"/>
              </w:rPr>
            </w:pPr>
            <w:r w:rsidRPr="00B50160">
              <w:rPr>
                <w:sz w:val="22"/>
                <w:szCs w:val="22"/>
              </w:rPr>
              <w:t>3348103</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color w:val="auto"/>
                <w:sz w:val="22"/>
                <w:szCs w:val="22"/>
                <w:highlight w:val="cyan"/>
              </w:rPr>
            </w:pPr>
          </w:p>
        </w:tc>
        <w:tc>
          <w:tcPr>
            <w:tcW w:w="695" w:type="pct"/>
          </w:tcPr>
          <w:p w:rsidR="00B50160" w:rsidRPr="00B50160" w:rsidRDefault="00B50160">
            <w:pPr>
              <w:rPr>
                <w:sz w:val="22"/>
                <w:szCs w:val="22"/>
              </w:rPr>
            </w:pPr>
            <w:r w:rsidRPr="00B50160">
              <w:rPr>
                <w:sz w:val="22"/>
                <w:szCs w:val="22"/>
              </w:rPr>
              <w:t>Rīga</w:t>
            </w:r>
          </w:p>
        </w:tc>
        <w:tc>
          <w:tcPr>
            <w:tcW w:w="1043" w:type="pct"/>
          </w:tcPr>
          <w:p w:rsidR="00B50160" w:rsidRPr="00B50160" w:rsidRDefault="00B50160" w:rsidP="00120677">
            <w:pPr>
              <w:rPr>
                <w:rFonts w:eastAsia="Calibri"/>
                <w:color w:val="000000"/>
                <w:sz w:val="22"/>
                <w:szCs w:val="22"/>
                <w:lang w:eastAsia="lv-LV"/>
              </w:rPr>
            </w:pPr>
            <w:r w:rsidRPr="00B50160">
              <w:rPr>
                <w:rFonts w:eastAsia="Calibri"/>
                <w:color w:val="000000"/>
                <w:sz w:val="22"/>
                <w:szCs w:val="22"/>
                <w:lang w:eastAsia="lv-LV"/>
              </w:rPr>
              <w:t>Telekomunikācijas</w:t>
            </w:r>
          </w:p>
        </w:tc>
        <w:tc>
          <w:tcPr>
            <w:tcW w:w="731" w:type="pct"/>
          </w:tcPr>
          <w:p w:rsidR="00B50160" w:rsidRPr="00B50160" w:rsidRDefault="00B50160" w:rsidP="00EF5D39">
            <w:pPr>
              <w:pStyle w:val="Default"/>
              <w:jc w:val="both"/>
              <w:rPr>
                <w:sz w:val="22"/>
                <w:szCs w:val="22"/>
              </w:rPr>
            </w:pPr>
            <w:r w:rsidRPr="00B50160">
              <w:rPr>
                <w:sz w:val="22"/>
                <w:szCs w:val="22"/>
              </w:rPr>
              <w:t>3352303</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color w:val="auto"/>
                <w:sz w:val="22"/>
                <w:szCs w:val="22"/>
                <w:highlight w:val="cyan"/>
              </w:rPr>
            </w:pPr>
          </w:p>
        </w:tc>
        <w:tc>
          <w:tcPr>
            <w:tcW w:w="695" w:type="pct"/>
          </w:tcPr>
          <w:p w:rsidR="00B50160" w:rsidRPr="00B50160" w:rsidRDefault="00B50160">
            <w:pPr>
              <w:rPr>
                <w:sz w:val="22"/>
                <w:szCs w:val="22"/>
              </w:rPr>
            </w:pPr>
            <w:r w:rsidRPr="00B50160">
              <w:rPr>
                <w:sz w:val="22"/>
                <w:szCs w:val="22"/>
              </w:rPr>
              <w:t>Rīga</w:t>
            </w:r>
          </w:p>
        </w:tc>
        <w:tc>
          <w:tcPr>
            <w:tcW w:w="1043" w:type="pct"/>
          </w:tcPr>
          <w:p w:rsidR="00B50160" w:rsidRPr="00B50160" w:rsidRDefault="00B50160" w:rsidP="00120677">
            <w:pPr>
              <w:rPr>
                <w:rFonts w:eastAsia="Calibri"/>
                <w:color w:val="000000"/>
                <w:sz w:val="22"/>
                <w:szCs w:val="22"/>
                <w:lang w:eastAsia="lv-LV"/>
              </w:rPr>
            </w:pPr>
            <w:proofErr w:type="spellStart"/>
            <w:r w:rsidRPr="00B50160">
              <w:rPr>
                <w:rFonts w:eastAsia="Calibri"/>
                <w:color w:val="000000"/>
                <w:sz w:val="22"/>
                <w:szCs w:val="22"/>
                <w:lang w:eastAsia="lv-LV"/>
              </w:rPr>
              <w:t>Inženiermehānika</w:t>
            </w:r>
            <w:proofErr w:type="spellEnd"/>
          </w:p>
        </w:tc>
        <w:tc>
          <w:tcPr>
            <w:tcW w:w="731" w:type="pct"/>
          </w:tcPr>
          <w:p w:rsidR="00B50160" w:rsidRPr="00B50160" w:rsidRDefault="00B50160" w:rsidP="00EF5D39">
            <w:pPr>
              <w:pStyle w:val="Default"/>
              <w:jc w:val="both"/>
              <w:rPr>
                <w:sz w:val="22"/>
                <w:szCs w:val="22"/>
              </w:rPr>
            </w:pPr>
            <w:r w:rsidRPr="00B50160">
              <w:rPr>
                <w:sz w:val="22"/>
                <w:szCs w:val="22"/>
              </w:rPr>
              <w:t>33521021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val="restart"/>
          </w:tcPr>
          <w:p w:rsidR="00B50160" w:rsidRPr="00B50160" w:rsidRDefault="00B50160" w:rsidP="00EF5D39">
            <w:pPr>
              <w:pStyle w:val="Default"/>
              <w:jc w:val="both"/>
              <w:rPr>
                <w:sz w:val="22"/>
                <w:szCs w:val="22"/>
              </w:rPr>
            </w:pPr>
            <w:r w:rsidRPr="00B50160">
              <w:rPr>
                <w:sz w:val="22"/>
                <w:szCs w:val="22"/>
              </w:rPr>
              <w:t>6.</w:t>
            </w:r>
          </w:p>
        </w:tc>
        <w:tc>
          <w:tcPr>
            <w:tcW w:w="767" w:type="pct"/>
            <w:vMerge w:val="restart"/>
          </w:tcPr>
          <w:p w:rsidR="00B50160" w:rsidRPr="00B50160" w:rsidRDefault="00B50160" w:rsidP="00EF5D39">
            <w:pPr>
              <w:pStyle w:val="Default"/>
              <w:jc w:val="both"/>
              <w:rPr>
                <w:sz w:val="22"/>
                <w:szCs w:val="22"/>
              </w:rPr>
            </w:pPr>
            <w:r w:rsidRPr="00B50160">
              <w:rPr>
                <w:color w:val="auto"/>
                <w:sz w:val="22"/>
                <w:szCs w:val="22"/>
              </w:rPr>
              <w:t>RCK</w:t>
            </w:r>
          </w:p>
        </w:tc>
        <w:tc>
          <w:tcPr>
            <w:tcW w:w="695" w:type="pct"/>
          </w:tcPr>
          <w:p w:rsidR="00B50160" w:rsidRPr="00B50160" w:rsidRDefault="00B50160" w:rsidP="00120677">
            <w:pPr>
              <w:rPr>
                <w:sz w:val="22"/>
                <w:szCs w:val="22"/>
              </w:rPr>
            </w:pPr>
            <w:r w:rsidRPr="00B50160">
              <w:rPr>
                <w:rFonts w:eastAsia="Calibri"/>
                <w:color w:val="000000"/>
                <w:sz w:val="22"/>
                <w:szCs w:val="22"/>
                <w:lang w:eastAsia="lv-LV"/>
              </w:rPr>
              <w:t>Rīga</w:t>
            </w:r>
          </w:p>
        </w:tc>
        <w:tc>
          <w:tcPr>
            <w:tcW w:w="1043" w:type="pct"/>
          </w:tcPr>
          <w:p w:rsidR="00B50160" w:rsidRPr="00B50160" w:rsidRDefault="00B50160" w:rsidP="00120677">
            <w:pPr>
              <w:rPr>
                <w:rFonts w:eastAsia="Calibri"/>
                <w:color w:val="000000"/>
                <w:sz w:val="22"/>
                <w:szCs w:val="22"/>
                <w:lang w:eastAsia="lv-LV"/>
              </w:rPr>
            </w:pPr>
            <w:r w:rsidRPr="00B50160">
              <w:rPr>
                <w:rFonts w:eastAsia="Calibri"/>
                <w:color w:val="000000"/>
                <w:sz w:val="22"/>
                <w:szCs w:val="22"/>
                <w:lang w:eastAsia="lv-LV"/>
              </w:rPr>
              <w:t>Restaurācija</w:t>
            </w:r>
          </w:p>
        </w:tc>
        <w:tc>
          <w:tcPr>
            <w:tcW w:w="731" w:type="pct"/>
          </w:tcPr>
          <w:p w:rsidR="00B50160" w:rsidRPr="00B50160" w:rsidRDefault="00B50160" w:rsidP="00EF5D39">
            <w:pPr>
              <w:pStyle w:val="Default"/>
              <w:jc w:val="both"/>
              <w:rPr>
                <w:sz w:val="22"/>
                <w:szCs w:val="22"/>
              </w:rPr>
            </w:pPr>
            <w:r w:rsidRPr="00B50160">
              <w:rPr>
                <w:sz w:val="22"/>
                <w:szCs w:val="22"/>
              </w:rPr>
              <w:t>41211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Default="00B50160">
            <w:r w:rsidRPr="004A687B">
              <w:rPr>
                <w:rFonts w:eastAsia="Calibri"/>
                <w:color w:val="000000"/>
                <w:sz w:val="22"/>
                <w:szCs w:val="22"/>
                <w:lang w:eastAsia="lv-LV"/>
              </w:rPr>
              <w:t>Rīga</w:t>
            </w:r>
          </w:p>
        </w:tc>
        <w:tc>
          <w:tcPr>
            <w:tcW w:w="1043" w:type="pct"/>
          </w:tcPr>
          <w:p w:rsidR="00B50160" w:rsidRPr="00B50160" w:rsidRDefault="00B50160" w:rsidP="00120677">
            <w:pPr>
              <w:rPr>
                <w:rFonts w:eastAsia="Calibri"/>
                <w:color w:val="000000"/>
                <w:sz w:val="22"/>
                <w:szCs w:val="22"/>
                <w:lang w:eastAsia="lv-LV"/>
              </w:rPr>
            </w:pPr>
            <w:r w:rsidRPr="00B50160">
              <w:rPr>
                <w:rFonts w:eastAsia="Calibri"/>
                <w:color w:val="000000"/>
                <w:sz w:val="22"/>
                <w:szCs w:val="22"/>
                <w:lang w:eastAsia="lv-LV"/>
              </w:rPr>
              <w:t>Arhitektūra</w:t>
            </w:r>
          </w:p>
        </w:tc>
        <w:tc>
          <w:tcPr>
            <w:tcW w:w="731" w:type="pct"/>
          </w:tcPr>
          <w:p w:rsidR="00B50160" w:rsidRPr="00B50160" w:rsidRDefault="00B50160" w:rsidP="00EF5D39">
            <w:pPr>
              <w:pStyle w:val="Default"/>
              <w:jc w:val="both"/>
              <w:rPr>
                <w:sz w:val="22"/>
                <w:szCs w:val="22"/>
              </w:rPr>
            </w:pPr>
            <w:r w:rsidRPr="00B50160">
              <w:rPr>
                <w:sz w:val="22"/>
                <w:szCs w:val="22"/>
              </w:rPr>
              <w:t>41581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Default="00B50160">
            <w:r w:rsidRPr="004A687B">
              <w:rPr>
                <w:rFonts w:eastAsia="Calibri"/>
                <w:color w:val="000000"/>
                <w:sz w:val="22"/>
                <w:szCs w:val="22"/>
                <w:lang w:eastAsia="lv-LV"/>
              </w:rPr>
              <w:t>Rīga</w:t>
            </w:r>
          </w:p>
        </w:tc>
        <w:tc>
          <w:tcPr>
            <w:tcW w:w="1043" w:type="pct"/>
          </w:tcPr>
          <w:p w:rsidR="00B50160" w:rsidRPr="00B50160" w:rsidRDefault="00B50160" w:rsidP="00120677">
            <w:pPr>
              <w:rPr>
                <w:rFonts w:eastAsia="Calibri"/>
                <w:color w:val="000000"/>
                <w:sz w:val="22"/>
                <w:szCs w:val="22"/>
                <w:lang w:eastAsia="lv-LV"/>
              </w:rPr>
            </w:pPr>
            <w:proofErr w:type="spellStart"/>
            <w:r w:rsidRPr="00B50160">
              <w:rPr>
                <w:rFonts w:eastAsia="Calibri"/>
                <w:color w:val="000000"/>
                <w:sz w:val="22"/>
                <w:szCs w:val="22"/>
                <w:lang w:eastAsia="lv-LV"/>
              </w:rPr>
              <w:t>Būvzinības</w:t>
            </w:r>
            <w:proofErr w:type="spellEnd"/>
          </w:p>
        </w:tc>
        <w:tc>
          <w:tcPr>
            <w:tcW w:w="731" w:type="pct"/>
          </w:tcPr>
          <w:p w:rsidR="00B50160" w:rsidRPr="00B50160" w:rsidRDefault="00B50160" w:rsidP="00EF5D39">
            <w:pPr>
              <w:pStyle w:val="Default"/>
              <w:jc w:val="both"/>
              <w:rPr>
                <w:sz w:val="22"/>
                <w:szCs w:val="22"/>
              </w:rPr>
            </w:pPr>
            <w:r w:rsidRPr="00B50160">
              <w:rPr>
                <w:sz w:val="22"/>
                <w:szCs w:val="22"/>
              </w:rPr>
              <w:t>41582</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Default="00B50160">
            <w:r w:rsidRPr="004A687B">
              <w:rPr>
                <w:rFonts w:eastAsia="Calibri"/>
                <w:color w:val="000000"/>
                <w:sz w:val="22"/>
                <w:szCs w:val="22"/>
                <w:lang w:eastAsia="lv-LV"/>
              </w:rPr>
              <w:t>Rīga</w:t>
            </w:r>
          </w:p>
        </w:tc>
        <w:tc>
          <w:tcPr>
            <w:tcW w:w="1043" w:type="pct"/>
          </w:tcPr>
          <w:p w:rsidR="00B50160" w:rsidRPr="00B50160" w:rsidRDefault="00B50160" w:rsidP="00D50D6F">
            <w:pPr>
              <w:rPr>
                <w:sz w:val="22"/>
                <w:szCs w:val="22"/>
              </w:rPr>
            </w:pPr>
            <w:proofErr w:type="spellStart"/>
            <w:r w:rsidRPr="00B50160">
              <w:rPr>
                <w:sz w:val="22"/>
                <w:szCs w:val="22"/>
              </w:rPr>
              <w:t>Inženiersistēmas</w:t>
            </w:r>
            <w:proofErr w:type="spellEnd"/>
          </w:p>
        </w:tc>
        <w:tc>
          <w:tcPr>
            <w:tcW w:w="731" w:type="pct"/>
          </w:tcPr>
          <w:p w:rsidR="00B50160" w:rsidRPr="00B50160" w:rsidRDefault="00B50160" w:rsidP="00EF5D39">
            <w:pPr>
              <w:pStyle w:val="Default"/>
              <w:jc w:val="both"/>
              <w:rPr>
                <w:sz w:val="22"/>
                <w:szCs w:val="22"/>
              </w:rPr>
            </w:pPr>
            <w:r w:rsidRPr="00B50160">
              <w:rPr>
                <w:sz w:val="22"/>
                <w:szCs w:val="22"/>
              </w:rPr>
              <w:t>41582</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Default="00B50160">
            <w:r w:rsidRPr="004A687B">
              <w:rPr>
                <w:rFonts w:eastAsia="Calibri"/>
                <w:color w:val="000000"/>
                <w:sz w:val="22"/>
                <w:szCs w:val="22"/>
                <w:lang w:eastAsia="lv-LV"/>
              </w:rPr>
              <w:t>Rīga</w:t>
            </w:r>
          </w:p>
        </w:tc>
        <w:tc>
          <w:tcPr>
            <w:tcW w:w="1043" w:type="pct"/>
          </w:tcPr>
          <w:p w:rsidR="00B50160" w:rsidRPr="00B50160" w:rsidRDefault="00B50160" w:rsidP="00D50D6F">
            <w:pPr>
              <w:rPr>
                <w:rFonts w:eastAsia="Calibri"/>
                <w:color w:val="000000"/>
                <w:sz w:val="22"/>
                <w:szCs w:val="22"/>
                <w:highlight w:val="cyan"/>
                <w:lang w:eastAsia="lv-LV"/>
              </w:rPr>
            </w:pPr>
            <w:r w:rsidRPr="00B50160">
              <w:rPr>
                <w:sz w:val="22"/>
                <w:szCs w:val="22"/>
              </w:rPr>
              <w:t>Būvniecība</w:t>
            </w:r>
          </w:p>
        </w:tc>
        <w:tc>
          <w:tcPr>
            <w:tcW w:w="731" w:type="pct"/>
          </w:tcPr>
          <w:p w:rsidR="00B50160" w:rsidRPr="00B50160" w:rsidRDefault="00B50160" w:rsidP="00EF5D39">
            <w:pPr>
              <w:pStyle w:val="Default"/>
              <w:jc w:val="both"/>
              <w:rPr>
                <w:sz w:val="22"/>
                <w:szCs w:val="22"/>
              </w:rPr>
            </w:pPr>
            <w:r w:rsidRPr="00B50160">
              <w:rPr>
                <w:sz w:val="22"/>
                <w:szCs w:val="22"/>
              </w:rPr>
              <w:t>33582021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Default="00B50160">
            <w:r w:rsidRPr="004A687B">
              <w:rPr>
                <w:rFonts w:eastAsia="Calibri"/>
                <w:color w:val="000000"/>
                <w:sz w:val="22"/>
                <w:szCs w:val="22"/>
                <w:lang w:eastAsia="lv-LV"/>
              </w:rPr>
              <w:t>Rīga</w:t>
            </w:r>
          </w:p>
        </w:tc>
        <w:tc>
          <w:tcPr>
            <w:tcW w:w="1043" w:type="pct"/>
          </w:tcPr>
          <w:p w:rsidR="00B50160" w:rsidRPr="00B50160" w:rsidRDefault="00B50160" w:rsidP="00D50D6F">
            <w:pPr>
              <w:rPr>
                <w:rFonts w:eastAsia="Calibri"/>
                <w:color w:val="000000"/>
                <w:sz w:val="22"/>
                <w:szCs w:val="22"/>
                <w:highlight w:val="cyan"/>
                <w:lang w:eastAsia="lv-LV"/>
              </w:rPr>
            </w:pPr>
            <w:r w:rsidRPr="00B50160">
              <w:rPr>
                <w:sz w:val="22"/>
                <w:szCs w:val="22"/>
              </w:rPr>
              <w:t>Būvdarbi</w:t>
            </w:r>
          </w:p>
        </w:tc>
        <w:tc>
          <w:tcPr>
            <w:tcW w:w="731" w:type="pct"/>
          </w:tcPr>
          <w:p w:rsidR="00B50160" w:rsidRPr="00B50160" w:rsidRDefault="00B50160" w:rsidP="00EF5D39">
            <w:pPr>
              <w:pStyle w:val="Default"/>
              <w:jc w:val="both"/>
              <w:rPr>
                <w:sz w:val="22"/>
                <w:szCs w:val="22"/>
              </w:rPr>
            </w:pPr>
            <w:r w:rsidRPr="00B50160">
              <w:rPr>
                <w:sz w:val="22"/>
                <w:szCs w:val="22"/>
              </w:rPr>
              <w:t>33582011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Default="00B50160">
            <w:r w:rsidRPr="004A687B">
              <w:rPr>
                <w:rFonts w:eastAsia="Calibri"/>
                <w:color w:val="000000"/>
                <w:sz w:val="22"/>
                <w:szCs w:val="22"/>
                <w:lang w:eastAsia="lv-LV"/>
              </w:rPr>
              <w:t>Rīga</w:t>
            </w:r>
          </w:p>
        </w:tc>
        <w:tc>
          <w:tcPr>
            <w:tcW w:w="1043" w:type="pct"/>
          </w:tcPr>
          <w:p w:rsidR="00B50160" w:rsidRPr="00B50160" w:rsidRDefault="00B50160" w:rsidP="00D50D6F">
            <w:pPr>
              <w:rPr>
                <w:sz w:val="22"/>
                <w:szCs w:val="22"/>
                <w:highlight w:val="cyan"/>
              </w:rPr>
            </w:pPr>
            <w:r w:rsidRPr="00B50160">
              <w:rPr>
                <w:sz w:val="22"/>
                <w:szCs w:val="22"/>
              </w:rPr>
              <w:t>Arhitektūra</w:t>
            </w:r>
          </w:p>
        </w:tc>
        <w:tc>
          <w:tcPr>
            <w:tcW w:w="731" w:type="pct"/>
          </w:tcPr>
          <w:p w:rsidR="00B50160" w:rsidRPr="00B50160" w:rsidRDefault="00B50160" w:rsidP="00EF5D39">
            <w:pPr>
              <w:pStyle w:val="Default"/>
              <w:jc w:val="both"/>
              <w:rPr>
                <w:sz w:val="22"/>
                <w:szCs w:val="22"/>
              </w:rPr>
            </w:pPr>
            <w:r w:rsidRPr="00B50160">
              <w:rPr>
                <w:sz w:val="22"/>
                <w:szCs w:val="22"/>
              </w:rPr>
              <w:t>33581011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B50160" w:rsidRPr="003D1752" w:rsidTr="00B81F3B">
        <w:tc>
          <w:tcPr>
            <w:tcW w:w="436" w:type="pct"/>
            <w:vMerge/>
          </w:tcPr>
          <w:p w:rsidR="00B50160" w:rsidRPr="00B50160" w:rsidRDefault="00B50160" w:rsidP="00EF5D39">
            <w:pPr>
              <w:pStyle w:val="Default"/>
              <w:jc w:val="both"/>
              <w:rPr>
                <w:sz w:val="22"/>
                <w:szCs w:val="22"/>
              </w:rPr>
            </w:pPr>
          </w:p>
        </w:tc>
        <w:tc>
          <w:tcPr>
            <w:tcW w:w="767" w:type="pct"/>
            <w:vMerge/>
          </w:tcPr>
          <w:p w:rsidR="00B50160" w:rsidRPr="00B50160" w:rsidRDefault="00B50160" w:rsidP="00EF5D39">
            <w:pPr>
              <w:pStyle w:val="Default"/>
              <w:jc w:val="both"/>
              <w:rPr>
                <w:sz w:val="22"/>
                <w:szCs w:val="22"/>
              </w:rPr>
            </w:pPr>
          </w:p>
        </w:tc>
        <w:tc>
          <w:tcPr>
            <w:tcW w:w="695" w:type="pct"/>
          </w:tcPr>
          <w:p w:rsidR="00B50160" w:rsidRDefault="00B50160">
            <w:r w:rsidRPr="004A687B">
              <w:rPr>
                <w:rFonts w:eastAsia="Calibri"/>
                <w:color w:val="000000"/>
                <w:sz w:val="22"/>
                <w:szCs w:val="22"/>
                <w:lang w:eastAsia="lv-LV"/>
              </w:rPr>
              <w:t>Rīga</w:t>
            </w:r>
          </w:p>
        </w:tc>
        <w:tc>
          <w:tcPr>
            <w:tcW w:w="1043" w:type="pct"/>
          </w:tcPr>
          <w:p w:rsidR="00B50160" w:rsidRPr="00B50160" w:rsidRDefault="00B50160" w:rsidP="00D50D6F">
            <w:pPr>
              <w:rPr>
                <w:sz w:val="22"/>
                <w:szCs w:val="22"/>
              </w:rPr>
            </w:pPr>
            <w:r w:rsidRPr="00B50160">
              <w:rPr>
                <w:sz w:val="22"/>
                <w:szCs w:val="22"/>
              </w:rPr>
              <w:t>Siltuma, gāzes un ūdens tehnoloģija</w:t>
            </w:r>
          </w:p>
        </w:tc>
        <w:tc>
          <w:tcPr>
            <w:tcW w:w="731" w:type="pct"/>
          </w:tcPr>
          <w:p w:rsidR="00B50160" w:rsidRPr="00B50160" w:rsidRDefault="00B50160" w:rsidP="00EF5D39">
            <w:pPr>
              <w:pStyle w:val="Default"/>
              <w:jc w:val="both"/>
              <w:rPr>
                <w:sz w:val="22"/>
                <w:szCs w:val="22"/>
              </w:rPr>
            </w:pPr>
            <w:r w:rsidRPr="00B50160">
              <w:rPr>
                <w:sz w:val="22"/>
                <w:szCs w:val="22"/>
              </w:rPr>
              <w:t>33582031</w:t>
            </w:r>
          </w:p>
        </w:tc>
        <w:tc>
          <w:tcPr>
            <w:tcW w:w="584" w:type="pct"/>
          </w:tcPr>
          <w:p w:rsidR="00B50160" w:rsidRPr="00B50160" w:rsidRDefault="00B50160" w:rsidP="00B50160">
            <w:pPr>
              <w:pStyle w:val="Default"/>
              <w:jc w:val="center"/>
              <w:rPr>
                <w:sz w:val="22"/>
                <w:szCs w:val="22"/>
              </w:rPr>
            </w:pPr>
            <w:r>
              <w:rPr>
                <w:sz w:val="22"/>
                <w:szCs w:val="22"/>
              </w:rPr>
              <w:t>X</w:t>
            </w:r>
          </w:p>
        </w:tc>
        <w:tc>
          <w:tcPr>
            <w:tcW w:w="744" w:type="pct"/>
          </w:tcPr>
          <w:p w:rsidR="00B50160" w:rsidRPr="00B50160" w:rsidRDefault="00B50160" w:rsidP="00B50160">
            <w:pPr>
              <w:pStyle w:val="Default"/>
              <w:jc w:val="center"/>
              <w:rPr>
                <w:sz w:val="22"/>
                <w:szCs w:val="22"/>
              </w:rPr>
            </w:pPr>
            <w:r>
              <w:rPr>
                <w:sz w:val="22"/>
                <w:szCs w:val="22"/>
              </w:rPr>
              <w:t>X</w:t>
            </w:r>
          </w:p>
        </w:tc>
      </w:tr>
      <w:tr w:rsidR="007E7FAA" w:rsidRPr="003D1752" w:rsidTr="00B81F3B">
        <w:tc>
          <w:tcPr>
            <w:tcW w:w="436" w:type="pct"/>
          </w:tcPr>
          <w:p w:rsidR="007E7FAA" w:rsidRPr="00B50160" w:rsidRDefault="007E7FAA" w:rsidP="007E7FAA">
            <w:pPr>
              <w:pStyle w:val="Default"/>
              <w:jc w:val="both"/>
              <w:rPr>
                <w:sz w:val="22"/>
                <w:szCs w:val="22"/>
              </w:rPr>
            </w:pPr>
            <w:r>
              <w:rPr>
                <w:sz w:val="22"/>
                <w:szCs w:val="22"/>
              </w:rPr>
              <w:t>7.</w:t>
            </w:r>
          </w:p>
        </w:tc>
        <w:tc>
          <w:tcPr>
            <w:tcW w:w="767" w:type="pct"/>
          </w:tcPr>
          <w:p w:rsidR="007E7FAA" w:rsidRPr="00B50160" w:rsidRDefault="007E7FAA" w:rsidP="007E7FAA">
            <w:pPr>
              <w:pStyle w:val="Default"/>
              <w:jc w:val="both"/>
              <w:rPr>
                <w:sz w:val="22"/>
                <w:szCs w:val="22"/>
              </w:rPr>
            </w:pPr>
            <w:r>
              <w:rPr>
                <w:sz w:val="22"/>
                <w:szCs w:val="22"/>
              </w:rPr>
              <w:t>DMK</w:t>
            </w:r>
          </w:p>
        </w:tc>
        <w:tc>
          <w:tcPr>
            <w:tcW w:w="695" w:type="pct"/>
          </w:tcPr>
          <w:p w:rsidR="007E7FAA" w:rsidRPr="004A687B" w:rsidRDefault="007E7FAA" w:rsidP="007E7FAA">
            <w:pPr>
              <w:rPr>
                <w:rFonts w:eastAsia="Calibri"/>
                <w:color w:val="000000"/>
                <w:sz w:val="22"/>
                <w:szCs w:val="22"/>
                <w:lang w:eastAsia="lv-LV"/>
              </w:rPr>
            </w:pPr>
            <w:r>
              <w:rPr>
                <w:rFonts w:eastAsia="Calibri"/>
                <w:color w:val="000000"/>
                <w:sz w:val="22"/>
                <w:szCs w:val="22"/>
                <w:lang w:eastAsia="lv-LV"/>
              </w:rPr>
              <w:t>Latgale</w:t>
            </w:r>
          </w:p>
        </w:tc>
        <w:tc>
          <w:tcPr>
            <w:tcW w:w="1043" w:type="pct"/>
          </w:tcPr>
          <w:p w:rsidR="007E7FAA" w:rsidRPr="00B50160" w:rsidRDefault="007E7FAA" w:rsidP="007E7FAA">
            <w:pPr>
              <w:rPr>
                <w:sz w:val="22"/>
                <w:szCs w:val="22"/>
              </w:rPr>
            </w:pPr>
            <w:r>
              <w:rPr>
                <w:sz w:val="22"/>
                <w:szCs w:val="22"/>
              </w:rPr>
              <w:t>Ārstniecība</w:t>
            </w:r>
          </w:p>
        </w:tc>
        <w:tc>
          <w:tcPr>
            <w:tcW w:w="731" w:type="pct"/>
          </w:tcPr>
          <w:p w:rsidR="007E7FAA" w:rsidRPr="00F60D95" w:rsidRDefault="007E7FAA" w:rsidP="007E7FAA">
            <w:pPr>
              <w:pStyle w:val="Default"/>
              <w:jc w:val="both"/>
              <w:rPr>
                <w:sz w:val="22"/>
                <w:szCs w:val="22"/>
              </w:rPr>
            </w:pPr>
            <w:r w:rsidRPr="00F60D95">
              <w:rPr>
                <w:sz w:val="22"/>
                <w:szCs w:val="22"/>
              </w:rPr>
              <w:t>41721</w:t>
            </w:r>
          </w:p>
        </w:tc>
        <w:tc>
          <w:tcPr>
            <w:tcW w:w="584" w:type="pct"/>
          </w:tcPr>
          <w:p w:rsidR="007E7FAA" w:rsidRDefault="007E7FAA" w:rsidP="007E7FAA">
            <w:pPr>
              <w:pStyle w:val="Default"/>
              <w:jc w:val="center"/>
              <w:rPr>
                <w:sz w:val="22"/>
                <w:szCs w:val="22"/>
              </w:rPr>
            </w:pPr>
            <w:r>
              <w:rPr>
                <w:sz w:val="22"/>
                <w:szCs w:val="22"/>
              </w:rPr>
              <w:t>X</w:t>
            </w:r>
          </w:p>
        </w:tc>
        <w:tc>
          <w:tcPr>
            <w:tcW w:w="744" w:type="pct"/>
          </w:tcPr>
          <w:p w:rsidR="007E7FAA" w:rsidRDefault="007E7FAA" w:rsidP="007E7FAA">
            <w:pPr>
              <w:pStyle w:val="Default"/>
              <w:jc w:val="center"/>
              <w:rPr>
                <w:sz w:val="22"/>
                <w:szCs w:val="22"/>
              </w:rPr>
            </w:pPr>
            <w:r>
              <w:rPr>
                <w:sz w:val="22"/>
                <w:szCs w:val="22"/>
              </w:rPr>
              <w:t>X</w:t>
            </w:r>
          </w:p>
        </w:tc>
      </w:tr>
      <w:tr w:rsidR="007E7FAA" w:rsidRPr="003D1752" w:rsidTr="00B81F3B">
        <w:tc>
          <w:tcPr>
            <w:tcW w:w="436" w:type="pct"/>
          </w:tcPr>
          <w:p w:rsidR="007E7FAA" w:rsidRPr="00B50160" w:rsidRDefault="007E7FAA" w:rsidP="007E7FAA">
            <w:pPr>
              <w:pStyle w:val="Default"/>
              <w:jc w:val="both"/>
              <w:rPr>
                <w:sz w:val="22"/>
                <w:szCs w:val="22"/>
              </w:rPr>
            </w:pPr>
          </w:p>
        </w:tc>
        <w:tc>
          <w:tcPr>
            <w:tcW w:w="767" w:type="pct"/>
          </w:tcPr>
          <w:p w:rsidR="007E7FAA" w:rsidRPr="00B50160" w:rsidRDefault="007E7FAA" w:rsidP="007E7FAA">
            <w:pPr>
              <w:pStyle w:val="Default"/>
              <w:jc w:val="both"/>
              <w:rPr>
                <w:sz w:val="22"/>
                <w:szCs w:val="22"/>
              </w:rPr>
            </w:pPr>
          </w:p>
        </w:tc>
        <w:tc>
          <w:tcPr>
            <w:tcW w:w="695" w:type="pct"/>
          </w:tcPr>
          <w:p w:rsidR="007E7FAA" w:rsidRPr="004A687B" w:rsidRDefault="007E7FAA" w:rsidP="007E7FAA">
            <w:pPr>
              <w:rPr>
                <w:rFonts w:eastAsia="Calibri"/>
                <w:color w:val="000000"/>
                <w:sz w:val="22"/>
                <w:szCs w:val="22"/>
                <w:lang w:eastAsia="lv-LV"/>
              </w:rPr>
            </w:pPr>
          </w:p>
        </w:tc>
        <w:tc>
          <w:tcPr>
            <w:tcW w:w="1043" w:type="pct"/>
          </w:tcPr>
          <w:p w:rsidR="007E7FAA" w:rsidRPr="00B50160" w:rsidRDefault="007E7FAA" w:rsidP="007E7FAA">
            <w:pPr>
              <w:rPr>
                <w:sz w:val="22"/>
                <w:szCs w:val="22"/>
              </w:rPr>
            </w:pPr>
            <w:proofErr w:type="spellStart"/>
            <w:r>
              <w:rPr>
                <w:sz w:val="22"/>
                <w:szCs w:val="22"/>
              </w:rPr>
              <w:t>Māszinības</w:t>
            </w:r>
            <w:proofErr w:type="spellEnd"/>
          </w:p>
        </w:tc>
        <w:tc>
          <w:tcPr>
            <w:tcW w:w="731" w:type="pct"/>
          </w:tcPr>
          <w:p w:rsidR="007E7FAA" w:rsidRPr="00F60D95" w:rsidRDefault="007E7FAA" w:rsidP="007E7FAA">
            <w:pPr>
              <w:pStyle w:val="Default"/>
              <w:jc w:val="both"/>
              <w:rPr>
                <w:sz w:val="22"/>
                <w:szCs w:val="22"/>
              </w:rPr>
            </w:pPr>
            <w:r w:rsidRPr="00F60D95">
              <w:rPr>
                <w:sz w:val="22"/>
                <w:szCs w:val="22"/>
              </w:rPr>
              <w:t>41723</w:t>
            </w:r>
          </w:p>
        </w:tc>
        <w:tc>
          <w:tcPr>
            <w:tcW w:w="584" w:type="pct"/>
          </w:tcPr>
          <w:p w:rsidR="007E7FAA" w:rsidRDefault="007E7FAA" w:rsidP="007E7FAA">
            <w:pPr>
              <w:pStyle w:val="Default"/>
              <w:jc w:val="center"/>
              <w:rPr>
                <w:sz w:val="22"/>
                <w:szCs w:val="22"/>
              </w:rPr>
            </w:pPr>
            <w:r>
              <w:rPr>
                <w:sz w:val="22"/>
                <w:szCs w:val="22"/>
              </w:rPr>
              <w:t>X</w:t>
            </w:r>
          </w:p>
        </w:tc>
        <w:tc>
          <w:tcPr>
            <w:tcW w:w="744" w:type="pct"/>
          </w:tcPr>
          <w:p w:rsidR="007E7FAA" w:rsidRDefault="007E7FAA" w:rsidP="007E7FAA">
            <w:pPr>
              <w:pStyle w:val="Default"/>
              <w:jc w:val="center"/>
              <w:rPr>
                <w:sz w:val="22"/>
                <w:szCs w:val="22"/>
              </w:rPr>
            </w:pPr>
            <w:r>
              <w:rPr>
                <w:sz w:val="22"/>
                <w:szCs w:val="22"/>
              </w:rPr>
              <w:t>X</w:t>
            </w:r>
          </w:p>
        </w:tc>
      </w:tr>
      <w:tr w:rsidR="007E7FAA" w:rsidRPr="003D1752" w:rsidTr="00B81F3B">
        <w:tc>
          <w:tcPr>
            <w:tcW w:w="436" w:type="pct"/>
          </w:tcPr>
          <w:p w:rsidR="007E7FAA" w:rsidRPr="00B50160" w:rsidRDefault="007E7FAA" w:rsidP="007E7FAA">
            <w:pPr>
              <w:pStyle w:val="Default"/>
              <w:jc w:val="both"/>
              <w:rPr>
                <w:sz w:val="22"/>
                <w:szCs w:val="22"/>
              </w:rPr>
            </w:pPr>
          </w:p>
        </w:tc>
        <w:tc>
          <w:tcPr>
            <w:tcW w:w="767" w:type="pct"/>
          </w:tcPr>
          <w:p w:rsidR="007E7FAA" w:rsidRPr="00B50160" w:rsidRDefault="007E7FAA" w:rsidP="007E7FAA">
            <w:pPr>
              <w:pStyle w:val="Default"/>
              <w:jc w:val="both"/>
              <w:rPr>
                <w:sz w:val="22"/>
                <w:szCs w:val="22"/>
              </w:rPr>
            </w:pPr>
          </w:p>
        </w:tc>
        <w:tc>
          <w:tcPr>
            <w:tcW w:w="695" w:type="pct"/>
          </w:tcPr>
          <w:p w:rsidR="007E7FAA" w:rsidRPr="004A687B" w:rsidRDefault="007E7FAA" w:rsidP="007E7FAA">
            <w:pPr>
              <w:rPr>
                <w:rFonts w:eastAsia="Calibri"/>
                <w:color w:val="000000"/>
                <w:sz w:val="22"/>
                <w:szCs w:val="22"/>
                <w:lang w:eastAsia="lv-LV"/>
              </w:rPr>
            </w:pPr>
          </w:p>
        </w:tc>
        <w:tc>
          <w:tcPr>
            <w:tcW w:w="1043" w:type="pct"/>
          </w:tcPr>
          <w:p w:rsidR="007E7FAA" w:rsidRPr="00B50160" w:rsidRDefault="007E7FAA" w:rsidP="007E7FAA">
            <w:pPr>
              <w:rPr>
                <w:sz w:val="22"/>
                <w:szCs w:val="22"/>
              </w:rPr>
            </w:pPr>
            <w:proofErr w:type="spellStart"/>
            <w:r>
              <w:rPr>
                <w:sz w:val="22"/>
                <w:szCs w:val="22"/>
              </w:rPr>
              <w:t>Māszinības</w:t>
            </w:r>
            <w:proofErr w:type="spellEnd"/>
          </w:p>
        </w:tc>
        <w:tc>
          <w:tcPr>
            <w:tcW w:w="731" w:type="pct"/>
          </w:tcPr>
          <w:p w:rsidR="007E7FAA" w:rsidRPr="00F60D95" w:rsidRDefault="007E7FAA" w:rsidP="007E7FAA">
            <w:pPr>
              <w:pStyle w:val="Default"/>
              <w:jc w:val="both"/>
              <w:rPr>
                <w:sz w:val="22"/>
                <w:szCs w:val="22"/>
              </w:rPr>
            </w:pPr>
            <w:r w:rsidRPr="00F60D95">
              <w:rPr>
                <w:sz w:val="22"/>
                <w:szCs w:val="22"/>
              </w:rPr>
              <w:t>35a723001</w:t>
            </w:r>
          </w:p>
        </w:tc>
        <w:tc>
          <w:tcPr>
            <w:tcW w:w="584" w:type="pct"/>
          </w:tcPr>
          <w:p w:rsidR="007E7FAA" w:rsidRDefault="007E7FAA" w:rsidP="007E7FAA">
            <w:pPr>
              <w:pStyle w:val="Default"/>
              <w:jc w:val="center"/>
              <w:rPr>
                <w:sz w:val="22"/>
                <w:szCs w:val="22"/>
              </w:rPr>
            </w:pPr>
            <w:r>
              <w:rPr>
                <w:sz w:val="22"/>
                <w:szCs w:val="22"/>
              </w:rPr>
              <w:t>X</w:t>
            </w:r>
          </w:p>
        </w:tc>
        <w:tc>
          <w:tcPr>
            <w:tcW w:w="744" w:type="pct"/>
          </w:tcPr>
          <w:p w:rsidR="007E7FAA" w:rsidRDefault="007E7FAA" w:rsidP="007E7FAA">
            <w:pPr>
              <w:pStyle w:val="Default"/>
              <w:jc w:val="center"/>
              <w:rPr>
                <w:sz w:val="22"/>
                <w:szCs w:val="22"/>
              </w:rPr>
            </w:pPr>
            <w:r>
              <w:rPr>
                <w:sz w:val="22"/>
                <w:szCs w:val="22"/>
              </w:rPr>
              <w:t>X</w:t>
            </w:r>
          </w:p>
        </w:tc>
      </w:tr>
      <w:tr w:rsidR="00F60D95" w:rsidRPr="003D1752" w:rsidTr="00B81F3B">
        <w:tc>
          <w:tcPr>
            <w:tcW w:w="436" w:type="pct"/>
          </w:tcPr>
          <w:p w:rsidR="00F60D95" w:rsidRPr="00B50160" w:rsidRDefault="00F60D95" w:rsidP="00F60D95">
            <w:pPr>
              <w:pStyle w:val="Default"/>
              <w:jc w:val="both"/>
              <w:rPr>
                <w:sz w:val="22"/>
                <w:szCs w:val="22"/>
              </w:rPr>
            </w:pPr>
            <w:r>
              <w:rPr>
                <w:sz w:val="22"/>
                <w:szCs w:val="22"/>
              </w:rPr>
              <w:t>8.</w:t>
            </w:r>
          </w:p>
        </w:tc>
        <w:tc>
          <w:tcPr>
            <w:tcW w:w="767" w:type="pct"/>
          </w:tcPr>
          <w:p w:rsidR="00F60D95" w:rsidRPr="00B50160" w:rsidRDefault="00F60D95" w:rsidP="00F60D95">
            <w:pPr>
              <w:pStyle w:val="Default"/>
              <w:jc w:val="both"/>
              <w:rPr>
                <w:sz w:val="22"/>
                <w:szCs w:val="22"/>
              </w:rPr>
            </w:pPr>
            <w:r>
              <w:rPr>
                <w:sz w:val="22"/>
                <w:szCs w:val="22"/>
              </w:rPr>
              <w:t>R1MK</w:t>
            </w:r>
          </w:p>
        </w:tc>
        <w:tc>
          <w:tcPr>
            <w:tcW w:w="695" w:type="pct"/>
          </w:tcPr>
          <w:p w:rsidR="00F60D95" w:rsidRPr="004A687B" w:rsidRDefault="00F60D95" w:rsidP="00F60D95">
            <w:pPr>
              <w:rPr>
                <w:rFonts w:eastAsia="Calibri"/>
                <w:color w:val="000000"/>
                <w:sz w:val="22"/>
                <w:szCs w:val="22"/>
                <w:lang w:eastAsia="lv-LV"/>
              </w:rPr>
            </w:pPr>
            <w:r>
              <w:rPr>
                <w:rFonts w:eastAsia="Calibri"/>
                <w:color w:val="000000"/>
                <w:sz w:val="22"/>
                <w:szCs w:val="22"/>
                <w:lang w:eastAsia="lv-LV"/>
              </w:rPr>
              <w:t>Rīga</w:t>
            </w:r>
          </w:p>
        </w:tc>
        <w:tc>
          <w:tcPr>
            <w:tcW w:w="1043" w:type="pct"/>
          </w:tcPr>
          <w:p w:rsidR="00F60D95" w:rsidRPr="00B50160" w:rsidRDefault="00F60D95" w:rsidP="00F60D95">
            <w:pPr>
              <w:rPr>
                <w:sz w:val="22"/>
                <w:szCs w:val="22"/>
              </w:rPr>
            </w:pPr>
            <w:r>
              <w:rPr>
                <w:sz w:val="22"/>
                <w:szCs w:val="22"/>
              </w:rPr>
              <w:t>Ārstniecība</w:t>
            </w:r>
          </w:p>
        </w:tc>
        <w:tc>
          <w:tcPr>
            <w:tcW w:w="731" w:type="pct"/>
          </w:tcPr>
          <w:p w:rsidR="00F60D95" w:rsidRPr="00F60D95" w:rsidRDefault="00F60D95" w:rsidP="00F60D95">
            <w:pPr>
              <w:pStyle w:val="Default"/>
              <w:jc w:val="both"/>
              <w:rPr>
                <w:sz w:val="22"/>
                <w:szCs w:val="22"/>
              </w:rPr>
            </w:pPr>
            <w:r w:rsidRPr="00F60D95">
              <w:rPr>
                <w:sz w:val="22"/>
                <w:szCs w:val="22"/>
              </w:rPr>
              <w:t>41721</w:t>
            </w:r>
          </w:p>
        </w:tc>
        <w:tc>
          <w:tcPr>
            <w:tcW w:w="584" w:type="pct"/>
          </w:tcPr>
          <w:p w:rsidR="00F60D95" w:rsidRDefault="00F60D95" w:rsidP="00F60D95">
            <w:pPr>
              <w:pStyle w:val="Default"/>
              <w:jc w:val="center"/>
              <w:rPr>
                <w:sz w:val="22"/>
                <w:szCs w:val="22"/>
              </w:rPr>
            </w:pPr>
            <w:r>
              <w:rPr>
                <w:sz w:val="22"/>
                <w:szCs w:val="22"/>
              </w:rPr>
              <w:t>X</w:t>
            </w:r>
          </w:p>
        </w:tc>
        <w:tc>
          <w:tcPr>
            <w:tcW w:w="744" w:type="pct"/>
          </w:tcPr>
          <w:p w:rsidR="00F60D95" w:rsidRDefault="00F60D95" w:rsidP="00F60D95">
            <w:pPr>
              <w:pStyle w:val="Default"/>
              <w:jc w:val="center"/>
              <w:rPr>
                <w:sz w:val="22"/>
                <w:szCs w:val="22"/>
              </w:rPr>
            </w:pPr>
            <w:r>
              <w:rPr>
                <w:sz w:val="22"/>
                <w:szCs w:val="22"/>
              </w:rPr>
              <w:t>X</w:t>
            </w:r>
          </w:p>
        </w:tc>
      </w:tr>
      <w:tr w:rsidR="00F60D95" w:rsidRPr="003D1752" w:rsidTr="00B81F3B">
        <w:tc>
          <w:tcPr>
            <w:tcW w:w="436" w:type="pct"/>
          </w:tcPr>
          <w:p w:rsidR="00F60D95" w:rsidRPr="00B50160" w:rsidRDefault="00F60D95" w:rsidP="00F60D95">
            <w:pPr>
              <w:pStyle w:val="Default"/>
              <w:jc w:val="both"/>
              <w:rPr>
                <w:sz w:val="22"/>
                <w:szCs w:val="22"/>
              </w:rPr>
            </w:pPr>
          </w:p>
        </w:tc>
        <w:tc>
          <w:tcPr>
            <w:tcW w:w="767" w:type="pct"/>
          </w:tcPr>
          <w:p w:rsidR="00F60D95" w:rsidRPr="00B50160" w:rsidRDefault="00F60D95" w:rsidP="00F60D95">
            <w:pPr>
              <w:pStyle w:val="Default"/>
              <w:jc w:val="both"/>
              <w:rPr>
                <w:sz w:val="22"/>
                <w:szCs w:val="22"/>
              </w:rPr>
            </w:pPr>
          </w:p>
        </w:tc>
        <w:tc>
          <w:tcPr>
            <w:tcW w:w="695" w:type="pct"/>
          </w:tcPr>
          <w:p w:rsidR="00F60D95" w:rsidRPr="004A687B" w:rsidRDefault="00F60D95" w:rsidP="00F60D95">
            <w:pPr>
              <w:rPr>
                <w:rFonts w:eastAsia="Calibri"/>
                <w:color w:val="000000"/>
                <w:sz w:val="22"/>
                <w:szCs w:val="22"/>
                <w:lang w:eastAsia="lv-LV"/>
              </w:rPr>
            </w:pPr>
          </w:p>
        </w:tc>
        <w:tc>
          <w:tcPr>
            <w:tcW w:w="1043" w:type="pct"/>
          </w:tcPr>
          <w:p w:rsidR="00F60D95" w:rsidRPr="00B50160" w:rsidRDefault="00F60D95" w:rsidP="00F60D95">
            <w:pPr>
              <w:rPr>
                <w:sz w:val="22"/>
                <w:szCs w:val="22"/>
              </w:rPr>
            </w:pPr>
            <w:proofErr w:type="spellStart"/>
            <w:r>
              <w:rPr>
                <w:sz w:val="22"/>
                <w:szCs w:val="22"/>
              </w:rPr>
              <w:t>Māszinības</w:t>
            </w:r>
            <w:proofErr w:type="spellEnd"/>
          </w:p>
        </w:tc>
        <w:tc>
          <w:tcPr>
            <w:tcW w:w="731" w:type="pct"/>
          </w:tcPr>
          <w:p w:rsidR="00F60D95" w:rsidRPr="00F60D95" w:rsidRDefault="00F60D95" w:rsidP="00F60D95">
            <w:pPr>
              <w:pStyle w:val="Default"/>
              <w:jc w:val="both"/>
              <w:rPr>
                <w:sz w:val="22"/>
                <w:szCs w:val="22"/>
              </w:rPr>
            </w:pPr>
            <w:r w:rsidRPr="00F60D95">
              <w:rPr>
                <w:sz w:val="22"/>
                <w:szCs w:val="22"/>
              </w:rPr>
              <w:t>41723</w:t>
            </w:r>
          </w:p>
        </w:tc>
        <w:tc>
          <w:tcPr>
            <w:tcW w:w="584" w:type="pct"/>
          </w:tcPr>
          <w:p w:rsidR="00F60D95" w:rsidRDefault="00F60D95" w:rsidP="00F60D95">
            <w:pPr>
              <w:pStyle w:val="Default"/>
              <w:jc w:val="center"/>
              <w:rPr>
                <w:sz w:val="22"/>
                <w:szCs w:val="22"/>
              </w:rPr>
            </w:pPr>
            <w:r>
              <w:rPr>
                <w:sz w:val="22"/>
                <w:szCs w:val="22"/>
              </w:rPr>
              <w:t>X</w:t>
            </w:r>
          </w:p>
        </w:tc>
        <w:tc>
          <w:tcPr>
            <w:tcW w:w="744" w:type="pct"/>
          </w:tcPr>
          <w:p w:rsidR="00F60D95" w:rsidRDefault="00F60D95" w:rsidP="00F60D95">
            <w:pPr>
              <w:pStyle w:val="Default"/>
              <w:jc w:val="center"/>
              <w:rPr>
                <w:sz w:val="22"/>
                <w:szCs w:val="22"/>
              </w:rPr>
            </w:pPr>
            <w:r>
              <w:rPr>
                <w:sz w:val="22"/>
                <w:szCs w:val="22"/>
              </w:rPr>
              <w:t>X</w:t>
            </w:r>
          </w:p>
        </w:tc>
      </w:tr>
      <w:tr w:rsidR="00F60D95" w:rsidRPr="003D1752" w:rsidTr="00B81F3B">
        <w:tc>
          <w:tcPr>
            <w:tcW w:w="436" w:type="pct"/>
          </w:tcPr>
          <w:p w:rsidR="00F60D95" w:rsidRPr="00B50160" w:rsidRDefault="00F60D95" w:rsidP="00F60D95">
            <w:pPr>
              <w:pStyle w:val="Default"/>
              <w:jc w:val="both"/>
              <w:rPr>
                <w:sz w:val="22"/>
                <w:szCs w:val="22"/>
              </w:rPr>
            </w:pPr>
          </w:p>
        </w:tc>
        <w:tc>
          <w:tcPr>
            <w:tcW w:w="767" w:type="pct"/>
          </w:tcPr>
          <w:p w:rsidR="00F60D95" w:rsidRPr="00B50160" w:rsidRDefault="00F60D95" w:rsidP="00F60D95">
            <w:pPr>
              <w:pStyle w:val="Default"/>
              <w:jc w:val="both"/>
              <w:rPr>
                <w:sz w:val="22"/>
                <w:szCs w:val="22"/>
              </w:rPr>
            </w:pPr>
          </w:p>
        </w:tc>
        <w:tc>
          <w:tcPr>
            <w:tcW w:w="695" w:type="pct"/>
          </w:tcPr>
          <w:p w:rsidR="00F60D95" w:rsidRPr="004A687B" w:rsidRDefault="00F60D95" w:rsidP="00F60D95">
            <w:pPr>
              <w:rPr>
                <w:rFonts w:eastAsia="Calibri"/>
                <w:color w:val="000000"/>
                <w:sz w:val="22"/>
                <w:szCs w:val="22"/>
                <w:lang w:eastAsia="lv-LV"/>
              </w:rPr>
            </w:pPr>
          </w:p>
        </w:tc>
        <w:tc>
          <w:tcPr>
            <w:tcW w:w="1043" w:type="pct"/>
          </w:tcPr>
          <w:p w:rsidR="00F60D95" w:rsidRPr="00B50160" w:rsidRDefault="00F60D95" w:rsidP="00F60D95">
            <w:pPr>
              <w:rPr>
                <w:sz w:val="22"/>
                <w:szCs w:val="22"/>
              </w:rPr>
            </w:pPr>
            <w:r>
              <w:rPr>
                <w:sz w:val="22"/>
                <w:szCs w:val="22"/>
              </w:rPr>
              <w:t>Vecmāte</w:t>
            </w:r>
          </w:p>
        </w:tc>
        <w:tc>
          <w:tcPr>
            <w:tcW w:w="731" w:type="pct"/>
          </w:tcPr>
          <w:p w:rsidR="00F60D95" w:rsidRPr="00F60D95" w:rsidRDefault="00F60D95" w:rsidP="00F60D95">
            <w:pPr>
              <w:pStyle w:val="Default"/>
              <w:jc w:val="both"/>
              <w:rPr>
                <w:sz w:val="22"/>
                <w:szCs w:val="22"/>
              </w:rPr>
            </w:pPr>
            <w:r w:rsidRPr="00F60D95">
              <w:rPr>
                <w:sz w:val="22"/>
                <w:szCs w:val="22"/>
              </w:rPr>
              <w:t>41721</w:t>
            </w:r>
          </w:p>
        </w:tc>
        <w:tc>
          <w:tcPr>
            <w:tcW w:w="584" w:type="pct"/>
          </w:tcPr>
          <w:p w:rsidR="00F60D95" w:rsidRDefault="00F60D95" w:rsidP="00F60D95">
            <w:pPr>
              <w:pStyle w:val="Default"/>
              <w:jc w:val="center"/>
              <w:rPr>
                <w:sz w:val="22"/>
                <w:szCs w:val="22"/>
              </w:rPr>
            </w:pPr>
            <w:r>
              <w:rPr>
                <w:sz w:val="22"/>
                <w:szCs w:val="22"/>
              </w:rPr>
              <w:t>X</w:t>
            </w:r>
          </w:p>
        </w:tc>
        <w:tc>
          <w:tcPr>
            <w:tcW w:w="744" w:type="pct"/>
          </w:tcPr>
          <w:p w:rsidR="00F60D95" w:rsidRDefault="00F60D95" w:rsidP="00F60D95">
            <w:pPr>
              <w:pStyle w:val="Default"/>
              <w:jc w:val="center"/>
              <w:rPr>
                <w:sz w:val="22"/>
                <w:szCs w:val="22"/>
              </w:rPr>
            </w:pPr>
            <w:r>
              <w:rPr>
                <w:sz w:val="22"/>
                <w:szCs w:val="22"/>
              </w:rPr>
              <w:t>X</w:t>
            </w:r>
          </w:p>
        </w:tc>
      </w:tr>
      <w:tr w:rsidR="00F60D95" w:rsidRPr="003D1752" w:rsidTr="00B81F3B">
        <w:tc>
          <w:tcPr>
            <w:tcW w:w="436" w:type="pct"/>
          </w:tcPr>
          <w:p w:rsidR="00F60D95" w:rsidRPr="00B50160" w:rsidRDefault="00F60D95" w:rsidP="00F60D95">
            <w:pPr>
              <w:pStyle w:val="Default"/>
              <w:jc w:val="both"/>
              <w:rPr>
                <w:sz w:val="22"/>
                <w:szCs w:val="22"/>
              </w:rPr>
            </w:pPr>
          </w:p>
        </w:tc>
        <w:tc>
          <w:tcPr>
            <w:tcW w:w="767" w:type="pct"/>
          </w:tcPr>
          <w:p w:rsidR="00F60D95" w:rsidRPr="00B50160" w:rsidRDefault="00F60D95" w:rsidP="00F60D95">
            <w:pPr>
              <w:pStyle w:val="Default"/>
              <w:jc w:val="both"/>
              <w:rPr>
                <w:sz w:val="22"/>
                <w:szCs w:val="22"/>
              </w:rPr>
            </w:pPr>
          </w:p>
        </w:tc>
        <w:tc>
          <w:tcPr>
            <w:tcW w:w="695" w:type="pct"/>
          </w:tcPr>
          <w:p w:rsidR="00F60D95" w:rsidRPr="004A687B" w:rsidRDefault="00F60D95" w:rsidP="00F60D95">
            <w:pPr>
              <w:rPr>
                <w:rFonts w:eastAsia="Calibri"/>
                <w:color w:val="000000"/>
                <w:sz w:val="22"/>
                <w:szCs w:val="22"/>
                <w:lang w:eastAsia="lv-LV"/>
              </w:rPr>
            </w:pPr>
          </w:p>
        </w:tc>
        <w:tc>
          <w:tcPr>
            <w:tcW w:w="1043" w:type="pct"/>
          </w:tcPr>
          <w:p w:rsidR="00F60D95" w:rsidRDefault="00F60D95" w:rsidP="00F60D95">
            <w:pPr>
              <w:rPr>
                <w:sz w:val="22"/>
                <w:szCs w:val="22"/>
              </w:rPr>
            </w:pPr>
            <w:r>
              <w:rPr>
                <w:sz w:val="22"/>
                <w:szCs w:val="22"/>
              </w:rPr>
              <w:t>Farmācija</w:t>
            </w:r>
          </w:p>
        </w:tc>
        <w:tc>
          <w:tcPr>
            <w:tcW w:w="731" w:type="pct"/>
          </w:tcPr>
          <w:p w:rsidR="00F60D95" w:rsidRPr="00F60D95" w:rsidRDefault="00F60D95" w:rsidP="00F60D95">
            <w:pPr>
              <w:pStyle w:val="Default"/>
              <w:jc w:val="both"/>
              <w:rPr>
                <w:sz w:val="22"/>
                <w:szCs w:val="22"/>
              </w:rPr>
            </w:pPr>
            <w:r w:rsidRPr="00F60D95">
              <w:rPr>
                <w:sz w:val="22"/>
                <w:szCs w:val="22"/>
              </w:rPr>
              <w:t>41725</w:t>
            </w:r>
          </w:p>
        </w:tc>
        <w:tc>
          <w:tcPr>
            <w:tcW w:w="584" w:type="pct"/>
          </w:tcPr>
          <w:p w:rsidR="00F60D95" w:rsidRDefault="00F60D95" w:rsidP="00F60D95">
            <w:pPr>
              <w:pStyle w:val="Default"/>
              <w:jc w:val="center"/>
              <w:rPr>
                <w:sz w:val="22"/>
                <w:szCs w:val="22"/>
              </w:rPr>
            </w:pPr>
            <w:r>
              <w:rPr>
                <w:sz w:val="22"/>
                <w:szCs w:val="22"/>
              </w:rPr>
              <w:t>X</w:t>
            </w:r>
          </w:p>
        </w:tc>
        <w:tc>
          <w:tcPr>
            <w:tcW w:w="744" w:type="pct"/>
          </w:tcPr>
          <w:p w:rsidR="00F60D95" w:rsidRDefault="00F60D95" w:rsidP="00F60D95">
            <w:pPr>
              <w:pStyle w:val="Default"/>
              <w:jc w:val="center"/>
              <w:rPr>
                <w:sz w:val="22"/>
                <w:szCs w:val="22"/>
              </w:rPr>
            </w:pPr>
            <w:r>
              <w:rPr>
                <w:sz w:val="22"/>
                <w:szCs w:val="22"/>
              </w:rPr>
              <w:t>X</w:t>
            </w:r>
          </w:p>
        </w:tc>
      </w:tr>
      <w:tr w:rsidR="00F60D95" w:rsidRPr="003D1752" w:rsidTr="00B81F3B">
        <w:tc>
          <w:tcPr>
            <w:tcW w:w="436" w:type="pct"/>
          </w:tcPr>
          <w:p w:rsidR="00F60D95" w:rsidRPr="00B50160" w:rsidRDefault="00F60D95" w:rsidP="00F60D95">
            <w:pPr>
              <w:pStyle w:val="Default"/>
              <w:jc w:val="both"/>
              <w:rPr>
                <w:sz w:val="22"/>
                <w:szCs w:val="22"/>
              </w:rPr>
            </w:pPr>
          </w:p>
        </w:tc>
        <w:tc>
          <w:tcPr>
            <w:tcW w:w="767" w:type="pct"/>
          </w:tcPr>
          <w:p w:rsidR="00F60D95" w:rsidRPr="00B50160" w:rsidRDefault="00F60D95" w:rsidP="00F60D95">
            <w:pPr>
              <w:pStyle w:val="Default"/>
              <w:jc w:val="both"/>
              <w:rPr>
                <w:sz w:val="22"/>
                <w:szCs w:val="22"/>
              </w:rPr>
            </w:pPr>
          </w:p>
        </w:tc>
        <w:tc>
          <w:tcPr>
            <w:tcW w:w="695" w:type="pct"/>
          </w:tcPr>
          <w:p w:rsidR="00F60D95" w:rsidRPr="004A687B" w:rsidRDefault="00F60D95" w:rsidP="00F60D95">
            <w:pPr>
              <w:rPr>
                <w:rFonts w:eastAsia="Calibri"/>
                <w:color w:val="000000"/>
                <w:sz w:val="22"/>
                <w:szCs w:val="22"/>
                <w:lang w:eastAsia="lv-LV"/>
              </w:rPr>
            </w:pPr>
          </w:p>
        </w:tc>
        <w:tc>
          <w:tcPr>
            <w:tcW w:w="1043" w:type="pct"/>
          </w:tcPr>
          <w:p w:rsidR="00F60D95" w:rsidRDefault="00F60D95" w:rsidP="00F60D95">
            <w:pPr>
              <w:rPr>
                <w:sz w:val="22"/>
                <w:szCs w:val="22"/>
              </w:rPr>
            </w:pPr>
            <w:proofErr w:type="spellStart"/>
            <w:r>
              <w:rPr>
                <w:sz w:val="22"/>
                <w:szCs w:val="22"/>
              </w:rPr>
              <w:t>Māszinības</w:t>
            </w:r>
            <w:proofErr w:type="spellEnd"/>
          </w:p>
        </w:tc>
        <w:tc>
          <w:tcPr>
            <w:tcW w:w="731" w:type="pct"/>
          </w:tcPr>
          <w:p w:rsidR="00F60D95" w:rsidRPr="00F60D95" w:rsidRDefault="00F60D95" w:rsidP="00F60D95">
            <w:pPr>
              <w:pStyle w:val="Default"/>
              <w:jc w:val="both"/>
              <w:rPr>
                <w:sz w:val="22"/>
                <w:szCs w:val="22"/>
              </w:rPr>
            </w:pPr>
            <w:r w:rsidRPr="00F60D95">
              <w:rPr>
                <w:sz w:val="22"/>
                <w:szCs w:val="22"/>
              </w:rPr>
              <w:t>32a723001</w:t>
            </w:r>
          </w:p>
        </w:tc>
        <w:tc>
          <w:tcPr>
            <w:tcW w:w="584" w:type="pct"/>
          </w:tcPr>
          <w:p w:rsidR="00F60D95" w:rsidRDefault="00F60D95" w:rsidP="00F60D95">
            <w:pPr>
              <w:pStyle w:val="Default"/>
              <w:jc w:val="center"/>
              <w:rPr>
                <w:sz w:val="22"/>
                <w:szCs w:val="22"/>
              </w:rPr>
            </w:pPr>
            <w:r>
              <w:rPr>
                <w:sz w:val="22"/>
                <w:szCs w:val="22"/>
              </w:rPr>
              <w:t>X</w:t>
            </w:r>
          </w:p>
        </w:tc>
        <w:tc>
          <w:tcPr>
            <w:tcW w:w="744" w:type="pct"/>
          </w:tcPr>
          <w:p w:rsidR="00F60D95" w:rsidRDefault="00F60D95" w:rsidP="00F60D95">
            <w:pPr>
              <w:pStyle w:val="Default"/>
              <w:jc w:val="center"/>
              <w:rPr>
                <w:sz w:val="22"/>
                <w:szCs w:val="22"/>
              </w:rPr>
            </w:pPr>
            <w:r>
              <w:rPr>
                <w:sz w:val="22"/>
                <w:szCs w:val="22"/>
              </w:rPr>
              <w:t>X</w:t>
            </w:r>
          </w:p>
        </w:tc>
      </w:tr>
      <w:tr w:rsidR="00A14E76" w:rsidRPr="003D1752" w:rsidTr="00B81F3B">
        <w:tc>
          <w:tcPr>
            <w:tcW w:w="436" w:type="pct"/>
          </w:tcPr>
          <w:p w:rsidR="00A14E76" w:rsidRPr="00B50160" w:rsidRDefault="00A14E76" w:rsidP="00F60D95">
            <w:pPr>
              <w:pStyle w:val="Default"/>
              <w:jc w:val="both"/>
              <w:rPr>
                <w:sz w:val="22"/>
                <w:szCs w:val="22"/>
              </w:rPr>
            </w:pPr>
          </w:p>
        </w:tc>
        <w:tc>
          <w:tcPr>
            <w:tcW w:w="767" w:type="pct"/>
          </w:tcPr>
          <w:p w:rsidR="00A14E76" w:rsidRPr="00B50160" w:rsidRDefault="00A14E76" w:rsidP="00F60D95">
            <w:pPr>
              <w:pStyle w:val="Default"/>
              <w:jc w:val="both"/>
              <w:rPr>
                <w:sz w:val="22"/>
                <w:szCs w:val="22"/>
              </w:rPr>
            </w:pPr>
          </w:p>
        </w:tc>
        <w:tc>
          <w:tcPr>
            <w:tcW w:w="695" w:type="pct"/>
          </w:tcPr>
          <w:p w:rsidR="00A14E76" w:rsidRPr="004A687B" w:rsidRDefault="00A14E76" w:rsidP="00F60D95">
            <w:pPr>
              <w:rPr>
                <w:rFonts w:eastAsia="Calibri"/>
                <w:color w:val="000000"/>
                <w:sz w:val="22"/>
                <w:szCs w:val="22"/>
                <w:lang w:eastAsia="lv-LV"/>
              </w:rPr>
            </w:pPr>
          </w:p>
        </w:tc>
        <w:tc>
          <w:tcPr>
            <w:tcW w:w="1043" w:type="pct"/>
          </w:tcPr>
          <w:p w:rsidR="00A14E76" w:rsidRDefault="00A14E76" w:rsidP="00F60D95">
            <w:pPr>
              <w:rPr>
                <w:sz w:val="22"/>
                <w:szCs w:val="22"/>
              </w:rPr>
            </w:pPr>
            <w:proofErr w:type="spellStart"/>
            <w:r>
              <w:rPr>
                <w:sz w:val="22"/>
                <w:szCs w:val="22"/>
              </w:rPr>
              <w:t>Māszinības</w:t>
            </w:r>
            <w:proofErr w:type="spellEnd"/>
          </w:p>
        </w:tc>
        <w:tc>
          <w:tcPr>
            <w:tcW w:w="731" w:type="pct"/>
          </w:tcPr>
          <w:p w:rsidR="00A14E76" w:rsidRPr="00F60D95" w:rsidRDefault="00A14E76" w:rsidP="00A14E76">
            <w:pPr>
              <w:pStyle w:val="Default"/>
              <w:jc w:val="both"/>
              <w:rPr>
                <w:sz w:val="22"/>
                <w:szCs w:val="22"/>
              </w:rPr>
            </w:pPr>
            <w:r w:rsidRPr="00F60D95">
              <w:rPr>
                <w:sz w:val="22"/>
                <w:szCs w:val="22"/>
              </w:rPr>
              <w:t>3</w:t>
            </w:r>
            <w:r>
              <w:rPr>
                <w:sz w:val="22"/>
                <w:szCs w:val="22"/>
              </w:rPr>
              <w:t>5</w:t>
            </w:r>
            <w:r w:rsidRPr="00F60D95">
              <w:rPr>
                <w:sz w:val="22"/>
                <w:szCs w:val="22"/>
              </w:rPr>
              <w:t>a723001</w:t>
            </w:r>
          </w:p>
        </w:tc>
        <w:tc>
          <w:tcPr>
            <w:tcW w:w="584" w:type="pct"/>
          </w:tcPr>
          <w:p w:rsidR="00A14E76" w:rsidRDefault="00A14E76" w:rsidP="00F60D95">
            <w:pPr>
              <w:pStyle w:val="Default"/>
              <w:jc w:val="center"/>
              <w:rPr>
                <w:sz w:val="22"/>
                <w:szCs w:val="22"/>
              </w:rPr>
            </w:pPr>
            <w:r>
              <w:rPr>
                <w:sz w:val="22"/>
                <w:szCs w:val="22"/>
              </w:rPr>
              <w:t>X</w:t>
            </w:r>
          </w:p>
        </w:tc>
        <w:tc>
          <w:tcPr>
            <w:tcW w:w="744" w:type="pct"/>
          </w:tcPr>
          <w:p w:rsidR="00A14E76" w:rsidRDefault="00A14E76" w:rsidP="00F60D95">
            <w:pPr>
              <w:pStyle w:val="Default"/>
              <w:jc w:val="center"/>
              <w:rPr>
                <w:sz w:val="22"/>
                <w:szCs w:val="22"/>
              </w:rPr>
            </w:pPr>
            <w:r>
              <w:rPr>
                <w:sz w:val="22"/>
                <w:szCs w:val="22"/>
              </w:rPr>
              <w:t>X</w:t>
            </w:r>
          </w:p>
        </w:tc>
      </w:tr>
      <w:tr w:rsidR="00A14E76" w:rsidRPr="003D1752" w:rsidTr="00B81F3B">
        <w:tc>
          <w:tcPr>
            <w:tcW w:w="436" w:type="pct"/>
          </w:tcPr>
          <w:p w:rsidR="00A14E76" w:rsidRPr="00B50160" w:rsidRDefault="00A14E76" w:rsidP="00F60D95">
            <w:pPr>
              <w:pStyle w:val="Default"/>
              <w:jc w:val="both"/>
              <w:rPr>
                <w:sz w:val="22"/>
                <w:szCs w:val="22"/>
              </w:rPr>
            </w:pPr>
          </w:p>
        </w:tc>
        <w:tc>
          <w:tcPr>
            <w:tcW w:w="767" w:type="pct"/>
          </w:tcPr>
          <w:p w:rsidR="00A14E76" w:rsidRPr="00B50160" w:rsidRDefault="00A14E76" w:rsidP="00F60D95">
            <w:pPr>
              <w:pStyle w:val="Default"/>
              <w:jc w:val="both"/>
              <w:rPr>
                <w:sz w:val="22"/>
                <w:szCs w:val="22"/>
              </w:rPr>
            </w:pPr>
          </w:p>
        </w:tc>
        <w:tc>
          <w:tcPr>
            <w:tcW w:w="695" w:type="pct"/>
          </w:tcPr>
          <w:p w:rsidR="00A14E76" w:rsidRPr="004A687B" w:rsidRDefault="00A14E76" w:rsidP="00F60D95">
            <w:pPr>
              <w:rPr>
                <w:rFonts w:eastAsia="Calibri"/>
                <w:color w:val="000000"/>
                <w:sz w:val="22"/>
                <w:szCs w:val="22"/>
                <w:lang w:eastAsia="lv-LV"/>
              </w:rPr>
            </w:pPr>
          </w:p>
        </w:tc>
        <w:tc>
          <w:tcPr>
            <w:tcW w:w="1043" w:type="pct"/>
          </w:tcPr>
          <w:p w:rsidR="00A14E76" w:rsidRDefault="00A14E76" w:rsidP="00F60D95">
            <w:pPr>
              <w:rPr>
                <w:sz w:val="22"/>
                <w:szCs w:val="22"/>
              </w:rPr>
            </w:pPr>
            <w:r>
              <w:rPr>
                <w:sz w:val="22"/>
                <w:szCs w:val="22"/>
              </w:rPr>
              <w:t>Zobārstniecība</w:t>
            </w:r>
          </w:p>
        </w:tc>
        <w:tc>
          <w:tcPr>
            <w:tcW w:w="731" w:type="pct"/>
          </w:tcPr>
          <w:p w:rsidR="00A14E76" w:rsidRPr="00F60D95" w:rsidRDefault="00A14E76" w:rsidP="00F60D95">
            <w:pPr>
              <w:pStyle w:val="Default"/>
              <w:jc w:val="both"/>
              <w:rPr>
                <w:sz w:val="22"/>
                <w:szCs w:val="22"/>
              </w:rPr>
            </w:pPr>
            <w:r w:rsidRPr="00F60D95">
              <w:rPr>
                <w:sz w:val="22"/>
                <w:szCs w:val="22"/>
              </w:rPr>
              <w:t>35a724001</w:t>
            </w:r>
          </w:p>
        </w:tc>
        <w:tc>
          <w:tcPr>
            <w:tcW w:w="584" w:type="pct"/>
          </w:tcPr>
          <w:p w:rsidR="00A14E76" w:rsidRDefault="00A14E76" w:rsidP="00F60D95">
            <w:pPr>
              <w:pStyle w:val="Default"/>
              <w:jc w:val="center"/>
              <w:rPr>
                <w:sz w:val="22"/>
                <w:szCs w:val="22"/>
              </w:rPr>
            </w:pPr>
            <w:r>
              <w:rPr>
                <w:sz w:val="22"/>
                <w:szCs w:val="22"/>
              </w:rPr>
              <w:t>X</w:t>
            </w:r>
          </w:p>
        </w:tc>
        <w:tc>
          <w:tcPr>
            <w:tcW w:w="744" w:type="pct"/>
          </w:tcPr>
          <w:p w:rsidR="00A14E76" w:rsidRDefault="00A14E76" w:rsidP="00F60D95">
            <w:pPr>
              <w:pStyle w:val="Default"/>
              <w:jc w:val="center"/>
              <w:rPr>
                <w:sz w:val="22"/>
                <w:szCs w:val="22"/>
              </w:rPr>
            </w:pPr>
            <w:r>
              <w:rPr>
                <w:sz w:val="22"/>
                <w:szCs w:val="22"/>
              </w:rPr>
              <w:t>X</w:t>
            </w:r>
          </w:p>
        </w:tc>
      </w:tr>
      <w:tr w:rsidR="00A14E76" w:rsidRPr="003D1752" w:rsidTr="00B81F3B">
        <w:tc>
          <w:tcPr>
            <w:tcW w:w="436" w:type="pct"/>
          </w:tcPr>
          <w:p w:rsidR="00A14E76" w:rsidRPr="00B50160" w:rsidRDefault="00A14E76" w:rsidP="00F60D95">
            <w:pPr>
              <w:pStyle w:val="Default"/>
              <w:jc w:val="both"/>
              <w:rPr>
                <w:sz w:val="22"/>
                <w:szCs w:val="22"/>
              </w:rPr>
            </w:pPr>
          </w:p>
        </w:tc>
        <w:tc>
          <w:tcPr>
            <w:tcW w:w="767" w:type="pct"/>
          </w:tcPr>
          <w:p w:rsidR="00A14E76" w:rsidRPr="00B50160" w:rsidRDefault="00A14E76" w:rsidP="00F60D95">
            <w:pPr>
              <w:pStyle w:val="Default"/>
              <w:jc w:val="both"/>
              <w:rPr>
                <w:sz w:val="22"/>
                <w:szCs w:val="22"/>
              </w:rPr>
            </w:pPr>
          </w:p>
        </w:tc>
        <w:tc>
          <w:tcPr>
            <w:tcW w:w="695" w:type="pct"/>
          </w:tcPr>
          <w:p w:rsidR="00A14E76" w:rsidRPr="004A687B" w:rsidRDefault="00A14E76" w:rsidP="00F60D95">
            <w:pPr>
              <w:rPr>
                <w:rFonts w:eastAsia="Calibri"/>
                <w:color w:val="000000"/>
                <w:sz w:val="22"/>
                <w:szCs w:val="22"/>
                <w:lang w:eastAsia="lv-LV"/>
              </w:rPr>
            </w:pPr>
          </w:p>
        </w:tc>
        <w:tc>
          <w:tcPr>
            <w:tcW w:w="1043" w:type="pct"/>
          </w:tcPr>
          <w:p w:rsidR="00A14E76" w:rsidRDefault="00A14E76" w:rsidP="00F60D95">
            <w:pPr>
              <w:rPr>
                <w:sz w:val="22"/>
                <w:szCs w:val="22"/>
              </w:rPr>
            </w:pPr>
            <w:r>
              <w:rPr>
                <w:sz w:val="22"/>
                <w:szCs w:val="22"/>
              </w:rPr>
              <w:t>Zobārstniecība</w:t>
            </w:r>
          </w:p>
        </w:tc>
        <w:tc>
          <w:tcPr>
            <w:tcW w:w="731" w:type="pct"/>
          </w:tcPr>
          <w:p w:rsidR="00A14E76" w:rsidRPr="00F60D95" w:rsidRDefault="00A14E76" w:rsidP="00F60D95">
            <w:pPr>
              <w:pStyle w:val="Default"/>
              <w:jc w:val="both"/>
              <w:rPr>
                <w:sz w:val="22"/>
                <w:szCs w:val="22"/>
              </w:rPr>
            </w:pPr>
            <w:r w:rsidRPr="00F60D95">
              <w:rPr>
                <w:sz w:val="22"/>
                <w:szCs w:val="22"/>
              </w:rPr>
              <w:t>35b724001</w:t>
            </w:r>
          </w:p>
        </w:tc>
        <w:tc>
          <w:tcPr>
            <w:tcW w:w="584" w:type="pct"/>
          </w:tcPr>
          <w:p w:rsidR="00A14E76" w:rsidRDefault="00A14E76" w:rsidP="00F60D95">
            <w:pPr>
              <w:pStyle w:val="Default"/>
              <w:jc w:val="center"/>
              <w:rPr>
                <w:sz w:val="22"/>
                <w:szCs w:val="22"/>
              </w:rPr>
            </w:pPr>
            <w:r>
              <w:rPr>
                <w:sz w:val="22"/>
                <w:szCs w:val="22"/>
              </w:rPr>
              <w:t>X</w:t>
            </w:r>
          </w:p>
        </w:tc>
        <w:tc>
          <w:tcPr>
            <w:tcW w:w="744" w:type="pct"/>
          </w:tcPr>
          <w:p w:rsidR="00A14E76" w:rsidRDefault="00A14E76" w:rsidP="00F60D95">
            <w:pPr>
              <w:pStyle w:val="Default"/>
              <w:jc w:val="center"/>
              <w:rPr>
                <w:sz w:val="22"/>
                <w:szCs w:val="22"/>
              </w:rPr>
            </w:pPr>
            <w:r>
              <w:rPr>
                <w:sz w:val="22"/>
                <w:szCs w:val="22"/>
              </w:rPr>
              <w:t>X</w:t>
            </w:r>
          </w:p>
        </w:tc>
      </w:tr>
      <w:tr w:rsidR="00A14E76" w:rsidRPr="003D1752" w:rsidTr="00B81F3B">
        <w:tc>
          <w:tcPr>
            <w:tcW w:w="436" w:type="pct"/>
          </w:tcPr>
          <w:p w:rsidR="00A14E76" w:rsidRPr="00B50160" w:rsidRDefault="00A14E76" w:rsidP="00F60D95">
            <w:pPr>
              <w:pStyle w:val="Default"/>
              <w:jc w:val="both"/>
              <w:rPr>
                <w:sz w:val="22"/>
                <w:szCs w:val="22"/>
              </w:rPr>
            </w:pPr>
            <w:r>
              <w:rPr>
                <w:sz w:val="22"/>
                <w:szCs w:val="22"/>
              </w:rPr>
              <w:t>9.</w:t>
            </w:r>
          </w:p>
        </w:tc>
        <w:tc>
          <w:tcPr>
            <w:tcW w:w="767" w:type="pct"/>
          </w:tcPr>
          <w:p w:rsidR="00A14E76" w:rsidRPr="00B50160" w:rsidRDefault="00A14E76" w:rsidP="00F60D95">
            <w:pPr>
              <w:pStyle w:val="Default"/>
              <w:jc w:val="both"/>
              <w:rPr>
                <w:sz w:val="22"/>
                <w:szCs w:val="22"/>
              </w:rPr>
            </w:pPr>
            <w:r>
              <w:rPr>
                <w:sz w:val="22"/>
                <w:szCs w:val="22"/>
              </w:rPr>
              <w:t>RSU SKMK</w:t>
            </w:r>
          </w:p>
        </w:tc>
        <w:tc>
          <w:tcPr>
            <w:tcW w:w="695" w:type="pct"/>
          </w:tcPr>
          <w:p w:rsidR="00A14E76" w:rsidRPr="004A687B" w:rsidRDefault="00A14E76" w:rsidP="00F60D95">
            <w:pPr>
              <w:rPr>
                <w:rFonts w:eastAsia="Calibri"/>
                <w:color w:val="000000"/>
                <w:sz w:val="22"/>
                <w:szCs w:val="22"/>
                <w:lang w:eastAsia="lv-LV"/>
              </w:rPr>
            </w:pPr>
            <w:r>
              <w:rPr>
                <w:rFonts w:eastAsia="Calibri"/>
                <w:color w:val="000000"/>
                <w:sz w:val="22"/>
                <w:szCs w:val="22"/>
                <w:lang w:eastAsia="lv-LV"/>
              </w:rPr>
              <w:t>Rīga</w:t>
            </w:r>
          </w:p>
        </w:tc>
        <w:tc>
          <w:tcPr>
            <w:tcW w:w="1043" w:type="pct"/>
          </w:tcPr>
          <w:p w:rsidR="00A14E76" w:rsidRDefault="00A14E76" w:rsidP="00F60D95">
            <w:pPr>
              <w:rPr>
                <w:sz w:val="22"/>
                <w:szCs w:val="22"/>
              </w:rPr>
            </w:pPr>
            <w:r>
              <w:rPr>
                <w:sz w:val="22"/>
                <w:szCs w:val="22"/>
              </w:rPr>
              <w:t>Ārstniecība</w:t>
            </w:r>
          </w:p>
        </w:tc>
        <w:tc>
          <w:tcPr>
            <w:tcW w:w="731" w:type="pct"/>
          </w:tcPr>
          <w:p w:rsidR="00A14E76" w:rsidRPr="00F60D95" w:rsidRDefault="00A14E76" w:rsidP="00F60D95">
            <w:pPr>
              <w:pStyle w:val="Default"/>
              <w:jc w:val="both"/>
              <w:rPr>
                <w:sz w:val="22"/>
                <w:szCs w:val="22"/>
              </w:rPr>
            </w:pPr>
            <w:r w:rsidRPr="00F60D95">
              <w:rPr>
                <w:sz w:val="22"/>
                <w:szCs w:val="22"/>
              </w:rPr>
              <w:t>41721</w:t>
            </w:r>
          </w:p>
        </w:tc>
        <w:tc>
          <w:tcPr>
            <w:tcW w:w="584" w:type="pct"/>
          </w:tcPr>
          <w:p w:rsidR="00A14E76" w:rsidRDefault="00A14E76" w:rsidP="00F60D95">
            <w:pPr>
              <w:pStyle w:val="Default"/>
              <w:jc w:val="center"/>
              <w:rPr>
                <w:sz w:val="22"/>
                <w:szCs w:val="22"/>
              </w:rPr>
            </w:pPr>
            <w:r>
              <w:rPr>
                <w:sz w:val="22"/>
                <w:szCs w:val="22"/>
              </w:rPr>
              <w:t>X</w:t>
            </w:r>
          </w:p>
        </w:tc>
        <w:tc>
          <w:tcPr>
            <w:tcW w:w="744" w:type="pct"/>
          </w:tcPr>
          <w:p w:rsidR="00A14E76" w:rsidRDefault="00A14E76" w:rsidP="00F60D95">
            <w:pPr>
              <w:pStyle w:val="Default"/>
              <w:jc w:val="center"/>
              <w:rPr>
                <w:sz w:val="22"/>
                <w:szCs w:val="22"/>
              </w:rPr>
            </w:pPr>
            <w:r>
              <w:rPr>
                <w:sz w:val="22"/>
                <w:szCs w:val="22"/>
              </w:rPr>
              <w:t>X</w:t>
            </w:r>
          </w:p>
        </w:tc>
      </w:tr>
      <w:tr w:rsidR="00A14E76" w:rsidRPr="003D1752" w:rsidTr="00B81F3B">
        <w:tc>
          <w:tcPr>
            <w:tcW w:w="436" w:type="pct"/>
          </w:tcPr>
          <w:p w:rsidR="00A14E76" w:rsidRPr="00B50160" w:rsidRDefault="00A14E76" w:rsidP="00F60D95">
            <w:pPr>
              <w:pStyle w:val="Default"/>
              <w:jc w:val="both"/>
              <w:rPr>
                <w:sz w:val="22"/>
                <w:szCs w:val="22"/>
              </w:rPr>
            </w:pPr>
          </w:p>
        </w:tc>
        <w:tc>
          <w:tcPr>
            <w:tcW w:w="767" w:type="pct"/>
          </w:tcPr>
          <w:p w:rsidR="00A14E76" w:rsidRPr="00B50160" w:rsidRDefault="00A14E76" w:rsidP="00F60D95">
            <w:pPr>
              <w:pStyle w:val="Default"/>
              <w:jc w:val="both"/>
              <w:rPr>
                <w:sz w:val="22"/>
                <w:szCs w:val="22"/>
              </w:rPr>
            </w:pPr>
          </w:p>
        </w:tc>
        <w:tc>
          <w:tcPr>
            <w:tcW w:w="695" w:type="pct"/>
          </w:tcPr>
          <w:p w:rsidR="00A14E76" w:rsidRPr="004A687B" w:rsidRDefault="00A14E76" w:rsidP="00F60D95">
            <w:pPr>
              <w:rPr>
                <w:rFonts w:eastAsia="Calibri"/>
                <w:color w:val="000000"/>
                <w:sz w:val="22"/>
                <w:szCs w:val="22"/>
                <w:lang w:eastAsia="lv-LV"/>
              </w:rPr>
            </w:pPr>
          </w:p>
        </w:tc>
        <w:tc>
          <w:tcPr>
            <w:tcW w:w="1043" w:type="pct"/>
          </w:tcPr>
          <w:p w:rsidR="00A14E76" w:rsidRDefault="00A14E76" w:rsidP="00F60D95">
            <w:pPr>
              <w:rPr>
                <w:sz w:val="22"/>
                <w:szCs w:val="22"/>
              </w:rPr>
            </w:pPr>
            <w:r>
              <w:rPr>
                <w:sz w:val="22"/>
                <w:szCs w:val="22"/>
              </w:rPr>
              <w:t>Ārstnieciskā masāža</w:t>
            </w:r>
          </w:p>
        </w:tc>
        <w:tc>
          <w:tcPr>
            <w:tcW w:w="731" w:type="pct"/>
          </w:tcPr>
          <w:p w:rsidR="00A14E76" w:rsidRPr="00F60D95" w:rsidRDefault="00A14E76" w:rsidP="00F60D95">
            <w:pPr>
              <w:pStyle w:val="Default"/>
              <w:jc w:val="both"/>
              <w:rPr>
                <w:sz w:val="22"/>
                <w:szCs w:val="22"/>
              </w:rPr>
            </w:pPr>
            <w:r w:rsidRPr="00F60D95">
              <w:rPr>
                <w:sz w:val="22"/>
                <w:szCs w:val="22"/>
              </w:rPr>
              <w:t>41722</w:t>
            </w:r>
          </w:p>
        </w:tc>
        <w:tc>
          <w:tcPr>
            <w:tcW w:w="584" w:type="pct"/>
          </w:tcPr>
          <w:p w:rsidR="00A14E76" w:rsidRDefault="00A14E76" w:rsidP="00F60D95">
            <w:pPr>
              <w:pStyle w:val="Default"/>
              <w:jc w:val="center"/>
              <w:rPr>
                <w:sz w:val="22"/>
                <w:szCs w:val="22"/>
              </w:rPr>
            </w:pPr>
            <w:r>
              <w:rPr>
                <w:sz w:val="22"/>
                <w:szCs w:val="22"/>
              </w:rPr>
              <w:t>X</w:t>
            </w:r>
          </w:p>
        </w:tc>
        <w:tc>
          <w:tcPr>
            <w:tcW w:w="744" w:type="pct"/>
          </w:tcPr>
          <w:p w:rsidR="00A14E76" w:rsidRDefault="00A14E76" w:rsidP="00F60D95">
            <w:pPr>
              <w:pStyle w:val="Default"/>
              <w:jc w:val="center"/>
              <w:rPr>
                <w:sz w:val="22"/>
                <w:szCs w:val="22"/>
              </w:rPr>
            </w:pPr>
            <w:r>
              <w:rPr>
                <w:sz w:val="22"/>
                <w:szCs w:val="22"/>
              </w:rPr>
              <w:t>X</w:t>
            </w:r>
          </w:p>
        </w:tc>
      </w:tr>
      <w:tr w:rsidR="00A14E76" w:rsidRPr="003D1752" w:rsidTr="00B81F3B">
        <w:tc>
          <w:tcPr>
            <w:tcW w:w="436" w:type="pct"/>
          </w:tcPr>
          <w:p w:rsidR="00A14E76" w:rsidRPr="00B50160" w:rsidRDefault="00A14E76" w:rsidP="00F60D95">
            <w:pPr>
              <w:pStyle w:val="Default"/>
              <w:jc w:val="both"/>
              <w:rPr>
                <w:sz w:val="22"/>
                <w:szCs w:val="22"/>
              </w:rPr>
            </w:pPr>
          </w:p>
        </w:tc>
        <w:tc>
          <w:tcPr>
            <w:tcW w:w="767" w:type="pct"/>
          </w:tcPr>
          <w:p w:rsidR="00A14E76" w:rsidRPr="00B50160" w:rsidRDefault="00A14E76" w:rsidP="00F60D95">
            <w:pPr>
              <w:pStyle w:val="Default"/>
              <w:jc w:val="both"/>
              <w:rPr>
                <w:sz w:val="22"/>
                <w:szCs w:val="22"/>
              </w:rPr>
            </w:pPr>
          </w:p>
        </w:tc>
        <w:tc>
          <w:tcPr>
            <w:tcW w:w="695" w:type="pct"/>
          </w:tcPr>
          <w:p w:rsidR="00A14E76" w:rsidRPr="004A687B" w:rsidRDefault="00A14E76" w:rsidP="00F60D95">
            <w:pPr>
              <w:rPr>
                <w:rFonts w:eastAsia="Calibri"/>
                <w:color w:val="000000"/>
                <w:sz w:val="22"/>
                <w:szCs w:val="22"/>
                <w:lang w:eastAsia="lv-LV"/>
              </w:rPr>
            </w:pPr>
          </w:p>
        </w:tc>
        <w:tc>
          <w:tcPr>
            <w:tcW w:w="1043" w:type="pct"/>
          </w:tcPr>
          <w:p w:rsidR="00A14E76" w:rsidRDefault="00A14E76" w:rsidP="00F60D95">
            <w:pPr>
              <w:rPr>
                <w:sz w:val="22"/>
                <w:szCs w:val="22"/>
              </w:rPr>
            </w:pPr>
            <w:proofErr w:type="spellStart"/>
            <w:r>
              <w:rPr>
                <w:sz w:val="22"/>
                <w:szCs w:val="22"/>
              </w:rPr>
              <w:t>Māszinības</w:t>
            </w:r>
            <w:proofErr w:type="spellEnd"/>
          </w:p>
        </w:tc>
        <w:tc>
          <w:tcPr>
            <w:tcW w:w="731" w:type="pct"/>
          </w:tcPr>
          <w:p w:rsidR="00A14E76" w:rsidRPr="00F60D95" w:rsidRDefault="00A14E76" w:rsidP="00F60D95">
            <w:pPr>
              <w:pStyle w:val="Default"/>
              <w:jc w:val="both"/>
              <w:rPr>
                <w:sz w:val="22"/>
                <w:szCs w:val="22"/>
              </w:rPr>
            </w:pPr>
            <w:r w:rsidRPr="00F60D95">
              <w:rPr>
                <w:sz w:val="22"/>
                <w:szCs w:val="22"/>
              </w:rPr>
              <w:t>41723</w:t>
            </w:r>
          </w:p>
        </w:tc>
        <w:tc>
          <w:tcPr>
            <w:tcW w:w="584" w:type="pct"/>
          </w:tcPr>
          <w:p w:rsidR="00A14E76" w:rsidRDefault="00A14E76" w:rsidP="00F60D95">
            <w:pPr>
              <w:pStyle w:val="Default"/>
              <w:jc w:val="center"/>
              <w:rPr>
                <w:sz w:val="22"/>
                <w:szCs w:val="22"/>
              </w:rPr>
            </w:pPr>
            <w:r>
              <w:rPr>
                <w:sz w:val="22"/>
                <w:szCs w:val="22"/>
              </w:rPr>
              <w:t>X</w:t>
            </w:r>
          </w:p>
        </w:tc>
        <w:tc>
          <w:tcPr>
            <w:tcW w:w="744" w:type="pct"/>
          </w:tcPr>
          <w:p w:rsidR="00A14E76" w:rsidRDefault="00A14E76" w:rsidP="00F60D95">
            <w:pPr>
              <w:pStyle w:val="Default"/>
              <w:jc w:val="center"/>
              <w:rPr>
                <w:sz w:val="22"/>
                <w:szCs w:val="22"/>
              </w:rPr>
            </w:pPr>
            <w:r>
              <w:rPr>
                <w:sz w:val="22"/>
                <w:szCs w:val="22"/>
              </w:rPr>
              <w:t>X</w:t>
            </w:r>
          </w:p>
        </w:tc>
      </w:tr>
      <w:tr w:rsidR="00A14E76" w:rsidRPr="003D1752" w:rsidTr="00B81F3B">
        <w:tc>
          <w:tcPr>
            <w:tcW w:w="436" w:type="pct"/>
          </w:tcPr>
          <w:p w:rsidR="00A14E76" w:rsidRPr="00B50160" w:rsidRDefault="00A14E76" w:rsidP="00F60D95">
            <w:pPr>
              <w:pStyle w:val="Default"/>
              <w:jc w:val="both"/>
              <w:rPr>
                <w:sz w:val="22"/>
                <w:szCs w:val="22"/>
              </w:rPr>
            </w:pPr>
          </w:p>
        </w:tc>
        <w:tc>
          <w:tcPr>
            <w:tcW w:w="767" w:type="pct"/>
          </w:tcPr>
          <w:p w:rsidR="00A14E76" w:rsidRPr="00B50160" w:rsidRDefault="00A14E76" w:rsidP="00F60D95">
            <w:pPr>
              <w:pStyle w:val="Default"/>
              <w:jc w:val="both"/>
              <w:rPr>
                <w:sz w:val="22"/>
                <w:szCs w:val="22"/>
              </w:rPr>
            </w:pPr>
          </w:p>
        </w:tc>
        <w:tc>
          <w:tcPr>
            <w:tcW w:w="695" w:type="pct"/>
          </w:tcPr>
          <w:p w:rsidR="00A14E76" w:rsidRPr="004A687B" w:rsidRDefault="00A14E76" w:rsidP="00F60D95">
            <w:pPr>
              <w:rPr>
                <w:rFonts w:eastAsia="Calibri"/>
                <w:color w:val="000000"/>
                <w:sz w:val="22"/>
                <w:szCs w:val="22"/>
                <w:lang w:eastAsia="lv-LV"/>
              </w:rPr>
            </w:pPr>
          </w:p>
        </w:tc>
        <w:tc>
          <w:tcPr>
            <w:tcW w:w="1043" w:type="pct"/>
          </w:tcPr>
          <w:p w:rsidR="00A14E76" w:rsidRDefault="00A14E76" w:rsidP="00F60D95">
            <w:pPr>
              <w:rPr>
                <w:sz w:val="22"/>
                <w:szCs w:val="22"/>
              </w:rPr>
            </w:pPr>
            <w:proofErr w:type="spellStart"/>
            <w:r>
              <w:rPr>
                <w:sz w:val="22"/>
                <w:szCs w:val="22"/>
              </w:rPr>
              <w:t>Māszinības</w:t>
            </w:r>
            <w:proofErr w:type="spellEnd"/>
          </w:p>
        </w:tc>
        <w:tc>
          <w:tcPr>
            <w:tcW w:w="731" w:type="pct"/>
          </w:tcPr>
          <w:p w:rsidR="00A14E76" w:rsidRPr="00F60D95" w:rsidRDefault="00A14E76" w:rsidP="00A14E76">
            <w:pPr>
              <w:pStyle w:val="Default"/>
              <w:jc w:val="both"/>
              <w:rPr>
                <w:sz w:val="22"/>
                <w:szCs w:val="22"/>
              </w:rPr>
            </w:pPr>
            <w:r w:rsidRPr="00F60D95">
              <w:rPr>
                <w:sz w:val="22"/>
                <w:szCs w:val="22"/>
              </w:rPr>
              <w:t>3</w:t>
            </w:r>
            <w:r>
              <w:rPr>
                <w:sz w:val="22"/>
                <w:szCs w:val="22"/>
              </w:rPr>
              <w:t>2</w:t>
            </w:r>
            <w:r w:rsidRPr="00F60D95">
              <w:rPr>
                <w:sz w:val="22"/>
                <w:szCs w:val="22"/>
              </w:rPr>
              <w:t>a72300</w:t>
            </w:r>
          </w:p>
        </w:tc>
        <w:tc>
          <w:tcPr>
            <w:tcW w:w="584" w:type="pct"/>
          </w:tcPr>
          <w:p w:rsidR="00A14E76" w:rsidRDefault="00A14E76" w:rsidP="00F60D95">
            <w:pPr>
              <w:pStyle w:val="Default"/>
              <w:jc w:val="center"/>
              <w:rPr>
                <w:sz w:val="22"/>
                <w:szCs w:val="22"/>
              </w:rPr>
            </w:pPr>
            <w:r>
              <w:rPr>
                <w:sz w:val="22"/>
                <w:szCs w:val="22"/>
              </w:rPr>
              <w:t>X</w:t>
            </w:r>
          </w:p>
        </w:tc>
        <w:tc>
          <w:tcPr>
            <w:tcW w:w="744" w:type="pct"/>
          </w:tcPr>
          <w:p w:rsidR="00A14E76" w:rsidRDefault="00A14E76" w:rsidP="00F60D95">
            <w:pPr>
              <w:pStyle w:val="Default"/>
              <w:jc w:val="center"/>
              <w:rPr>
                <w:sz w:val="22"/>
                <w:szCs w:val="22"/>
              </w:rPr>
            </w:pPr>
            <w:r>
              <w:rPr>
                <w:sz w:val="22"/>
                <w:szCs w:val="22"/>
              </w:rPr>
              <w:t>X</w:t>
            </w:r>
          </w:p>
        </w:tc>
      </w:tr>
      <w:tr w:rsidR="00A14E76" w:rsidRPr="003D1752" w:rsidTr="00B81F3B">
        <w:tc>
          <w:tcPr>
            <w:tcW w:w="436" w:type="pct"/>
          </w:tcPr>
          <w:p w:rsidR="00A14E76" w:rsidRPr="00B50160" w:rsidRDefault="00A14E76" w:rsidP="00F60D95">
            <w:pPr>
              <w:pStyle w:val="Default"/>
              <w:jc w:val="both"/>
              <w:rPr>
                <w:sz w:val="22"/>
                <w:szCs w:val="22"/>
              </w:rPr>
            </w:pPr>
          </w:p>
        </w:tc>
        <w:tc>
          <w:tcPr>
            <w:tcW w:w="767" w:type="pct"/>
          </w:tcPr>
          <w:p w:rsidR="00A14E76" w:rsidRPr="00B50160" w:rsidRDefault="00A14E76" w:rsidP="00F60D95">
            <w:pPr>
              <w:pStyle w:val="Default"/>
              <w:jc w:val="both"/>
              <w:rPr>
                <w:sz w:val="22"/>
                <w:szCs w:val="22"/>
              </w:rPr>
            </w:pPr>
          </w:p>
        </w:tc>
        <w:tc>
          <w:tcPr>
            <w:tcW w:w="695" w:type="pct"/>
          </w:tcPr>
          <w:p w:rsidR="00A14E76" w:rsidRPr="004A687B" w:rsidRDefault="00A14E76" w:rsidP="00F60D95">
            <w:pPr>
              <w:rPr>
                <w:rFonts w:eastAsia="Calibri"/>
                <w:color w:val="000000"/>
                <w:sz w:val="22"/>
                <w:szCs w:val="22"/>
                <w:lang w:eastAsia="lv-LV"/>
              </w:rPr>
            </w:pPr>
          </w:p>
        </w:tc>
        <w:tc>
          <w:tcPr>
            <w:tcW w:w="1043" w:type="pct"/>
          </w:tcPr>
          <w:p w:rsidR="00A14E76" w:rsidRDefault="00A14E76" w:rsidP="00F60D95">
            <w:pPr>
              <w:rPr>
                <w:sz w:val="22"/>
                <w:szCs w:val="22"/>
              </w:rPr>
            </w:pPr>
            <w:proofErr w:type="spellStart"/>
            <w:r>
              <w:rPr>
                <w:sz w:val="22"/>
                <w:szCs w:val="22"/>
              </w:rPr>
              <w:t>Māszinības</w:t>
            </w:r>
            <w:proofErr w:type="spellEnd"/>
          </w:p>
        </w:tc>
        <w:tc>
          <w:tcPr>
            <w:tcW w:w="731" w:type="pct"/>
          </w:tcPr>
          <w:p w:rsidR="00A14E76" w:rsidRPr="00F60D95" w:rsidRDefault="00A14E76" w:rsidP="00F60D95">
            <w:pPr>
              <w:pStyle w:val="Default"/>
              <w:jc w:val="both"/>
              <w:rPr>
                <w:sz w:val="22"/>
                <w:szCs w:val="22"/>
              </w:rPr>
            </w:pPr>
            <w:r w:rsidRPr="00F60D95">
              <w:rPr>
                <w:sz w:val="22"/>
                <w:szCs w:val="22"/>
              </w:rPr>
              <w:t>35a72300</w:t>
            </w:r>
          </w:p>
        </w:tc>
        <w:tc>
          <w:tcPr>
            <w:tcW w:w="584" w:type="pct"/>
          </w:tcPr>
          <w:p w:rsidR="00A14E76" w:rsidRDefault="00A14E76" w:rsidP="00F60D95">
            <w:pPr>
              <w:pStyle w:val="Default"/>
              <w:jc w:val="center"/>
              <w:rPr>
                <w:sz w:val="22"/>
                <w:szCs w:val="22"/>
              </w:rPr>
            </w:pPr>
            <w:r>
              <w:rPr>
                <w:sz w:val="22"/>
                <w:szCs w:val="22"/>
              </w:rPr>
              <w:t>X</w:t>
            </w:r>
          </w:p>
        </w:tc>
        <w:tc>
          <w:tcPr>
            <w:tcW w:w="744" w:type="pct"/>
          </w:tcPr>
          <w:p w:rsidR="00A14E76" w:rsidRDefault="00A14E76" w:rsidP="00F60D95">
            <w:pPr>
              <w:pStyle w:val="Default"/>
              <w:jc w:val="center"/>
              <w:rPr>
                <w:sz w:val="22"/>
                <w:szCs w:val="22"/>
              </w:rPr>
            </w:pPr>
            <w:r>
              <w:rPr>
                <w:sz w:val="22"/>
                <w:szCs w:val="22"/>
              </w:rPr>
              <w:t>X</w:t>
            </w:r>
          </w:p>
        </w:tc>
      </w:tr>
    </w:tbl>
    <w:p w:rsidR="00E168C9" w:rsidRDefault="00837D78">
      <w:pPr>
        <w:ind w:firstLine="720"/>
      </w:pPr>
      <w:r w:rsidRPr="00837D78">
        <w:lastRenderedPageBreak/>
        <w:t>Metod</w:t>
      </w:r>
      <w:r w:rsidR="00732DC0">
        <w:t>ika</w:t>
      </w:r>
      <w:r w:rsidRPr="00837D78">
        <w:t xml:space="preserve"> koledžām pieejamā finansējuma noteikšanai </w:t>
      </w:r>
      <w:r w:rsidR="009009F2">
        <w:t>iekļauta</w:t>
      </w:r>
      <w:r w:rsidRPr="00837D78">
        <w:t xml:space="preserve"> novērtējuma 5.pielikumā. </w:t>
      </w:r>
      <w:r w:rsidR="00366E02">
        <w:t>Tā</w:t>
      </w:r>
      <w:r w:rsidR="001045D1">
        <w:t xml:space="preserve"> izstrādāta, lai sasniegtu</w:t>
      </w:r>
      <w:r w:rsidR="00A44146">
        <w:t xml:space="preserve"> novērtējuma</w:t>
      </w:r>
      <w:r w:rsidR="001045D1">
        <w:t xml:space="preserve"> </w:t>
      </w:r>
      <w:r w:rsidR="00A44146">
        <w:t xml:space="preserve">4.1.sadaļā minētos koledžu infrastruktūras attīstības </w:t>
      </w:r>
      <w:r w:rsidR="00882627">
        <w:t>uzdevumus</w:t>
      </w:r>
      <w:r w:rsidR="00A44146">
        <w:t>.</w:t>
      </w:r>
    </w:p>
    <w:p w:rsidR="003D1752" w:rsidRPr="00837D78" w:rsidRDefault="00837D78" w:rsidP="001045D1">
      <w:pPr>
        <w:pStyle w:val="Default"/>
        <w:ind w:firstLine="720"/>
        <w:jc w:val="both"/>
      </w:pPr>
      <w:r w:rsidRPr="00837D78">
        <w:t>Metod</w:t>
      </w:r>
      <w:r w:rsidR="00732DC0">
        <w:t>ika</w:t>
      </w:r>
      <w:r w:rsidRPr="00837D78">
        <w:t xml:space="preserve"> paredz, ka katram </w:t>
      </w:r>
      <w:r w:rsidRPr="00837D78">
        <w:rPr>
          <w:iCs/>
        </w:rPr>
        <w:t>projekta iesniedzējam pieejamais</w:t>
      </w:r>
      <w:r w:rsidRPr="00837D78">
        <w:t xml:space="preserve"> finansējums veidojas no sākotnējā finansējuma 300 000 </w:t>
      </w:r>
      <w:proofErr w:type="spellStart"/>
      <w:r w:rsidRPr="00837D78">
        <w:rPr>
          <w:i/>
        </w:rPr>
        <w:t>euro</w:t>
      </w:r>
      <w:proofErr w:type="spellEnd"/>
      <w:r w:rsidRPr="00837D78">
        <w:t xml:space="preserve"> apmērā un finansējuma </w:t>
      </w:r>
      <w:r w:rsidRPr="00837D78">
        <w:rPr>
          <w:bCs/>
        </w:rPr>
        <w:t xml:space="preserve">pirmā līmeņa profesionālās augstākās izglītības un profesionālās vidējās izglītības </w:t>
      </w:r>
      <w:r w:rsidR="00400396">
        <w:rPr>
          <w:bCs/>
        </w:rPr>
        <w:t xml:space="preserve">vai arodizglītības </w:t>
      </w:r>
      <w:r w:rsidRPr="00837D78">
        <w:rPr>
          <w:bCs/>
        </w:rPr>
        <w:t>(STEM jomas) (turpmāk – profesionālās izglītības) kvalitātes paaugstināšanai. F</w:t>
      </w:r>
      <w:r w:rsidRPr="00837D78">
        <w:t xml:space="preserve">inansējumu </w:t>
      </w:r>
      <w:r w:rsidRPr="00837D78">
        <w:rPr>
          <w:bCs/>
        </w:rPr>
        <w:t xml:space="preserve">profesionālās izglītības </w:t>
      </w:r>
      <w:r w:rsidRPr="00837D78">
        <w:t xml:space="preserve">kvalitātes paaugstināšanai nosaka, </w:t>
      </w:r>
      <w:r w:rsidR="003D1752" w:rsidRPr="00837D78">
        <w:t xml:space="preserve">pamatojoties uz vairākiem koledžu </w:t>
      </w:r>
      <w:r>
        <w:t>raksturlielumiem</w:t>
      </w:r>
      <w:r w:rsidR="00D11D57">
        <w:t xml:space="preserve"> un projekta ietekmi uz tautsaimniecības transformāciju</w:t>
      </w:r>
      <w:r w:rsidR="003D1752" w:rsidRPr="00837D78">
        <w:t>:</w:t>
      </w:r>
    </w:p>
    <w:p w:rsidR="005A451B" w:rsidRPr="005A451B" w:rsidRDefault="005A451B" w:rsidP="00722156">
      <w:pPr>
        <w:pStyle w:val="Default"/>
        <w:numPr>
          <w:ilvl w:val="0"/>
          <w:numId w:val="39"/>
        </w:numPr>
        <w:ind w:left="1077" w:hanging="357"/>
        <w:jc w:val="both"/>
      </w:pPr>
      <w:r w:rsidRPr="005A451B">
        <w:t>koledžas kapacitātes koeficients</w:t>
      </w:r>
      <w:r w:rsidR="009009F2">
        <w:t>, ko aprēķina, ņemot vērā</w:t>
      </w:r>
      <w:r w:rsidRPr="005A451B">
        <w:t xml:space="preserve"> </w:t>
      </w:r>
      <w:r w:rsidR="009009F2">
        <w:t xml:space="preserve">kopējo izglītojamo skaitu </w:t>
      </w:r>
      <w:r w:rsidRPr="005A451B">
        <w:t xml:space="preserve">STEM izglītības programmās </w:t>
      </w:r>
      <w:r w:rsidR="00AE72D2">
        <w:t>2015./2016.ak.g.</w:t>
      </w:r>
      <w:r w:rsidRPr="005A451B">
        <w:t xml:space="preserve">, kā arī </w:t>
      </w:r>
      <w:r w:rsidR="009009F2">
        <w:t xml:space="preserve">kopējo </w:t>
      </w:r>
      <w:r w:rsidRPr="005A451B">
        <w:t xml:space="preserve">kvalifikāciju ieguvušo </w:t>
      </w:r>
      <w:r w:rsidR="009009F2">
        <w:t xml:space="preserve">personu </w:t>
      </w:r>
      <w:r w:rsidR="00AE72D2" w:rsidRPr="005A451B">
        <w:t xml:space="preserve"> </w:t>
      </w:r>
      <w:r w:rsidRPr="005A451B">
        <w:t>skait</w:t>
      </w:r>
      <w:r w:rsidR="009009F2">
        <w:t>u (STEM programmas)</w:t>
      </w:r>
      <w:r w:rsidR="00AE72D2">
        <w:t xml:space="preserve"> 2014./2015.ak.g.</w:t>
      </w:r>
      <w:r w:rsidRPr="005A451B">
        <w:t>;</w:t>
      </w:r>
    </w:p>
    <w:p w:rsidR="00836C52" w:rsidRDefault="00DE7FA6" w:rsidP="00DE7FA6">
      <w:pPr>
        <w:pStyle w:val="Default"/>
        <w:numPr>
          <w:ilvl w:val="0"/>
          <w:numId w:val="39"/>
        </w:numPr>
        <w:ind w:left="1077" w:hanging="357"/>
        <w:jc w:val="both"/>
      </w:pPr>
      <w:r>
        <w:t xml:space="preserve">projekta </w:t>
      </w:r>
      <w:r w:rsidRPr="00AA4D87">
        <w:t xml:space="preserve">ietekme uz Latvijas Viedās specializācijas stratēģijas (RIS3) ietvaros noteikto specializācijas jomu </w:t>
      </w:r>
      <w:r>
        <w:t xml:space="preserve">(Viedās specializācijas jomu) </w:t>
      </w:r>
      <w:r w:rsidRPr="00AA4D87">
        <w:t>ieviešanu</w:t>
      </w:r>
      <w:r>
        <w:t xml:space="preserve"> </w:t>
      </w:r>
      <w:r w:rsidR="005A451B" w:rsidRPr="009C46B0">
        <w:t>(skat. novērtējuma 4.pielikumā)</w:t>
      </w:r>
      <w:r w:rsidR="009009F2">
        <w:t>, ko nosaka, ņemot vērā konk</w:t>
      </w:r>
      <w:r w:rsidR="00E168C9">
        <w:t>r</w:t>
      </w:r>
      <w:r w:rsidR="009009F2">
        <w:t xml:space="preserve">ētas Latvijas </w:t>
      </w:r>
      <w:r w:rsidR="006279E4">
        <w:t>V</w:t>
      </w:r>
      <w:r w:rsidR="009009F2">
        <w:t xml:space="preserve">iedās specializācijas jomas eksporta īpatsvaru </w:t>
      </w:r>
      <w:r w:rsidR="00D11D57">
        <w:t>un iegūto 4.līmeņa profesionālo kvalifikāciju skaitu koledžā</w:t>
      </w:r>
      <w:r w:rsidR="00836C52">
        <w:t>.</w:t>
      </w:r>
    </w:p>
    <w:p w:rsidR="00836C52" w:rsidRPr="004C7B5A" w:rsidRDefault="00836C52" w:rsidP="00836C52">
      <w:pPr>
        <w:pStyle w:val="naisc"/>
        <w:spacing w:before="0" w:after="0"/>
        <w:ind w:left="1077" w:firstLine="3"/>
        <w:jc w:val="both"/>
      </w:pPr>
      <w:r w:rsidRPr="004C7B5A">
        <w:t>Lai aprēķinātu RIS3 specializācijas jomu īpatsvaru, ņem vērā Izglītības un zinātnes ministrijas, Valsts izglītības un attīstības aģentūras un SIA “FIDEA” izstrādātajos Viedo specializācijas jomu ekosistēmu analītiskajos aprakstos</w:t>
      </w:r>
      <w:r w:rsidRPr="004C7B5A">
        <w:rPr>
          <w:rStyle w:val="FootnoteReference"/>
        </w:rPr>
        <w:footnoteReference w:id="71"/>
      </w:r>
      <w:r w:rsidRPr="004C7B5A">
        <w:t xml:space="preserve"> iekļauto informāciju par RIS3 specializācijas jomām atbilstošo tautsaimniecības nozaru eksporta rādītājiem. RIS3 specializācijas jomu īpatsvars aprēķināts, ņemot vērā vidējās eksporta rādītāju dinamikas tendences katrā specializācijas jomā laika periodā no 2012. līdz 2013. gadam un šādus vidējos eksporta rādītājus:</w:t>
      </w:r>
    </w:p>
    <w:p w:rsidR="00836C52" w:rsidRPr="004C7B5A" w:rsidRDefault="00836C52" w:rsidP="00836C52">
      <w:pPr>
        <w:pStyle w:val="naisc"/>
        <w:numPr>
          <w:ilvl w:val="0"/>
          <w:numId w:val="52"/>
        </w:numPr>
        <w:spacing w:before="0" w:after="0"/>
        <w:jc w:val="both"/>
      </w:pPr>
      <w:r w:rsidRPr="004C7B5A">
        <w:t xml:space="preserve">zināšanu ietilpīga </w:t>
      </w:r>
      <w:proofErr w:type="spellStart"/>
      <w:r w:rsidRPr="004C7B5A">
        <w:t>bioekonomika</w:t>
      </w:r>
      <w:proofErr w:type="spellEnd"/>
      <w:r w:rsidRPr="004C7B5A">
        <w:t xml:space="preserve"> – 34,36 %;</w:t>
      </w:r>
    </w:p>
    <w:p w:rsidR="00836C52" w:rsidRPr="004C7B5A" w:rsidRDefault="00836C52" w:rsidP="00836C52">
      <w:pPr>
        <w:pStyle w:val="naisc"/>
        <w:numPr>
          <w:ilvl w:val="0"/>
          <w:numId w:val="52"/>
        </w:numPr>
        <w:spacing w:before="0" w:after="0"/>
        <w:jc w:val="both"/>
      </w:pPr>
      <w:proofErr w:type="spellStart"/>
      <w:r w:rsidRPr="004C7B5A">
        <w:t>biomedicīna</w:t>
      </w:r>
      <w:proofErr w:type="spellEnd"/>
      <w:r w:rsidRPr="004C7B5A">
        <w:t xml:space="preserve">, medicīnas tehnoloģijas, </w:t>
      </w:r>
      <w:proofErr w:type="spellStart"/>
      <w:r w:rsidRPr="004C7B5A">
        <w:t>biofarmācija</w:t>
      </w:r>
      <w:proofErr w:type="spellEnd"/>
      <w:r w:rsidRPr="004C7B5A">
        <w:t xml:space="preserve"> un biotehnoloģijas – 15,96%;</w:t>
      </w:r>
    </w:p>
    <w:p w:rsidR="00836C52" w:rsidRPr="004C7B5A" w:rsidRDefault="00836C52" w:rsidP="00836C52">
      <w:pPr>
        <w:pStyle w:val="naisc"/>
        <w:numPr>
          <w:ilvl w:val="0"/>
          <w:numId w:val="52"/>
        </w:numPr>
        <w:spacing w:before="0" w:after="0"/>
        <w:jc w:val="both"/>
      </w:pPr>
      <w:r w:rsidRPr="004C7B5A">
        <w:t xml:space="preserve">viedie materiāli, tehnoloģijas un </w:t>
      </w:r>
      <w:proofErr w:type="spellStart"/>
      <w:r w:rsidRPr="004C7B5A">
        <w:t>inženiersistēmas</w:t>
      </w:r>
      <w:proofErr w:type="spellEnd"/>
      <w:r w:rsidRPr="004C7B5A">
        <w:t xml:space="preserve"> – 31,02%;</w:t>
      </w:r>
    </w:p>
    <w:p w:rsidR="00836C52" w:rsidRPr="004C7B5A" w:rsidRDefault="00836C52" w:rsidP="00836C52">
      <w:pPr>
        <w:pStyle w:val="naisc"/>
        <w:numPr>
          <w:ilvl w:val="0"/>
          <w:numId w:val="52"/>
        </w:numPr>
        <w:spacing w:before="0" w:after="0"/>
        <w:jc w:val="both"/>
      </w:pPr>
      <w:r w:rsidRPr="004C7B5A">
        <w:t>viedā enerģētika – 14,47%;</w:t>
      </w:r>
    </w:p>
    <w:p w:rsidR="005A451B" w:rsidRPr="004C7B5A" w:rsidRDefault="00836C52" w:rsidP="00836C52">
      <w:pPr>
        <w:pStyle w:val="naisc"/>
        <w:numPr>
          <w:ilvl w:val="0"/>
          <w:numId w:val="52"/>
        </w:numPr>
        <w:spacing w:before="0" w:after="0"/>
        <w:jc w:val="both"/>
      </w:pPr>
      <w:r w:rsidRPr="004C7B5A">
        <w:t>informācijas un komunikāciju tehnoloģijas – 4,19%</w:t>
      </w:r>
      <w:r w:rsidR="005A451B" w:rsidRPr="004C7B5A">
        <w:t>;</w:t>
      </w:r>
    </w:p>
    <w:p w:rsidR="005A451B" w:rsidRPr="005A451B" w:rsidRDefault="009009F2" w:rsidP="00D11D57">
      <w:pPr>
        <w:pStyle w:val="Default"/>
        <w:numPr>
          <w:ilvl w:val="0"/>
          <w:numId w:val="39"/>
        </w:numPr>
        <w:ind w:left="1077" w:hanging="357"/>
        <w:jc w:val="both"/>
      </w:pPr>
      <w:r>
        <w:t>resursu konsolidācijas koeficients</w:t>
      </w:r>
      <w:r w:rsidR="00D11D57">
        <w:t>: Koefic</w:t>
      </w:r>
      <w:r w:rsidR="002D74E6">
        <w:t>i</w:t>
      </w:r>
      <w:r w:rsidR="00D11D57">
        <w:t>entu</w:t>
      </w:r>
      <w:r>
        <w:t xml:space="preserve"> piemēro, ja reorganizācijas rezultātā koledža ir pārņēmusi vienu papildu pirmā līmeņa </w:t>
      </w:r>
      <w:r w:rsidR="0011631D">
        <w:t xml:space="preserve">profesionālās </w:t>
      </w:r>
      <w:r>
        <w:t xml:space="preserve">augstākās izglītības </w:t>
      </w:r>
      <w:r w:rsidR="0011631D">
        <w:t xml:space="preserve">studiju </w:t>
      </w:r>
      <w:r>
        <w:t>programmu</w:t>
      </w:r>
      <w:r w:rsidR="005A451B" w:rsidRPr="005A451B">
        <w:t>.</w:t>
      </w:r>
    </w:p>
    <w:p w:rsidR="006426A8" w:rsidRDefault="005A451B" w:rsidP="00EF5D39">
      <w:pPr>
        <w:pStyle w:val="Default"/>
        <w:ind w:firstLine="720"/>
        <w:jc w:val="both"/>
      </w:pPr>
      <w:r>
        <w:t xml:space="preserve">Vienlaikus noteikts, ka viena projekta maksimālais attiecināmais finansējums ir 7 000 000 </w:t>
      </w:r>
      <w:proofErr w:type="spellStart"/>
      <w:r w:rsidRPr="005A451B">
        <w:rPr>
          <w:i/>
        </w:rPr>
        <w:t>euro</w:t>
      </w:r>
      <w:proofErr w:type="spellEnd"/>
      <w:r>
        <w:t xml:space="preserve">. </w:t>
      </w:r>
    </w:p>
    <w:p w:rsidR="005F621D" w:rsidRDefault="005F621D" w:rsidP="005F621D">
      <w:pPr>
        <w:pStyle w:val="Default"/>
        <w:ind w:firstLine="720"/>
        <w:jc w:val="both"/>
      </w:pPr>
      <w:r w:rsidRPr="004F0C21">
        <w:t xml:space="preserve">Saskaņā ar </w:t>
      </w:r>
      <w:r w:rsidRPr="002D6980">
        <w:t xml:space="preserve">pieejamā publiskā finansējuma </w:t>
      </w:r>
      <w:r>
        <w:t xml:space="preserve">sadales metodiku </w:t>
      </w:r>
      <w:r w:rsidRPr="004F0C21">
        <w:t xml:space="preserve">koledžām </w:t>
      </w:r>
      <w:r w:rsidR="00917A8D">
        <w:t xml:space="preserve">indikatīvi </w:t>
      </w:r>
      <w:r>
        <w:t xml:space="preserve">plānotais </w:t>
      </w:r>
      <w:r w:rsidRPr="004F0C21">
        <w:t>finansējum</w:t>
      </w:r>
      <w:r>
        <w:t>s</w:t>
      </w:r>
      <w:r w:rsidRPr="004F0C21">
        <w:t xml:space="preserve"> </w:t>
      </w:r>
      <w:r>
        <w:t xml:space="preserve">(t.sk. </w:t>
      </w:r>
      <w:r w:rsidRPr="004F0C21">
        <w:t>pieejam</w:t>
      </w:r>
      <w:r>
        <w:t>ais</w:t>
      </w:r>
      <w:r w:rsidRPr="004F0C21">
        <w:t xml:space="preserve"> kopēj</w:t>
      </w:r>
      <w:r>
        <w:t>ais</w:t>
      </w:r>
      <w:r w:rsidRPr="004F0C21">
        <w:t xml:space="preserve"> attiecinām</w:t>
      </w:r>
      <w:r>
        <w:t>ais</w:t>
      </w:r>
      <w:r w:rsidRPr="004F0C21">
        <w:t xml:space="preserve"> finansējum</w:t>
      </w:r>
      <w:r>
        <w:t>s</w:t>
      </w:r>
      <w:r w:rsidRPr="004F0C21">
        <w:t xml:space="preserve"> līdz 2018. gada 31. decembrim</w:t>
      </w:r>
      <w:r>
        <w:t>) norādīts 4.2.tabulā.</w:t>
      </w:r>
    </w:p>
    <w:p w:rsidR="005F621D" w:rsidRDefault="005F621D" w:rsidP="005F621D">
      <w:pPr>
        <w:pStyle w:val="Default"/>
        <w:ind w:firstLine="720"/>
        <w:jc w:val="both"/>
      </w:pPr>
    </w:p>
    <w:p w:rsidR="005F621D" w:rsidRDefault="005F621D" w:rsidP="005F621D">
      <w:pPr>
        <w:pStyle w:val="Default"/>
        <w:ind w:firstLine="720"/>
        <w:jc w:val="right"/>
      </w:pPr>
      <w:r>
        <w:t>4.2.tabula</w:t>
      </w:r>
    </w:p>
    <w:p w:rsidR="005F621D" w:rsidRDefault="005F621D" w:rsidP="005F621D">
      <w:pPr>
        <w:pStyle w:val="Default"/>
        <w:ind w:firstLine="720"/>
        <w:jc w:val="both"/>
        <w:rPr>
          <w:b/>
        </w:rPr>
      </w:pPr>
      <w:r w:rsidRPr="002D6980">
        <w:rPr>
          <w:b/>
        </w:rPr>
        <w:t>8.1.4. SAM ietvaros pieejamā publiskā finansējuma sadalījums pa koledžām</w:t>
      </w:r>
    </w:p>
    <w:p w:rsidR="005F621D" w:rsidRPr="00A44146" w:rsidRDefault="005F621D" w:rsidP="005F621D">
      <w:pPr>
        <w:pStyle w:val="Default"/>
        <w:ind w:firstLine="720"/>
        <w:jc w:val="both"/>
        <w:rPr>
          <w:b/>
        </w:rPr>
      </w:pPr>
    </w:p>
    <w:tbl>
      <w:tblPr>
        <w:tblW w:w="9229" w:type="dxa"/>
        <w:tblInd w:w="93" w:type="dxa"/>
        <w:tblLayout w:type="fixed"/>
        <w:tblLook w:val="04A0"/>
      </w:tblPr>
      <w:tblGrid>
        <w:gridCol w:w="2425"/>
        <w:gridCol w:w="2268"/>
        <w:gridCol w:w="2268"/>
        <w:gridCol w:w="2268"/>
      </w:tblGrid>
      <w:tr w:rsidR="00B81F3B" w:rsidRPr="005F621D" w:rsidTr="00B81F3B">
        <w:trPr>
          <w:trHeight w:val="923"/>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F621D" w:rsidRPr="005F621D" w:rsidRDefault="005F621D" w:rsidP="00B81F3B">
            <w:pPr>
              <w:jc w:val="center"/>
              <w:rPr>
                <w:b/>
                <w:bCs/>
                <w:color w:val="000000"/>
                <w:szCs w:val="24"/>
                <w:lang w:eastAsia="lv-LV"/>
              </w:rPr>
            </w:pPr>
            <w:r w:rsidRPr="005F621D">
              <w:rPr>
                <w:b/>
                <w:bCs/>
                <w:color w:val="000000"/>
                <w:szCs w:val="24"/>
                <w:lang w:eastAsia="lv-LV"/>
              </w:rPr>
              <w:t>Koledža</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5F621D" w:rsidRPr="005F621D" w:rsidRDefault="005F621D" w:rsidP="00B81F3B">
            <w:pPr>
              <w:jc w:val="center"/>
              <w:rPr>
                <w:b/>
                <w:bCs/>
                <w:color w:val="000000"/>
                <w:szCs w:val="24"/>
                <w:lang w:eastAsia="lv-LV"/>
              </w:rPr>
            </w:pPr>
            <w:r w:rsidRPr="005F621D">
              <w:rPr>
                <w:b/>
                <w:bCs/>
                <w:color w:val="000000"/>
                <w:szCs w:val="24"/>
                <w:lang w:eastAsia="lv-LV"/>
              </w:rPr>
              <w:t>Plānotais finansējums, EUR</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5F621D" w:rsidRPr="005F621D" w:rsidRDefault="005F621D" w:rsidP="00B81F3B">
            <w:pPr>
              <w:jc w:val="center"/>
              <w:rPr>
                <w:b/>
                <w:bCs/>
                <w:color w:val="000000"/>
                <w:szCs w:val="24"/>
                <w:lang w:eastAsia="lv-LV"/>
              </w:rPr>
            </w:pPr>
            <w:r w:rsidRPr="005F621D">
              <w:rPr>
                <w:b/>
                <w:bCs/>
                <w:color w:val="000000"/>
                <w:szCs w:val="24"/>
                <w:lang w:eastAsia="lv-LV"/>
              </w:rPr>
              <w:t>Plānotais pieejamais finansējums, EUR</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5F621D" w:rsidRPr="005F621D" w:rsidRDefault="005F621D" w:rsidP="00B81F3B">
            <w:pPr>
              <w:jc w:val="center"/>
              <w:rPr>
                <w:b/>
                <w:bCs/>
                <w:color w:val="000000"/>
                <w:szCs w:val="24"/>
                <w:lang w:eastAsia="lv-LV"/>
              </w:rPr>
            </w:pPr>
            <w:r w:rsidRPr="005F621D">
              <w:rPr>
                <w:b/>
                <w:bCs/>
                <w:color w:val="000000"/>
                <w:szCs w:val="24"/>
                <w:lang w:eastAsia="lv-LV"/>
              </w:rPr>
              <w:t>Rezerves finansējuma apmērs, EUR</w:t>
            </w:r>
          </w:p>
        </w:tc>
      </w:tr>
      <w:tr w:rsidR="005F621D" w:rsidRPr="005F621D" w:rsidTr="00B81F3B">
        <w:trPr>
          <w:trHeight w:val="600"/>
        </w:trPr>
        <w:tc>
          <w:tcPr>
            <w:tcW w:w="2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F621D" w:rsidRPr="005F621D" w:rsidRDefault="005F621D" w:rsidP="005F621D">
            <w:pPr>
              <w:jc w:val="left"/>
              <w:rPr>
                <w:rFonts w:eastAsia="Calibri"/>
                <w:color w:val="000000"/>
                <w:szCs w:val="24"/>
                <w:lang w:eastAsia="lv-LV"/>
              </w:rPr>
            </w:pPr>
            <w:r w:rsidRPr="005F621D">
              <w:rPr>
                <w:rFonts w:eastAsia="Calibri"/>
                <w:color w:val="000000"/>
                <w:szCs w:val="24"/>
                <w:lang w:eastAsia="lv-LV"/>
              </w:rPr>
              <w:t>Daugavpils medicīnas koledža</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314 489</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295 307</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19 182</w:t>
            </w:r>
          </w:p>
        </w:tc>
      </w:tr>
      <w:tr w:rsidR="005F621D" w:rsidRPr="005F621D" w:rsidTr="00B81F3B">
        <w:trPr>
          <w:trHeight w:val="600"/>
        </w:trPr>
        <w:tc>
          <w:tcPr>
            <w:tcW w:w="2425" w:type="dxa"/>
            <w:tcBorders>
              <w:top w:val="nil"/>
              <w:left w:val="single" w:sz="4" w:space="0" w:color="auto"/>
              <w:bottom w:val="single" w:sz="4" w:space="0" w:color="auto"/>
              <w:right w:val="single" w:sz="4" w:space="0" w:color="auto"/>
            </w:tcBorders>
            <w:shd w:val="clear" w:color="000000" w:fill="FFFFFF"/>
            <w:vAlign w:val="bottom"/>
            <w:hideMark/>
          </w:tcPr>
          <w:p w:rsidR="005F621D" w:rsidRPr="005F621D" w:rsidRDefault="005F621D" w:rsidP="005F621D">
            <w:pPr>
              <w:jc w:val="left"/>
              <w:rPr>
                <w:rFonts w:eastAsia="Calibri"/>
                <w:color w:val="000000"/>
                <w:szCs w:val="24"/>
                <w:lang w:eastAsia="lv-LV"/>
              </w:rPr>
            </w:pPr>
            <w:r w:rsidRPr="005F621D">
              <w:rPr>
                <w:rFonts w:eastAsia="Calibri"/>
                <w:color w:val="000000"/>
                <w:szCs w:val="24"/>
                <w:lang w:eastAsia="lv-LV"/>
              </w:rPr>
              <w:lastRenderedPageBreak/>
              <w:t xml:space="preserve">Jēkabpils </w:t>
            </w:r>
            <w:proofErr w:type="spellStart"/>
            <w:r w:rsidRPr="005F621D">
              <w:rPr>
                <w:rFonts w:eastAsia="Calibri"/>
                <w:color w:val="000000"/>
                <w:szCs w:val="24"/>
                <w:lang w:eastAsia="lv-LV"/>
              </w:rPr>
              <w:t>Agrobiznesa</w:t>
            </w:r>
            <w:proofErr w:type="spellEnd"/>
            <w:r w:rsidRPr="005F621D">
              <w:rPr>
                <w:rFonts w:eastAsia="Calibri"/>
                <w:color w:val="000000"/>
                <w:szCs w:val="24"/>
                <w:lang w:eastAsia="lv-LV"/>
              </w:rPr>
              <w:t xml:space="preserve"> koledža</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328 903</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308 841</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20 062</w:t>
            </w:r>
          </w:p>
        </w:tc>
      </w:tr>
      <w:tr w:rsidR="005F621D" w:rsidRPr="005F621D" w:rsidTr="00B81F3B">
        <w:trPr>
          <w:trHeight w:val="600"/>
        </w:trPr>
        <w:tc>
          <w:tcPr>
            <w:tcW w:w="2425" w:type="dxa"/>
            <w:tcBorders>
              <w:top w:val="nil"/>
              <w:left w:val="single" w:sz="4" w:space="0" w:color="auto"/>
              <w:bottom w:val="single" w:sz="4" w:space="0" w:color="auto"/>
              <w:right w:val="single" w:sz="4" w:space="0" w:color="auto"/>
            </w:tcBorders>
            <w:shd w:val="clear" w:color="000000" w:fill="FFFFFF"/>
            <w:vAlign w:val="bottom"/>
            <w:hideMark/>
          </w:tcPr>
          <w:p w:rsidR="005F621D" w:rsidRPr="005F621D" w:rsidRDefault="005F621D" w:rsidP="005F621D">
            <w:pPr>
              <w:jc w:val="left"/>
              <w:rPr>
                <w:rFonts w:eastAsia="Calibri"/>
                <w:color w:val="000000"/>
                <w:szCs w:val="24"/>
                <w:lang w:eastAsia="lv-LV"/>
              </w:rPr>
            </w:pPr>
            <w:r w:rsidRPr="005F621D">
              <w:rPr>
                <w:rFonts w:eastAsia="Calibri"/>
                <w:color w:val="000000"/>
                <w:szCs w:val="24"/>
                <w:lang w:eastAsia="lv-LV"/>
              </w:rPr>
              <w:t>Liepājas Jūrniecības koledža</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357 952</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336 119</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21 833</w:t>
            </w:r>
          </w:p>
        </w:tc>
      </w:tr>
      <w:tr w:rsidR="005F621D" w:rsidRPr="005F621D" w:rsidTr="00B81F3B">
        <w:trPr>
          <w:trHeight w:val="300"/>
        </w:trPr>
        <w:tc>
          <w:tcPr>
            <w:tcW w:w="2425" w:type="dxa"/>
            <w:tcBorders>
              <w:top w:val="nil"/>
              <w:left w:val="single" w:sz="4" w:space="0" w:color="auto"/>
              <w:bottom w:val="single" w:sz="4" w:space="0" w:color="auto"/>
              <w:right w:val="single" w:sz="4" w:space="0" w:color="auto"/>
            </w:tcBorders>
            <w:shd w:val="clear" w:color="000000" w:fill="FFFFFF"/>
            <w:vAlign w:val="bottom"/>
            <w:hideMark/>
          </w:tcPr>
          <w:p w:rsidR="005F621D" w:rsidRPr="005F621D" w:rsidRDefault="005F621D" w:rsidP="005F621D">
            <w:pPr>
              <w:jc w:val="left"/>
              <w:rPr>
                <w:rFonts w:eastAsia="Calibri"/>
                <w:color w:val="000000"/>
                <w:szCs w:val="24"/>
                <w:lang w:eastAsia="lv-LV"/>
              </w:rPr>
            </w:pPr>
            <w:r w:rsidRPr="005F621D">
              <w:rPr>
                <w:rFonts w:eastAsia="Calibri"/>
                <w:color w:val="000000"/>
                <w:szCs w:val="24"/>
                <w:lang w:eastAsia="lv-LV"/>
              </w:rPr>
              <w:t>Malnavas koledža</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544 631</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511 411</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33 220</w:t>
            </w:r>
          </w:p>
        </w:tc>
      </w:tr>
      <w:tr w:rsidR="005F621D" w:rsidRPr="005F621D" w:rsidTr="00B81F3B">
        <w:trPr>
          <w:trHeight w:val="600"/>
        </w:trPr>
        <w:tc>
          <w:tcPr>
            <w:tcW w:w="2425" w:type="dxa"/>
            <w:tcBorders>
              <w:top w:val="nil"/>
              <w:left w:val="single" w:sz="4" w:space="0" w:color="auto"/>
              <w:bottom w:val="single" w:sz="4" w:space="0" w:color="auto"/>
              <w:right w:val="single" w:sz="4" w:space="0" w:color="auto"/>
            </w:tcBorders>
            <w:shd w:val="clear" w:color="000000" w:fill="FFFFFF"/>
            <w:vAlign w:val="bottom"/>
            <w:hideMark/>
          </w:tcPr>
          <w:p w:rsidR="005F621D" w:rsidRPr="005F621D" w:rsidRDefault="005F621D" w:rsidP="005F621D">
            <w:pPr>
              <w:jc w:val="left"/>
              <w:rPr>
                <w:rFonts w:eastAsia="Calibri"/>
                <w:color w:val="000000"/>
                <w:szCs w:val="24"/>
                <w:lang w:eastAsia="lv-LV"/>
              </w:rPr>
            </w:pPr>
            <w:r w:rsidRPr="005F621D">
              <w:rPr>
                <w:rFonts w:eastAsia="Calibri"/>
                <w:color w:val="000000"/>
                <w:szCs w:val="24"/>
                <w:lang w:eastAsia="lv-LV"/>
              </w:rPr>
              <w:t>Olaines Mehānikas un tehnoloģiju koledža</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4 489 826</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4 215 968</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273 858</w:t>
            </w:r>
          </w:p>
        </w:tc>
      </w:tr>
      <w:tr w:rsidR="00B81F3B" w:rsidRPr="005F621D" w:rsidTr="00B81F3B">
        <w:trPr>
          <w:trHeight w:val="300"/>
        </w:trPr>
        <w:tc>
          <w:tcPr>
            <w:tcW w:w="2425" w:type="dxa"/>
            <w:tcBorders>
              <w:top w:val="nil"/>
              <w:left w:val="single" w:sz="4" w:space="0" w:color="auto"/>
              <w:bottom w:val="single" w:sz="4" w:space="0" w:color="auto"/>
              <w:right w:val="single" w:sz="4" w:space="0" w:color="auto"/>
            </w:tcBorders>
            <w:shd w:val="clear" w:color="000000" w:fill="FFFFFF"/>
            <w:noWrap/>
            <w:vAlign w:val="bottom"/>
            <w:hideMark/>
          </w:tcPr>
          <w:p w:rsidR="005F621D" w:rsidRPr="005F621D" w:rsidRDefault="005F621D" w:rsidP="005F621D">
            <w:pPr>
              <w:jc w:val="left"/>
              <w:rPr>
                <w:rFonts w:eastAsia="Calibri"/>
                <w:color w:val="000000"/>
                <w:szCs w:val="24"/>
                <w:lang w:eastAsia="lv-LV"/>
              </w:rPr>
            </w:pPr>
            <w:r w:rsidRPr="005F621D">
              <w:rPr>
                <w:rFonts w:eastAsia="Calibri"/>
                <w:color w:val="000000"/>
                <w:szCs w:val="24"/>
                <w:lang w:eastAsia="lv-LV"/>
              </w:rPr>
              <w:t>Rīgas 1. medicīnas koledža</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435 118</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408 578</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26 540</w:t>
            </w:r>
          </w:p>
        </w:tc>
      </w:tr>
      <w:tr w:rsidR="005F621D" w:rsidRPr="005F621D" w:rsidTr="00B81F3B">
        <w:trPr>
          <w:trHeight w:val="600"/>
        </w:trPr>
        <w:tc>
          <w:tcPr>
            <w:tcW w:w="2425" w:type="dxa"/>
            <w:tcBorders>
              <w:top w:val="nil"/>
              <w:left w:val="single" w:sz="4" w:space="0" w:color="auto"/>
              <w:bottom w:val="single" w:sz="4" w:space="0" w:color="auto"/>
              <w:right w:val="single" w:sz="4" w:space="0" w:color="auto"/>
            </w:tcBorders>
            <w:shd w:val="clear" w:color="000000" w:fill="FFFFFF"/>
            <w:vAlign w:val="bottom"/>
            <w:hideMark/>
          </w:tcPr>
          <w:p w:rsidR="005F621D" w:rsidRPr="005F621D" w:rsidRDefault="005F621D" w:rsidP="005F621D">
            <w:pPr>
              <w:jc w:val="left"/>
              <w:rPr>
                <w:rFonts w:eastAsia="Calibri"/>
                <w:color w:val="000000"/>
                <w:szCs w:val="24"/>
                <w:lang w:eastAsia="lv-LV"/>
              </w:rPr>
            </w:pPr>
            <w:r w:rsidRPr="005F621D">
              <w:rPr>
                <w:rFonts w:eastAsia="Calibri"/>
                <w:color w:val="000000"/>
                <w:szCs w:val="24"/>
                <w:lang w:eastAsia="lv-LV"/>
              </w:rPr>
              <w:t>Rīgas Celtniecības koledža</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351 655</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330 206</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21 449</w:t>
            </w:r>
          </w:p>
        </w:tc>
      </w:tr>
      <w:tr w:rsidR="005F621D" w:rsidRPr="005F621D" w:rsidTr="00B81F3B">
        <w:trPr>
          <w:trHeight w:val="600"/>
        </w:trPr>
        <w:tc>
          <w:tcPr>
            <w:tcW w:w="2425" w:type="dxa"/>
            <w:tcBorders>
              <w:top w:val="nil"/>
              <w:left w:val="single" w:sz="4" w:space="0" w:color="auto"/>
              <w:bottom w:val="single" w:sz="4" w:space="0" w:color="auto"/>
              <w:right w:val="single" w:sz="4" w:space="0" w:color="auto"/>
            </w:tcBorders>
            <w:shd w:val="clear" w:color="000000" w:fill="FFFFFF"/>
            <w:vAlign w:val="bottom"/>
            <w:hideMark/>
          </w:tcPr>
          <w:p w:rsidR="005F621D" w:rsidRPr="005F621D" w:rsidRDefault="005F621D" w:rsidP="005F621D">
            <w:pPr>
              <w:jc w:val="left"/>
              <w:rPr>
                <w:rFonts w:eastAsia="Calibri"/>
                <w:color w:val="000000"/>
                <w:szCs w:val="24"/>
                <w:lang w:eastAsia="lv-LV"/>
              </w:rPr>
            </w:pPr>
            <w:r w:rsidRPr="005F621D">
              <w:rPr>
                <w:rFonts w:eastAsia="Calibri"/>
                <w:color w:val="000000"/>
                <w:szCs w:val="24"/>
                <w:lang w:eastAsia="lv-LV"/>
              </w:rPr>
              <w:t>Rīgas Tehniskā koledža</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7 000 000</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6 573 033</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426 967</w:t>
            </w:r>
          </w:p>
        </w:tc>
      </w:tr>
      <w:tr w:rsidR="005F621D" w:rsidRPr="005F621D" w:rsidTr="00B81F3B">
        <w:trPr>
          <w:trHeight w:val="600"/>
        </w:trPr>
        <w:tc>
          <w:tcPr>
            <w:tcW w:w="2425" w:type="dxa"/>
            <w:tcBorders>
              <w:top w:val="nil"/>
              <w:left w:val="single" w:sz="4" w:space="0" w:color="auto"/>
              <w:bottom w:val="single" w:sz="4" w:space="0" w:color="auto"/>
              <w:right w:val="single" w:sz="4" w:space="0" w:color="auto"/>
            </w:tcBorders>
            <w:shd w:val="clear" w:color="000000" w:fill="FFFFFF"/>
            <w:vAlign w:val="bottom"/>
            <w:hideMark/>
          </w:tcPr>
          <w:p w:rsidR="005F621D" w:rsidRPr="005F621D" w:rsidRDefault="005F621D" w:rsidP="005F621D">
            <w:pPr>
              <w:jc w:val="left"/>
              <w:rPr>
                <w:rFonts w:eastAsia="Calibri"/>
                <w:color w:val="000000"/>
                <w:szCs w:val="24"/>
                <w:lang w:eastAsia="lv-LV"/>
              </w:rPr>
            </w:pPr>
            <w:r w:rsidRPr="005F621D">
              <w:rPr>
                <w:rFonts w:eastAsia="Calibri"/>
                <w:color w:val="000000"/>
                <w:szCs w:val="24"/>
                <w:lang w:eastAsia="lv-LV"/>
              </w:rPr>
              <w:t xml:space="preserve">RSU Sarkanā </w:t>
            </w:r>
            <w:r>
              <w:rPr>
                <w:rFonts w:eastAsia="Calibri"/>
                <w:color w:val="000000"/>
                <w:szCs w:val="24"/>
                <w:lang w:eastAsia="lv-LV"/>
              </w:rPr>
              <w:t>K</w:t>
            </w:r>
            <w:r w:rsidRPr="005F621D">
              <w:rPr>
                <w:rFonts w:eastAsia="Calibri"/>
                <w:color w:val="000000"/>
                <w:szCs w:val="24"/>
                <w:lang w:eastAsia="lv-LV"/>
              </w:rPr>
              <w:t>rusta medicīnas koledža</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362 622</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340 504</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color w:val="000000"/>
                <w:szCs w:val="24"/>
                <w:lang w:eastAsia="lv-LV"/>
              </w:rPr>
            </w:pPr>
            <w:r w:rsidRPr="005F621D">
              <w:rPr>
                <w:color w:val="000000"/>
                <w:szCs w:val="24"/>
                <w:lang w:eastAsia="lv-LV"/>
              </w:rPr>
              <w:t>22 118</w:t>
            </w:r>
          </w:p>
        </w:tc>
      </w:tr>
      <w:tr w:rsidR="005F621D" w:rsidRPr="005F621D" w:rsidTr="00B81F3B">
        <w:trPr>
          <w:trHeight w:val="300"/>
        </w:trPr>
        <w:tc>
          <w:tcPr>
            <w:tcW w:w="2425" w:type="dxa"/>
            <w:tcBorders>
              <w:top w:val="nil"/>
              <w:left w:val="single" w:sz="4" w:space="0" w:color="auto"/>
              <w:bottom w:val="single" w:sz="4" w:space="0" w:color="auto"/>
              <w:right w:val="single" w:sz="4" w:space="0" w:color="auto"/>
            </w:tcBorders>
            <w:shd w:val="clear" w:color="000000" w:fill="FFFFFF"/>
            <w:vAlign w:val="bottom"/>
            <w:hideMark/>
          </w:tcPr>
          <w:p w:rsidR="005F621D" w:rsidRPr="005F621D" w:rsidRDefault="005F621D" w:rsidP="005F621D">
            <w:pPr>
              <w:jc w:val="left"/>
              <w:rPr>
                <w:rFonts w:eastAsia="Calibri"/>
                <w:b/>
                <w:bCs/>
                <w:color w:val="000000"/>
                <w:szCs w:val="24"/>
                <w:lang w:eastAsia="lv-LV"/>
              </w:rPr>
            </w:pPr>
            <w:r w:rsidRPr="005F621D">
              <w:rPr>
                <w:rFonts w:eastAsia="Calibri"/>
                <w:b/>
                <w:bCs/>
                <w:color w:val="000000"/>
                <w:szCs w:val="24"/>
                <w:lang w:eastAsia="lv-LV"/>
              </w:rPr>
              <w:t>KOPĀ</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b/>
                <w:bCs/>
                <w:color w:val="000000"/>
                <w:szCs w:val="24"/>
                <w:lang w:eastAsia="lv-LV"/>
              </w:rPr>
            </w:pPr>
            <w:r w:rsidRPr="005F621D">
              <w:rPr>
                <w:b/>
                <w:bCs/>
                <w:color w:val="000000"/>
                <w:szCs w:val="24"/>
                <w:lang w:eastAsia="lv-LV"/>
              </w:rPr>
              <w:t>14 185 196</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b/>
                <w:bCs/>
                <w:color w:val="000000"/>
                <w:szCs w:val="24"/>
                <w:lang w:eastAsia="lv-LV"/>
              </w:rPr>
            </w:pPr>
            <w:r w:rsidRPr="005F621D">
              <w:rPr>
                <w:b/>
                <w:bCs/>
                <w:color w:val="000000"/>
                <w:szCs w:val="24"/>
                <w:lang w:eastAsia="lv-LV"/>
              </w:rPr>
              <w:t>13 319 967</w:t>
            </w:r>
          </w:p>
        </w:tc>
        <w:tc>
          <w:tcPr>
            <w:tcW w:w="2268" w:type="dxa"/>
            <w:tcBorders>
              <w:top w:val="nil"/>
              <w:left w:val="nil"/>
              <w:bottom w:val="single" w:sz="4" w:space="0" w:color="auto"/>
              <w:right w:val="single" w:sz="4" w:space="0" w:color="auto"/>
            </w:tcBorders>
            <w:shd w:val="clear" w:color="000000" w:fill="FFFFFF"/>
            <w:noWrap/>
            <w:vAlign w:val="bottom"/>
            <w:hideMark/>
          </w:tcPr>
          <w:p w:rsidR="005F621D" w:rsidRPr="005F621D" w:rsidRDefault="005F621D" w:rsidP="005F621D">
            <w:pPr>
              <w:jc w:val="center"/>
              <w:rPr>
                <w:b/>
                <w:bCs/>
                <w:color w:val="000000"/>
                <w:szCs w:val="24"/>
                <w:lang w:eastAsia="lv-LV"/>
              </w:rPr>
            </w:pPr>
            <w:r w:rsidRPr="005F621D">
              <w:rPr>
                <w:b/>
                <w:bCs/>
                <w:color w:val="000000"/>
                <w:szCs w:val="24"/>
                <w:lang w:eastAsia="lv-LV"/>
              </w:rPr>
              <w:t>865 229</w:t>
            </w:r>
          </w:p>
        </w:tc>
      </w:tr>
    </w:tbl>
    <w:p w:rsidR="005F621D" w:rsidRDefault="005F621D" w:rsidP="00EF5D39">
      <w:pPr>
        <w:pStyle w:val="Default"/>
        <w:ind w:firstLine="720"/>
        <w:jc w:val="both"/>
        <w:rPr>
          <w:color w:val="auto"/>
        </w:rPr>
      </w:pPr>
    </w:p>
    <w:p w:rsidR="006060E9" w:rsidRDefault="00FC57D2" w:rsidP="00EF5D39">
      <w:pPr>
        <w:pStyle w:val="Default"/>
        <w:ind w:firstLine="720"/>
        <w:jc w:val="both"/>
      </w:pPr>
      <w:r w:rsidRPr="001064B3">
        <w:rPr>
          <w:color w:val="auto"/>
        </w:rPr>
        <w:t>Pēc indikatīvā 2014.-2020.gada plānošanas perioda investīciju kartējuma koledžu infrastruktūrā plānot</w:t>
      </w:r>
      <w:r w:rsidR="00DE006E" w:rsidRPr="001064B3">
        <w:rPr>
          <w:color w:val="auto"/>
        </w:rPr>
        <w:t>ais</w:t>
      </w:r>
      <w:r w:rsidRPr="001064B3">
        <w:rPr>
          <w:color w:val="auto"/>
        </w:rPr>
        <w:t xml:space="preserve"> </w:t>
      </w:r>
      <w:r w:rsidR="002612B6" w:rsidRPr="001064B3">
        <w:rPr>
          <w:color w:val="auto"/>
        </w:rPr>
        <w:t>atbalstīto koledžu</w:t>
      </w:r>
      <w:r w:rsidRPr="001064B3">
        <w:rPr>
          <w:b/>
          <w:color w:val="auto"/>
        </w:rPr>
        <w:t xml:space="preserve"> teritoriālais sadalījums </w:t>
      </w:r>
      <w:r w:rsidRPr="001064B3">
        <w:rPr>
          <w:color w:val="auto"/>
        </w:rPr>
        <w:t>veidojas sekojošs</w:t>
      </w:r>
      <w:r w:rsidR="00CB69C2">
        <w:rPr>
          <w:color w:val="auto"/>
        </w:rPr>
        <w:t xml:space="preserve"> </w:t>
      </w:r>
      <w:r w:rsidR="00CB69C2" w:rsidRPr="001064B3">
        <w:t>–</w:t>
      </w:r>
      <w:r w:rsidRPr="001064B3">
        <w:rPr>
          <w:color w:val="auto"/>
        </w:rPr>
        <w:t xml:space="preserve"> </w:t>
      </w:r>
      <w:r w:rsidR="00165900" w:rsidRPr="001064B3">
        <w:t>Zemgales</w:t>
      </w:r>
      <w:r w:rsidR="009C7335">
        <w:t xml:space="preserve"> un</w:t>
      </w:r>
      <w:r w:rsidRPr="001064B3">
        <w:t xml:space="preserve"> Kurzemes </w:t>
      </w:r>
      <w:r w:rsidR="00AC1673" w:rsidRPr="001064B3">
        <w:t>plānošanas reģion</w:t>
      </w:r>
      <w:r w:rsidR="00165900" w:rsidRPr="001064B3">
        <w:t xml:space="preserve">os </w:t>
      </w:r>
      <w:r w:rsidR="00AC1673" w:rsidRPr="001064B3">
        <w:t>tiks atbalstīt</w:t>
      </w:r>
      <w:r w:rsidR="00AA5370" w:rsidRPr="001064B3">
        <w:t>s</w:t>
      </w:r>
      <w:r w:rsidR="00AC1673" w:rsidRPr="001064B3">
        <w:t xml:space="preserve"> </w:t>
      </w:r>
      <w:r w:rsidR="006060E9" w:rsidRPr="001064B3">
        <w:t xml:space="preserve">pa </w:t>
      </w:r>
      <w:r w:rsidR="00AC1673" w:rsidRPr="001064B3">
        <w:t>viena</w:t>
      </w:r>
      <w:r w:rsidR="006060E9" w:rsidRPr="001064B3">
        <w:t>i</w:t>
      </w:r>
      <w:r w:rsidR="00AC1673" w:rsidRPr="001064B3">
        <w:t xml:space="preserve"> koledža</w:t>
      </w:r>
      <w:r w:rsidR="006060E9" w:rsidRPr="001064B3">
        <w:t>i katrā plānošanas reģionā</w:t>
      </w:r>
      <w:r w:rsidR="00165900" w:rsidRPr="001064B3">
        <w:t xml:space="preserve">, </w:t>
      </w:r>
      <w:r w:rsidR="009C7335" w:rsidRPr="001064B3">
        <w:t>Latgales</w:t>
      </w:r>
      <w:r w:rsidR="009C7335">
        <w:t xml:space="preserve"> plānošanas reģionā – 2,</w:t>
      </w:r>
      <w:r w:rsidR="009C7335" w:rsidRPr="001064B3">
        <w:t xml:space="preserve"> </w:t>
      </w:r>
      <w:r w:rsidRPr="001064B3">
        <w:t>Rīgas plānošanas reģionā</w:t>
      </w:r>
      <w:r w:rsidR="00842CCB">
        <w:t xml:space="preserve"> </w:t>
      </w:r>
      <w:r w:rsidR="00842CCB" w:rsidRPr="001064B3">
        <w:t>–</w:t>
      </w:r>
      <w:r w:rsidRPr="001064B3">
        <w:t xml:space="preserve"> </w:t>
      </w:r>
      <w:r w:rsidR="00F60D95">
        <w:t>5</w:t>
      </w:r>
      <w:r w:rsidRPr="001064B3">
        <w:t>, bet</w:t>
      </w:r>
      <w:r w:rsidR="00165900" w:rsidRPr="001064B3">
        <w:t xml:space="preserve"> Vidzemes plānošanas reģionā</w:t>
      </w:r>
      <w:r w:rsidRPr="001064B3">
        <w:t xml:space="preserve"> – 0</w:t>
      </w:r>
      <w:r w:rsidR="002612B6" w:rsidRPr="001064B3">
        <w:t xml:space="preserve"> (šajā reģionā nav koledžu)</w:t>
      </w:r>
      <w:r w:rsidRPr="001064B3">
        <w:t xml:space="preserve">. </w:t>
      </w:r>
      <w:r w:rsidR="00AA5370" w:rsidRPr="001064B3">
        <w:t>Tomēr p</w:t>
      </w:r>
      <w:r w:rsidRPr="001064B3">
        <w:t>ie sasniedzamo rādītāju teritoriālā sadalījuma jāņem vērā arī</w:t>
      </w:r>
      <w:r>
        <w:t xml:space="preserve"> koledžu filiāļu atrašanās vietas. </w:t>
      </w:r>
      <w:r w:rsidR="00CE743D">
        <w:t>PIKC „</w:t>
      </w:r>
      <w:r>
        <w:t>Rīgas Tehniskajai koledžai</w:t>
      </w:r>
      <w:r w:rsidR="00CE743D">
        <w:t>”</w:t>
      </w:r>
      <w:r>
        <w:t>, kas atrodas Rīgā, ir filiāles</w:t>
      </w:r>
      <w:r w:rsidR="006060E9">
        <w:t>:</w:t>
      </w:r>
    </w:p>
    <w:p w:rsidR="006060E9" w:rsidRPr="00CE743D" w:rsidRDefault="006060E9" w:rsidP="00722156">
      <w:pPr>
        <w:pStyle w:val="Default"/>
        <w:numPr>
          <w:ilvl w:val="0"/>
          <w:numId w:val="24"/>
        </w:numPr>
        <w:jc w:val="both"/>
      </w:pPr>
      <w:r>
        <w:t xml:space="preserve">Kurzemes plānošanas reģionā, </w:t>
      </w:r>
      <w:r w:rsidR="00FC57D2">
        <w:t>Kandavā</w:t>
      </w:r>
      <w:r w:rsidR="00842CCB">
        <w:t xml:space="preserve"> </w:t>
      </w:r>
      <w:r w:rsidR="00842CCB" w:rsidRPr="001064B3">
        <w:t>–</w:t>
      </w:r>
      <w:r>
        <w:t xml:space="preserve"> tiek īstenotas studiju programmas </w:t>
      </w:r>
      <w:r w:rsidRPr="00CE743D">
        <w:t>Autotransports un Elektriskās iekārtas;</w:t>
      </w:r>
    </w:p>
    <w:p w:rsidR="006060E9" w:rsidRDefault="006060E9" w:rsidP="00722156">
      <w:pPr>
        <w:pStyle w:val="Default"/>
        <w:numPr>
          <w:ilvl w:val="0"/>
          <w:numId w:val="24"/>
        </w:numPr>
        <w:jc w:val="both"/>
      </w:pPr>
      <w:r>
        <w:t>Vidzemes plānošanas reģionā</w:t>
      </w:r>
      <w:r w:rsidR="00FC57D2">
        <w:t>, Priekuļos</w:t>
      </w:r>
      <w:r w:rsidR="00842CCB">
        <w:t xml:space="preserve"> </w:t>
      </w:r>
      <w:r w:rsidR="00842CCB" w:rsidRPr="001064B3">
        <w:t>–</w:t>
      </w:r>
      <w:r>
        <w:t xml:space="preserve"> tiek īstenotas studiju programmas Informācijas tehnoloģijas un </w:t>
      </w:r>
      <w:r w:rsidR="00CE743D">
        <w:t>T</w:t>
      </w:r>
      <w:r>
        <w:t>elemātika un loģistika;</w:t>
      </w:r>
    </w:p>
    <w:p w:rsidR="00165900" w:rsidRDefault="006060E9" w:rsidP="00722156">
      <w:pPr>
        <w:pStyle w:val="Default"/>
        <w:numPr>
          <w:ilvl w:val="0"/>
          <w:numId w:val="24"/>
        </w:numPr>
        <w:jc w:val="both"/>
      </w:pPr>
      <w:r>
        <w:t>Latgales plānošanas reģionā, Daugavpilī</w:t>
      </w:r>
      <w:r w:rsidR="00842CCB">
        <w:t xml:space="preserve"> </w:t>
      </w:r>
      <w:r w:rsidR="00842CCB" w:rsidRPr="001064B3">
        <w:t>–</w:t>
      </w:r>
      <w:r>
        <w:t xml:space="preserve"> tiek īstenotas studiju programmas </w:t>
      </w:r>
      <w:r w:rsidR="00CE743D">
        <w:t>I</w:t>
      </w:r>
      <w:r>
        <w:t xml:space="preserve">nformācijas tehnoloģijas un </w:t>
      </w:r>
      <w:proofErr w:type="spellStart"/>
      <w:r w:rsidR="00CE743D">
        <w:t>Inženiermehānika</w:t>
      </w:r>
      <w:proofErr w:type="spellEnd"/>
      <w:r w:rsidR="00CE743D">
        <w:t>.</w:t>
      </w:r>
    </w:p>
    <w:p w:rsidR="00115E4B" w:rsidRPr="004069C2" w:rsidRDefault="006060E9" w:rsidP="00AA5370">
      <w:pPr>
        <w:pStyle w:val="Default"/>
        <w:jc w:val="both"/>
      </w:pPr>
      <w:r>
        <w:t xml:space="preserve">Ņemot vērā </w:t>
      </w:r>
      <w:r w:rsidR="00CE743D">
        <w:t>PIKC „</w:t>
      </w:r>
      <w:r>
        <w:t>Rīgas Tehniskā kol</w:t>
      </w:r>
      <w:r w:rsidR="00CE743D">
        <w:t>edža”</w:t>
      </w:r>
      <w:r>
        <w:t xml:space="preserve"> filiāļu reģionālo izvietojumu, Vidzemes plānošanas reģionā arī tiks atbalstīta STEM studiju programmu modernizācija.</w:t>
      </w:r>
    </w:p>
    <w:p w:rsidR="00C93E92" w:rsidRDefault="00C93E92">
      <w:pPr>
        <w:jc w:val="left"/>
        <w:rPr>
          <w:rFonts w:eastAsia="Calibri"/>
          <w:szCs w:val="24"/>
        </w:rPr>
      </w:pPr>
    </w:p>
    <w:p w:rsidR="00F230E8" w:rsidRDefault="001064B3" w:rsidP="001064B3">
      <w:pPr>
        <w:pStyle w:val="Heading2"/>
      </w:pPr>
      <w:bookmarkStart w:id="47" w:name="_Toc445290211"/>
      <w:r>
        <w:t xml:space="preserve">4.6. </w:t>
      </w:r>
      <w:r w:rsidR="00F230E8" w:rsidRPr="00F230E8">
        <w:t>Priekšlikumi projektu iesniegumu vērtēšanas kritērijiem</w:t>
      </w:r>
      <w:bookmarkEnd w:id="47"/>
    </w:p>
    <w:p w:rsidR="001064B3" w:rsidRPr="001064B3" w:rsidRDefault="001064B3" w:rsidP="001064B3"/>
    <w:p w:rsidR="00F230E8" w:rsidRDefault="00F230E8" w:rsidP="00C82EDF">
      <w:pPr>
        <w:ind w:firstLine="720"/>
        <w:rPr>
          <w:szCs w:val="24"/>
        </w:rPr>
      </w:pPr>
      <w:r>
        <w:rPr>
          <w:szCs w:val="24"/>
        </w:rPr>
        <w:t xml:space="preserve">8.1.4. </w:t>
      </w:r>
      <w:r w:rsidR="003F68F7">
        <w:rPr>
          <w:szCs w:val="24"/>
        </w:rPr>
        <w:t xml:space="preserve">SAM </w:t>
      </w:r>
      <w:r>
        <w:rPr>
          <w:szCs w:val="24"/>
        </w:rPr>
        <w:t xml:space="preserve">ietvaros ar stratēģiskajiem </w:t>
      </w:r>
      <w:proofErr w:type="spellStart"/>
      <w:r w:rsidR="00842CCB">
        <w:rPr>
          <w:szCs w:val="24"/>
        </w:rPr>
        <w:t>priekšatlases</w:t>
      </w:r>
      <w:proofErr w:type="spellEnd"/>
      <w:r w:rsidR="00842CCB">
        <w:rPr>
          <w:szCs w:val="24"/>
        </w:rPr>
        <w:t xml:space="preserve"> </w:t>
      </w:r>
      <w:r>
        <w:rPr>
          <w:szCs w:val="24"/>
        </w:rPr>
        <w:t xml:space="preserve">kritērijiem </w:t>
      </w:r>
      <w:r w:rsidR="008C24D6">
        <w:rPr>
          <w:szCs w:val="24"/>
        </w:rPr>
        <w:t xml:space="preserve">tiek </w:t>
      </w:r>
      <w:r>
        <w:rPr>
          <w:szCs w:val="24"/>
        </w:rPr>
        <w:t xml:space="preserve">noteikti potenciālie finansējuma saņēmēji, savukārt ar projektu iesniegumu vērtēšanas kritērijiem ierobežotajā projektu iesniegumu atlasē </w:t>
      </w:r>
      <w:r w:rsidR="008C24D6">
        <w:rPr>
          <w:szCs w:val="24"/>
        </w:rPr>
        <w:t xml:space="preserve">tiek </w:t>
      </w:r>
      <w:r>
        <w:rPr>
          <w:szCs w:val="24"/>
        </w:rPr>
        <w:t>vērtēta projektu iesniegumu kvalitāte, lai konkrēto projekta iesniegumu varētu apstiprināt.</w:t>
      </w:r>
    </w:p>
    <w:p w:rsidR="00E168C9" w:rsidRDefault="00842CCB" w:rsidP="00C82EDF">
      <w:pPr>
        <w:ind w:firstLine="720"/>
        <w:rPr>
          <w:szCs w:val="24"/>
        </w:rPr>
      </w:pPr>
      <w:r>
        <w:rPr>
          <w:szCs w:val="24"/>
        </w:rPr>
        <w:t xml:space="preserve">Ar projektu iesniegumu kvalitātes kritērijiem plānots vērtēt </w:t>
      </w:r>
      <w:r w:rsidR="00E168C9">
        <w:rPr>
          <w:szCs w:val="24"/>
        </w:rPr>
        <w:t xml:space="preserve">plānoto </w:t>
      </w:r>
      <w:r>
        <w:rPr>
          <w:szCs w:val="24"/>
        </w:rPr>
        <w:t xml:space="preserve">ieguldījumu koledžu infrastruktūrā </w:t>
      </w:r>
      <w:r w:rsidR="00E168C9" w:rsidRPr="00E168C9">
        <w:rPr>
          <w:b/>
          <w:szCs w:val="24"/>
        </w:rPr>
        <w:t xml:space="preserve">ietekmi uz </w:t>
      </w:r>
      <w:proofErr w:type="spellStart"/>
      <w:r w:rsidR="00E168C9" w:rsidRPr="00E168C9">
        <w:rPr>
          <w:b/>
          <w:szCs w:val="24"/>
        </w:rPr>
        <w:t>cilvēkkapitāla</w:t>
      </w:r>
      <w:proofErr w:type="spellEnd"/>
      <w:r w:rsidR="00E168C9" w:rsidRPr="00E168C9">
        <w:rPr>
          <w:b/>
          <w:szCs w:val="24"/>
        </w:rPr>
        <w:t xml:space="preserve"> attīstību</w:t>
      </w:r>
      <w:r w:rsidR="00E168C9" w:rsidRPr="00E168C9">
        <w:rPr>
          <w:szCs w:val="24"/>
        </w:rPr>
        <w:t xml:space="preserve"> tautsaimniecības nozarēs</w:t>
      </w:r>
      <w:r w:rsidR="00E168C9">
        <w:rPr>
          <w:szCs w:val="24"/>
        </w:rPr>
        <w:t xml:space="preserve">, kurās vidējā </w:t>
      </w:r>
      <w:r w:rsidR="00E168C9" w:rsidRPr="00E90950">
        <w:rPr>
          <w:szCs w:val="24"/>
        </w:rPr>
        <w:t xml:space="preserve">termiņā un ilgtermiņā tiek prognozēts darbaspēka </w:t>
      </w:r>
      <w:r w:rsidR="00E168C9">
        <w:rPr>
          <w:szCs w:val="24"/>
        </w:rPr>
        <w:t>ar pirmā līmeņa augstāko vai profesionālo vidējo izglītību</w:t>
      </w:r>
      <w:r w:rsidR="00E168C9" w:rsidRPr="00E90950">
        <w:rPr>
          <w:szCs w:val="24"/>
        </w:rPr>
        <w:t xml:space="preserve"> iztrūkums</w:t>
      </w:r>
      <w:r w:rsidR="00400396">
        <w:rPr>
          <w:szCs w:val="24"/>
        </w:rPr>
        <w:t xml:space="preserve">, </w:t>
      </w:r>
      <w:r w:rsidR="00CD683F">
        <w:rPr>
          <w:szCs w:val="24"/>
        </w:rPr>
        <w:t>kā arī p</w:t>
      </w:r>
      <w:r w:rsidR="00CD683F" w:rsidRPr="0025008A">
        <w:rPr>
          <w:szCs w:val="24"/>
        </w:rPr>
        <w:t>rojekta ietekm</w:t>
      </w:r>
      <w:r w:rsidR="00CD683F">
        <w:rPr>
          <w:szCs w:val="24"/>
        </w:rPr>
        <w:t>i</w:t>
      </w:r>
      <w:r w:rsidR="00CD683F" w:rsidRPr="0025008A">
        <w:rPr>
          <w:szCs w:val="24"/>
        </w:rPr>
        <w:t xml:space="preserve"> uz koledžas </w:t>
      </w:r>
      <w:r w:rsidR="00CD683F">
        <w:rPr>
          <w:szCs w:val="24"/>
        </w:rPr>
        <w:t>izglītojamo skaita</w:t>
      </w:r>
      <w:r w:rsidR="00CD683F" w:rsidRPr="0025008A">
        <w:rPr>
          <w:szCs w:val="24"/>
        </w:rPr>
        <w:t xml:space="preserve"> palielinājumu </w:t>
      </w:r>
      <w:r w:rsidR="00CD683F">
        <w:rPr>
          <w:szCs w:val="24"/>
        </w:rPr>
        <w:t>STEM, tajā medicīnas un radošās industrijas, izglītības programmās</w:t>
      </w:r>
      <w:r w:rsidR="00400396">
        <w:rPr>
          <w:szCs w:val="24"/>
        </w:rPr>
        <w:t xml:space="preserve">. Ar kvalitātes kritēriju plānots vērtēt arī </w:t>
      </w:r>
      <w:r w:rsidR="00400396">
        <w:t>p</w:t>
      </w:r>
      <w:r w:rsidR="00400396" w:rsidRPr="00A6516A">
        <w:t>rojekt</w:t>
      </w:r>
      <w:r w:rsidR="00400396">
        <w:t>a</w:t>
      </w:r>
      <w:r w:rsidR="00400396" w:rsidRPr="00A6516A">
        <w:t xml:space="preserve"> </w:t>
      </w:r>
      <w:r w:rsidR="00400396">
        <w:t>īstenošanas risku izvērtējumu.</w:t>
      </w:r>
    </w:p>
    <w:p w:rsidR="00515E58" w:rsidRPr="00BE243D" w:rsidRDefault="0060290C" w:rsidP="00C82EDF">
      <w:pPr>
        <w:ind w:firstLine="720"/>
        <w:rPr>
          <w:szCs w:val="24"/>
          <w:lang w:eastAsia="lv-LV"/>
        </w:rPr>
      </w:pPr>
      <w:r w:rsidRPr="00E90950">
        <w:rPr>
          <w:szCs w:val="24"/>
        </w:rPr>
        <w:t xml:space="preserve">Koledžām būs </w:t>
      </w:r>
      <w:r w:rsidR="00515E58" w:rsidRPr="00E90950">
        <w:rPr>
          <w:szCs w:val="24"/>
        </w:rPr>
        <w:t xml:space="preserve">arī </w:t>
      </w:r>
      <w:r w:rsidRPr="00E90950">
        <w:rPr>
          <w:szCs w:val="24"/>
        </w:rPr>
        <w:t>jāveic pamatots 8.1.4. SAM</w:t>
      </w:r>
      <w:r w:rsidRPr="00E90950">
        <w:rPr>
          <w:b/>
          <w:szCs w:val="24"/>
        </w:rPr>
        <w:t xml:space="preserve"> investīciju sociālekonomiskās atdeves aprēķins </w:t>
      </w:r>
      <w:r w:rsidRPr="00E90950">
        <w:rPr>
          <w:szCs w:val="24"/>
        </w:rPr>
        <w:t>(izmaksu</w:t>
      </w:r>
      <w:r w:rsidRPr="00E90950">
        <w:t>–</w:t>
      </w:r>
      <w:r w:rsidRPr="00E90950">
        <w:rPr>
          <w:szCs w:val="24"/>
        </w:rPr>
        <w:t>ieguvumu analīze</w:t>
      </w:r>
      <w:r w:rsidRPr="00BE243D">
        <w:rPr>
          <w:szCs w:val="24"/>
        </w:rPr>
        <w:t xml:space="preserve">), </w:t>
      </w:r>
      <w:r w:rsidR="009F1B4C" w:rsidRPr="00BE243D">
        <w:rPr>
          <w:szCs w:val="24"/>
        </w:rPr>
        <w:t>nosakot, ka tā</w:t>
      </w:r>
      <w:r w:rsidR="00FD49F7">
        <w:rPr>
          <w:szCs w:val="24"/>
        </w:rPr>
        <w:t xml:space="preserve"> rezultāti atļauj veikt plānotās investīcijas (ekonomiskās atdeves norma (ERR) ir </w:t>
      </w:r>
      <w:r w:rsidR="00FD49F7" w:rsidRPr="00FD49F7">
        <w:rPr>
          <w:szCs w:val="24"/>
        </w:rPr>
        <w:t>≥ sociālā diskonta likme</w:t>
      </w:r>
      <w:r w:rsidR="00FD49F7">
        <w:rPr>
          <w:szCs w:val="24"/>
        </w:rPr>
        <w:t>), kā arī jānodrošina, ka p</w:t>
      </w:r>
      <w:r w:rsidR="00FD49F7" w:rsidRPr="00FD49F7">
        <w:rPr>
          <w:szCs w:val="24"/>
          <w:lang w:eastAsia="lv-LV"/>
        </w:rPr>
        <w:t xml:space="preserve">rojekta iesniegumā plānotie ieguldījumi atbilst </w:t>
      </w:r>
      <w:r w:rsidR="00FD49F7" w:rsidRPr="00FD49F7">
        <w:rPr>
          <w:b/>
          <w:szCs w:val="24"/>
          <w:lang w:eastAsia="lv-LV"/>
        </w:rPr>
        <w:t>ar Izglītības un zinātnes ministriju saskaņotaj</w:t>
      </w:r>
      <w:r w:rsidR="00FD49F7" w:rsidRPr="00821A01">
        <w:rPr>
          <w:b/>
          <w:szCs w:val="24"/>
          <w:lang w:eastAsia="lv-LV"/>
        </w:rPr>
        <w:t>ā</w:t>
      </w:r>
      <w:r w:rsidR="00FD49F7" w:rsidRPr="00E329EC">
        <w:rPr>
          <w:b/>
          <w:szCs w:val="24"/>
          <w:lang w:eastAsia="lv-LV"/>
        </w:rPr>
        <w:t xml:space="preserve"> koledžas vidēja termiņa vai ilgtermiņa attīstības stratēģijā noteiktajiem koledžas attīstības mērķiem.</w:t>
      </w:r>
      <w:r w:rsidR="00FD49F7">
        <w:rPr>
          <w:szCs w:val="24"/>
        </w:rPr>
        <w:t xml:space="preserve"> Koledžām būs jāpamato projekta </w:t>
      </w:r>
      <w:r w:rsidR="00FD49F7" w:rsidRPr="00FD49F7">
        <w:rPr>
          <w:szCs w:val="24"/>
        </w:rPr>
        <w:t xml:space="preserve">mērķu </w:t>
      </w:r>
      <w:r w:rsidR="00FD49F7" w:rsidRPr="00821A01">
        <w:rPr>
          <w:b/>
          <w:szCs w:val="24"/>
        </w:rPr>
        <w:lastRenderedPageBreak/>
        <w:t xml:space="preserve">atbilstība </w:t>
      </w:r>
      <w:r w:rsidR="00FD49F7" w:rsidRPr="00E329EC">
        <w:rPr>
          <w:b/>
          <w:szCs w:val="24"/>
          <w:lang w:eastAsia="lv-LV"/>
        </w:rPr>
        <w:t>Latvijas Viedās Specializācijas stratēģijā noteiktajām izaugsmes prioritātēm un viedās specializācijas jomām</w:t>
      </w:r>
      <w:r w:rsidR="00FD49F7" w:rsidRPr="00917C42">
        <w:rPr>
          <w:szCs w:val="24"/>
          <w:lang w:eastAsia="lv-LV"/>
        </w:rPr>
        <w:t xml:space="preserve">, jāpamato </w:t>
      </w:r>
      <w:r w:rsidR="00FD49F7" w:rsidRPr="00917C42">
        <w:rPr>
          <w:b/>
          <w:szCs w:val="24"/>
        </w:rPr>
        <w:t>koledžas sadarbības</w:t>
      </w:r>
      <w:r w:rsidR="00FD49F7" w:rsidRPr="00917C42">
        <w:rPr>
          <w:szCs w:val="24"/>
        </w:rPr>
        <w:t xml:space="preserve"> </w:t>
      </w:r>
      <w:r w:rsidR="00FD49F7" w:rsidRPr="00917C42">
        <w:rPr>
          <w:b/>
          <w:szCs w:val="24"/>
        </w:rPr>
        <w:t>attīstību</w:t>
      </w:r>
      <w:r w:rsidR="00FD49F7" w:rsidRPr="00917C42">
        <w:rPr>
          <w:szCs w:val="24"/>
        </w:rPr>
        <w:t xml:space="preserve"> </w:t>
      </w:r>
      <w:r w:rsidR="00FD49F7" w:rsidRPr="00917C42">
        <w:rPr>
          <w:b/>
          <w:szCs w:val="24"/>
        </w:rPr>
        <w:t>ar augstākās izglītības institūcijām vai darba devējiem</w:t>
      </w:r>
      <w:r w:rsidR="00FD49F7" w:rsidRPr="009C7335">
        <w:rPr>
          <w:szCs w:val="24"/>
        </w:rPr>
        <w:t>, tostarp resursu efektīvai izmantošanai</w:t>
      </w:r>
      <w:r w:rsidR="00FD49F7" w:rsidRPr="00A85DC9">
        <w:rPr>
          <w:szCs w:val="24"/>
        </w:rPr>
        <w:t>. Vienlaikus</w:t>
      </w:r>
      <w:r w:rsidR="00FD49F7" w:rsidRPr="008231A8">
        <w:rPr>
          <w:szCs w:val="24"/>
        </w:rPr>
        <w:t xml:space="preserve"> p</w:t>
      </w:r>
      <w:r w:rsidR="00FD49F7">
        <w:rPr>
          <w:szCs w:val="24"/>
        </w:rPr>
        <w:t xml:space="preserve">lānots arī izvērtēt koledžu projektu </w:t>
      </w:r>
      <w:r w:rsidR="00FD49F7">
        <w:rPr>
          <w:b/>
          <w:szCs w:val="24"/>
        </w:rPr>
        <w:t>ietekmi uz koledžu infrastruktūras optimizāciju</w:t>
      </w:r>
      <w:r w:rsidR="00FD49F7">
        <w:rPr>
          <w:szCs w:val="24"/>
        </w:rPr>
        <w:t>, lai sekmētu telpu un iekārtu intensīvāku izmantošanu, mazinot sadrumstalotību modernizējamo objektu izvēlē un novēršot nepamatotu atkārtošanos iekārtu iegādē.</w:t>
      </w:r>
    </w:p>
    <w:p w:rsidR="00661AF6" w:rsidRPr="00E90950" w:rsidRDefault="00FD49F7" w:rsidP="00C82EDF">
      <w:pPr>
        <w:ind w:firstLine="720"/>
        <w:rPr>
          <w:szCs w:val="24"/>
        </w:rPr>
      </w:pPr>
      <w:r>
        <w:rPr>
          <w:szCs w:val="24"/>
          <w:lang w:eastAsia="lv-LV"/>
        </w:rPr>
        <w:t xml:space="preserve">Lai projektu </w:t>
      </w:r>
      <w:r>
        <w:rPr>
          <w:szCs w:val="24"/>
        </w:rPr>
        <w:t xml:space="preserve">īstenošana noritētu saskaņā ar plānoto laika grafiku, kā arī lai </w:t>
      </w:r>
      <w:r>
        <w:rPr>
          <w:szCs w:val="24"/>
          <w:lang w:eastAsia="lv-LV"/>
        </w:rPr>
        <w:t xml:space="preserve">izvairītos no iepriekšējā perioda izaicinājumiem, plānots, ka </w:t>
      </w:r>
      <w:r>
        <w:rPr>
          <w:b/>
          <w:szCs w:val="24"/>
          <w:lang w:eastAsia="lv-LV"/>
        </w:rPr>
        <w:t>projektu iesniegumiem</w:t>
      </w:r>
      <w:r>
        <w:rPr>
          <w:szCs w:val="24"/>
          <w:lang w:eastAsia="lv-LV"/>
        </w:rPr>
        <w:t xml:space="preserve"> </w:t>
      </w:r>
      <w:r>
        <w:rPr>
          <w:b/>
          <w:szCs w:val="24"/>
          <w:lang w:eastAsia="lv-LV"/>
        </w:rPr>
        <w:t xml:space="preserve">jābūt ar augstu gatavības </w:t>
      </w:r>
      <w:r w:rsidRPr="002A5E92">
        <w:rPr>
          <w:b/>
          <w:szCs w:val="24"/>
          <w:lang w:eastAsia="lv-LV"/>
        </w:rPr>
        <w:t>pakāpi</w:t>
      </w:r>
      <w:r w:rsidRPr="00B706EF">
        <w:rPr>
          <w:szCs w:val="24"/>
          <w:lang w:eastAsia="lv-LV"/>
        </w:rPr>
        <w:t xml:space="preserve"> (</w:t>
      </w:r>
      <w:r w:rsidR="007B6E0E" w:rsidRPr="00790EDE">
        <w:t>pamatots</w:t>
      </w:r>
      <w:r w:rsidR="007B6E0E">
        <w:t xml:space="preserve"> iepērkamā aprīkojuma saraksts,</w:t>
      </w:r>
      <w:r w:rsidR="007B6E0E" w:rsidRPr="003E4C75">
        <w:rPr>
          <w:lang w:eastAsia="lv-LV"/>
        </w:rPr>
        <w:t xml:space="preserve"> </w:t>
      </w:r>
      <w:r w:rsidR="007125C6">
        <w:rPr>
          <w:lang w:eastAsia="lv-LV"/>
        </w:rPr>
        <w:t xml:space="preserve">tostarp saskaņots ar </w:t>
      </w:r>
      <w:r w:rsidR="007125C6" w:rsidRPr="00254784">
        <w:rPr>
          <w:szCs w:val="22"/>
          <w:lang w:eastAsia="lv-LV"/>
        </w:rPr>
        <w:t>nozares profesionālo organizāciju vai atbilstošu Nozares ekspertu padomi</w:t>
      </w:r>
      <w:r w:rsidR="007B6E0E">
        <w:rPr>
          <w:lang w:eastAsia="lv-LV"/>
        </w:rPr>
        <w:t xml:space="preserve">, </w:t>
      </w:r>
      <w:r w:rsidR="007B6E0E">
        <w:t>veikts</w:t>
      </w:r>
      <w:r w:rsidR="007B6E0E" w:rsidRPr="000A6E29">
        <w:t xml:space="preserve"> apr</w:t>
      </w:r>
      <w:r w:rsidR="007B6E0E">
        <w:t>īkojuma iegādes izmaksu aprēķins, un</w:t>
      </w:r>
      <w:r w:rsidR="007B6E0E" w:rsidRPr="00E90950">
        <w:rPr>
          <w:szCs w:val="24"/>
        </w:rPr>
        <w:t xml:space="preserve"> </w:t>
      </w:r>
      <w:r w:rsidR="003F68F7" w:rsidRPr="00E90950">
        <w:rPr>
          <w:szCs w:val="24"/>
        </w:rPr>
        <w:t>sagatavota tehniskā dokumentācija aprīkojuma iepirkumam</w:t>
      </w:r>
      <w:r w:rsidR="00D9436D" w:rsidRPr="00E90950">
        <w:rPr>
          <w:szCs w:val="24"/>
          <w:lang w:eastAsia="lv-LV"/>
        </w:rPr>
        <w:t>)</w:t>
      </w:r>
      <w:r w:rsidR="00661AF6" w:rsidRPr="00E90950">
        <w:rPr>
          <w:szCs w:val="24"/>
          <w:lang w:eastAsia="lv-LV"/>
        </w:rPr>
        <w:t>.</w:t>
      </w:r>
      <w:r w:rsidR="00DA31A5" w:rsidRPr="00E90950">
        <w:rPr>
          <w:szCs w:val="24"/>
        </w:rPr>
        <w:t xml:space="preserve"> </w:t>
      </w:r>
    </w:p>
    <w:p w:rsidR="00E177B1" w:rsidRDefault="00F230E8" w:rsidP="00C82EDF">
      <w:pPr>
        <w:ind w:firstLine="720"/>
      </w:pPr>
      <w:r>
        <w:rPr>
          <w:szCs w:val="24"/>
        </w:rPr>
        <w:t>Vienlaikus p</w:t>
      </w:r>
      <w:r w:rsidR="00BE484E">
        <w:rPr>
          <w:szCs w:val="24"/>
        </w:rPr>
        <w:t>ozitīvi vērtējams fakts, ka 2014.</w:t>
      </w:r>
      <w:r w:rsidR="009F1B4C" w:rsidRPr="009F1B4C">
        <w:t xml:space="preserve"> </w:t>
      </w:r>
      <w:r w:rsidR="009F1B4C" w:rsidRPr="001064B3">
        <w:t>–</w:t>
      </w:r>
      <w:r w:rsidR="009F1B4C">
        <w:t xml:space="preserve"> </w:t>
      </w:r>
      <w:r w:rsidR="00BE484E">
        <w:rPr>
          <w:szCs w:val="24"/>
        </w:rPr>
        <w:t xml:space="preserve">2020.gada plānošanas periodā ERAF projektiem attiecināmas ir arī </w:t>
      </w:r>
      <w:r w:rsidR="00BE484E" w:rsidRPr="00C92EEE">
        <w:t>projekta vadības izmaksas, kas paredzētas projekta administratīvās darbības nodrošināšanai.</w:t>
      </w:r>
      <w:r w:rsidR="00BE484E">
        <w:rPr>
          <w:rStyle w:val="FootnoteReference"/>
        </w:rPr>
        <w:footnoteReference w:id="72"/>
      </w:r>
      <w:r w:rsidR="00E177B1">
        <w:br w:type="page"/>
      </w:r>
    </w:p>
    <w:p w:rsidR="002B567E" w:rsidRPr="00F010A1" w:rsidRDefault="00A94D09" w:rsidP="00A94D09">
      <w:pPr>
        <w:pStyle w:val="Heading1"/>
        <w:ind w:left="610"/>
      </w:pPr>
      <w:bookmarkStart w:id="48" w:name="_Toc445290212"/>
      <w:bookmarkStart w:id="49" w:name="_Toc385413139"/>
      <w:r>
        <w:lastRenderedPageBreak/>
        <w:t xml:space="preserve">5. </w:t>
      </w:r>
      <w:bookmarkStart w:id="50" w:name="_Toc409448078"/>
      <w:r w:rsidR="00C82EDF">
        <w:t>SAM 8.1.4.</w:t>
      </w:r>
      <w:r w:rsidR="002B567E" w:rsidRPr="00F010A1">
        <w:t xml:space="preserve"> sākotnējās ietekmes noteikšana</w:t>
      </w:r>
      <w:bookmarkEnd w:id="48"/>
      <w:bookmarkEnd w:id="50"/>
    </w:p>
    <w:p w:rsidR="002B567E" w:rsidRPr="00F010A1" w:rsidRDefault="002B567E" w:rsidP="00BD4F3A">
      <w:pPr>
        <w:ind w:firstLine="720"/>
        <w:jc w:val="left"/>
        <w:rPr>
          <w:rFonts w:eastAsia="Calibri"/>
          <w:szCs w:val="22"/>
        </w:rPr>
      </w:pPr>
    </w:p>
    <w:p w:rsidR="00AC5A89" w:rsidRDefault="00BD4F3A" w:rsidP="00C82EDF">
      <w:pPr>
        <w:ind w:firstLine="720"/>
      </w:pPr>
      <w:r>
        <w:rPr>
          <w:szCs w:val="24"/>
        </w:rPr>
        <w:t>8.1.4.</w:t>
      </w:r>
      <w:r w:rsidRPr="002A5CB4">
        <w:rPr>
          <w:szCs w:val="24"/>
        </w:rPr>
        <w:t xml:space="preserve"> </w:t>
      </w:r>
      <w:r w:rsidR="003F68F7">
        <w:t>SAM</w:t>
      </w:r>
      <w:r w:rsidR="003F68F7">
        <w:rPr>
          <w:szCs w:val="24"/>
        </w:rPr>
        <w:t xml:space="preserve"> </w:t>
      </w:r>
      <w:r>
        <w:rPr>
          <w:szCs w:val="24"/>
        </w:rPr>
        <w:t xml:space="preserve">īstenošanai </w:t>
      </w:r>
      <w:r w:rsidR="00FD4C6C" w:rsidRPr="00F93993">
        <w:t xml:space="preserve">nav tiešas ietekmes </w:t>
      </w:r>
      <w:r w:rsidR="00FD4C6C" w:rsidRPr="00FD4C6C">
        <w:rPr>
          <w:b/>
        </w:rPr>
        <w:t>uz makroekonomisko vidi</w:t>
      </w:r>
      <w:r w:rsidR="00FD4C6C" w:rsidRPr="00F93993">
        <w:t xml:space="preserve">, taču </w:t>
      </w:r>
      <w:r w:rsidR="00FD4C6C">
        <w:t>SAM</w:t>
      </w:r>
      <w:r w:rsidR="00FD4C6C" w:rsidRPr="00F93993">
        <w:t xml:space="preserve"> aktivitātes ir vērstas uz izglītības kvalitātes un atbilstības uzlabošanu un zinoša un prasmīga darbaspēka sagatavošanu, lai veicinātu tautsaimniecības attīstību valst</w:t>
      </w:r>
      <w:r w:rsidR="00FD4C6C">
        <w:t>ī kopumā.</w:t>
      </w:r>
      <w:r w:rsidR="00AC5A89" w:rsidRPr="00AC5A89">
        <w:t xml:space="preserve"> </w:t>
      </w:r>
    </w:p>
    <w:p w:rsidR="00E6556B" w:rsidRPr="008071D5" w:rsidRDefault="00BD4F3A" w:rsidP="00C82EDF">
      <w:pPr>
        <w:ind w:firstLine="720"/>
        <w:rPr>
          <w:szCs w:val="24"/>
        </w:rPr>
      </w:pPr>
      <w:r>
        <w:rPr>
          <w:szCs w:val="24"/>
        </w:rPr>
        <w:t xml:space="preserve">8.1.4. </w:t>
      </w:r>
      <w:r w:rsidR="003F68F7" w:rsidRPr="008071D5">
        <w:rPr>
          <w:szCs w:val="24"/>
        </w:rPr>
        <w:t xml:space="preserve">SAM </w:t>
      </w:r>
      <w:r w:rsidR="008071D5" w:rsidRPr="008071D5">
        <w:rPr>
          <w:szCs w:val="24"/>
        </w:rPr>
        <w:t xml:space="preserve">īstenošana atstās netiešu </w:t>
      </w:r>
      <w:r w:rsidR="00E6556B" w:rsidRPr="008071D5">
        <w:rPr>
          <w:szCs w:val="24"/>
        </w:rPr>
        <w:t xml:space="preserve">pozitīvu </w:t>
      </w:r>
      <w:r w:rsidR="00E6556B" w:rsidRPr="00FD4C6C">
        <w:rPr>
          <w:szCs w:val="24"/>
        </w:rPr>
        <w:t>ietekmi</w:t>
      </w:r>
      <w:r w:rsidR="00E6556B" w:rsidRPr="00DD2477">
        <w:rPr>
          <w:b/>
          <w:szCs w:val="24"/>
        </w:rPr>
        <w:t xml:space="preserve"> uz uzņēmējdarbības vidi</w:t>
      </w:r>
      <w:r w:rsidR="00222E0C">
        <w:rPr>
          <w:b/>
          <w:szCs w:val="24"/>
        </w:rPr>
        <w:t>.</w:t>
      </w:r>
      <w:r w:rsidR="00E6556B" w:rsidRPr="008071D5">
        <w:rPr>
          <w:szCs w:val="24"/>
        </w:rPr>
        <w:t xml:space="preserve"> </w:t>
      </w:r>
      <w:r w:rsidR="00222E0C">
        <w:t>Saskaņā ar</w:t>
      </w:r>
      <w:r w:rsidR="00222E0C" w:rsidRPr="00625F28">
        <w:t xml:space="preserve"> EM Darba tirgus vidēja un ilgtermiņa prognozēm </w:t>
      </w:r>
      <w:r w:rsidR="00222E0C">
        <w:t xml:space="preserve">8.1.4. </w:t>
      </w:r>
      <w:r w:rsidR="003F68F7" w:rsidRPr="00625F28">
        <w:t>SAM</w:t>
      </w:r>
      <w:r w:rsidR="003F68F7">
        <w:t xml:space="preserve"> </w:t>
      </w:r>
      <w:r w:rsidR="00222E0C">
        <w:t xml:space="preserve">ieguldījumi tiek plānoti </w:t>
      </w:r>
      <w:r w:rsidR="00222E0C" w:rsidRPr="00625F28">
        <w:t>infrastruktūr</w:t>
      </w:r>
      <w:r w:rsidR="00222E0C">
        <w:t>as</w:t>
      </w:r>
      <w:r w:rsidR="00222E0C" w:rsidRPr="00625F28">
        <w:t xml:space="preserve"> un </w:t>
      </w:r>
      <w:r w:rsidR="00222E0C">
        <w:t xml:space="preserve">mācību aprīkojuma modernizācijā </w:t>
      </w:r>
      <w:r w:rsidR="00270F03">
        <w:t>izglītības</w:t>
      </w:r>
      <w:r w:rsidR="00FA3B19">
        <w:t xml:space="preserve"> programmās, kas atbilst </w:t>
      </w:r>
      <w:r w:rsidR="00222E0C" w:rsidRPr="00625F28">
        <w:t xml:space="preserve">tautsaimniecībai </w:t>
      </w:r>
      <w:r w:rsidR="00FA3B19" w:rsidRPr="00625F28">
        <w:t>svarīgā</w:t>
      </w:r>
      <w:r w:rsidR="00FA3B19">
        <w:t>kajām nozarēm</w:t>
      </w:r>
      <w:r w:rsidR="00222E0C" w:rsidRPr="00625F28">
        <w:t>. 8.1.</w:t>
      </w:r>
      <w:r w:rsidR="00222E0C">
        <w:t>4</w:t>
      </w:r>
      <w:r w:rsidR="00222E0C" w:rsidRPr="00625F28">
        <w:t>.</w:t>
      </w:r>
      <w:r w:rsidR="00222E0C">
        <w:t xml:space="preserve"> </w:t>
      </w:r>
      <w:r w:rsidR="003F68F7" w:rsidRPr="00625F28">
        <w:t xml:space="preserve">SAM </w:t>
      </w:r>
      <w:r w:rsidR="00222E0C" w:rsidRPr="00625F28">
        <w:t xml:space="preserve">investīciju ieguldījumi sekmēs izglītības kvalitātes </w:t>
      </w:r>
      <w:r w:rsidR="00BC0C5B">
        <w:t>uzlabošanos</w:t>
      </w:r>
      <w:r w:rsidR="00222E0C" w:rsidRPr="00625F28">
        <w:t xml:space="preserve">, jo </w:t>
      </w:r>
      <w:r w:rsidR="00270F03">
        <w:t>izglītības</w:t>
      </w:r>
      <w:r w:rsidR="00222E0C" w:rsidRPr="00625F28">
        <w:t xml:space="preserve"> procesā tiks izma</w:t>
      </w:r>
      <w:r w:rsidR="00222E0C">
        <w:t>n</w:t>
      </w:r>
      <w:r w:rsidR="00222E0C" w:rsidRPr="00625F28">
        <w:t xml:space="preserve">tots mūsdienu prasībām atbilstošs mācību aprīkojums un iekārtas </w:t>
      </w:r>
      <w:r w:rsidR="00222E0C">
        <w:t xml:space="preserve">STEM </w:t>
      </w:r>
      <w:r w:rsidR="00270F03">
        <w:t>izglītības</w:t>
      </w:r>
      <w:r w:rsidR="00222E0C" w:rsidRPr="00625F28">
        <w:t xml:space="preserve"> programmās.</w:t>
      </w:r>
      <w:r w:rsidR="00222E0C">
        <w:t xml:space="preserve"> </w:t>
      </w:r>
      <w:r w:rsidR="00222E0C">
        <w:rPr>
          <w:szCs w:val="24"/>
        </w:rPr>
        <w:t>K</w:t>
      </w:r>
      <w:r w:rsidR="00E6556B" w:rsidRPr="008071D5">
        <w:rPr>
          <w:szCs w:val="24"/>
        </w:rPr>
        <w:t>oledž</w:t>
      </w:r>
      <w:r w:rsidR="00DD2477">
        <w:rPr>
          <w:szCs w:val="24"/>
        </w:rPr>
        <w:t>ās</w:t>
      </w:r>
      <w:r w:rsidR="00E6556B" w:rsidRPr="008071D5">
        <w:rPr>
          <w:szCs w:val="24"/>
        </w:rPr>
        <w:t xml:space="preserve"> </w:t>
      </w:r>
      <w:r w:rsidR="009F1B4C">
        <w:rPr>
          <w:szCs w:val="24"/>
        </w:rPr>
        <w:t xml:space="preserve">izglītojamie </w:t>
      </w:r>
      <w:r w:rsidR="00DD2477">
        <w:rPr>
          <w:szCs w:val="24"/>
        </w:rPr>
        <w:t>apgūst darba tirgū pieprasīta</w:t>
      </w:r>
      <w:r w:rsidR="00E6556B" w:rsidRPr="008071D5">
        <w:rPr>
          <w:szCs w:val="24"/>
        </w:rPr>
        <w:t>s profesijas un prasmes</w:t>
      </w:r>
      <w:r w:rsidR="008071D5" w:rsidRPr="008071D5">
        <w:rPr>
          <w:szCs w:val="24"/>
        </w:rPr>
        <w:t xml:space="preserve"> STEM jomā</w:t>
      </w:r>
      <w:r w:rsidR="00E6556B" w:rsidRPr="008071D5">
        <w:rPr>
          <w:szCs w:val="24"/>
        </w:rPr>
        <w:t xml:space="preserve">, tādējādi darba devējiem </w:t>
      </w:r>
      <w:r w:rsidR="00AC5A89">
        <w:rPr>
          <w:szCs w:val="24"/>
        </w:rPr>
        <w:t>būs</w:t>
      </w:r>
      <w:r w:rsidR="00E6556B" w:rsidRPr="008071D5">
        <w:rPr>
          <w:szCs w:val="24"/>
        </w:rPr>
        <w:t xml:space="preserve"> pieejams kvalificētāks</w:t>
      </w:r>
      <w:r>
        <w:rPr>
          <w:szCs w:val="24"/>
        </w:rPr>
        <w:t>,</w:t>
      </w:r>
      <w:r w:rsidRPr="00BD4F3A">
        <w:rPr>
          <w:szCs w:val="24"/>
        </w:rPr>
        <w:t xml:space="preserve"> </w:t>
      </w:r>
      <w:r w:rsidRPr="00625F28">
        <w:rPr>
          <w:szCs w:val="24"/>
        </w:rPr>
        <w:t>mūsdienu darba tirgus prasībām</w:t>
      </w:r>
      <w:r>
        <w:rPr>
          <w:szCs w:val="24"/>
        </w:rPr>
        <w:t xml:space="preserve"> atbilstošāks</w:t>
      </w:r>
      <w:r w:rsidR="00E6556B" w:rsidRPr="008071D5">
        <w:rPr>
          <w:szCs w:val="24"/>
        </w:rPr>
        <w:t xml:space="preserve"> darbaspēks. </w:t>
      </w:r>
      <w:r w:rsidR="00FA3B19" w:rsidRPr="00625F28">
        <w:t xml:space="preserve">Līdztekus profesionālās </w:t>
      </w:r>
      <w:r w:rsidR="00FA3B19">
        <w:t xml:space="preserve">augstākās </w:t>
      </w:r>
      <w:r w:rsidR="00270F03">
        <w:t xml:space="preserve">un vidējās </w:t>
      </w:r>
      <w:r w:rsidR="00FA3B19" w:rsidRPr="00625F28">
        <w:t xml:space="preserve">izglītības kvalitātes pieaugumam </w:t>
      </w:r>
      <w:r w:rsidR="00FA3B19">
        <w:t>koledžās pieaugs</w:t>
      </w:r>
      <w:r w:rsidR="00FA3B19" w:rsidRPr="00625F28">
        <w:t xml:space="preserve"> arī </w:t>
      </w:r>
      <w:r w:rsidR="00FA3B19">
        <w:t>koledžu</w:t>
      </w:r>
      <w:r w:rsidR="00FA3B19" w:rsidRPr="00625F28">
        <w:t xml:space="preserve"> prestižs</w:t>
      </w:r>
      <w:r w:rsidR="001175BC">
        <w:t xml:space="preserve"> un tiks veicināta koledžu atpazīstamība</w:t>
      </w:r>
      <w:r w:rsidR="00FA3B19">
        <w:t>.</w:t>
      </w:r>
      <w:r w:rsidR="001175BC" w:rsidRPr="001175BC">
        <w:rPr>
          <w:sz w:val="26"/>
          <w:szCs w:val="26"/>
        </w:rPr>
        <w:t xml:space="preserve"> </w:t>
      </w:r>
    </w:p>
    <w:p w:rsidR="003576A0" w:rsidRDefault="008071D5" w:rsidP="00C82EDF">
      <w:pPr>
        <w:ind w:firstLine="720"/>
        <w:contextualSpacing/>
        <w:rPr>
          <w:szCs w:val="24"/>
        </w:rPr>
      </w:pPr>
      <w:r w:rsidRPr="008071D5">
        <w:rPr>
          <w:szCs w:val="24"/>
        </w:rPr>
        <w:t xml:space="preserve">Tāpat SAM īstenošana atstās netiešu </w:t>
      </w:r>
      <w:r w:rsidR="00E6556B" w:rsidRPr="008071D5">
        <w:t xml:space="preserve">pozitīvu </w:t>
      </w:r>
      <w:r w:rsidR="00E6556B" w:rsidRPr="00FD4C6C">
        <w:t xml:space="preserve">ietekmi </w:t>
      </w:r>
      <w:r w:rsidR="00E6556B" w:rsidRPr="00DD2477">
        <w:rPr>
          <w:b/>
        </w:rPr>
        <w:t>uz ekonomisko un sociālo vidi</w:t>
      </w:r>
      <w:r w:rsidR="00FA3B19">
        <w:t>-</w:t>
      </w:r>
      <w:r w:rsidR="00E6556B" w:rsidRPr="008071D5">
        <w:t xml:space="preserve"> palielināsies </w:t>
      </w:r>
      <w:r w:rsidR="00DD2477">
        <w:t xml:space="preserve">pirmā līmeņa profesionālo augstāko izglītību </w:t>
      </w:r>
      <w:r w:rsidR="00E6556B" w:rsidRPr="008071D5">
        <w:t xml:space="preserve">ieguvušo studentu </w:t>
      </w:r>
      <w:r w:rsidR="00270F03">
        <w:t xml:space="preserve">un profesionālo vidējo izglītību ieguvušo audzēkņu </w:t>
      </w:r>
      <w:r w:rsidR="00E6556B" w:rsidRPr="008071D5">
        <w:t>skaits, kas veicinās izglī</w:t>
      </w:r>
      <w:r w:rsidR="003A041B">
        <w:t xml:space="preserve">totākas sabiedrības attīstību, </w:t>
      </w:r>
      <w:r w:rsidR="00E6556B" w:rsidRPr="008071D5">
        <w:t>palielināsies darbavietu skaits, pieaugs dažāda veida nodokļu ieņēmumi</w:t>
      </w:r>
      <w:r w:rsidR="00E6556B" w:rsidRPr="000E11B9">
        <w:rPr>
          <w:szCs w:val="24"/>
        </w:rPr>
        <w:t>.</w:t>
      </w:r>
      <w:r w:rsidR="000E11B9" w:rsidRPr="000E11B9">
        <w:rPr>
          <w:szCs w:val="24"/>
        </w:rPr>
        <w:t xml:space="preserve"> Kopumā situācija pozitīvi ietekmēs izglītības rezultātus, veicinot </w:t>
      </w:r>
      <w:r w:rsidR="009F1B4C">
        <w:rPr>
          <w:szCs w:val="24"/>
        </w:rPr>
        <w:t>izglītojamo</w:t>
      </w:r>
      <w:r w:rsidR="009F1B4C" w:rsidRPr="000E11B9">
        <w:rPr>
          <w:szCs w:val="24"/>
        </w:rPr>
        <w:t xml:space="preserve"> </w:t>
      </w:r>
      <w:r w:rsidR="000E11B9" w:rsidRPr="000E11B9">
        <w:rPr>
          <w:szCs w:val="24"/>
        </w:rPr>
        <w:t>kompetenču attīstību un spēju pielāgoties mainīgajām dzīves situācijām un darba tirgus prasībām.</w:t>
      </w:r>
      <w:r w:rsidR="003576A0">
        <w:rPr>
          <w:szCs w:val="24"/>
        </w:rPr>
        <w:t xml:space="preserve"> </w:t>
      </w:r>
      <w:r w:rsidR="003576A0" w:rsidRPr="003576A0">
        <w:rPr>
          <w:szCs w:val="24"/>
        </w:rPr>
        <w:t xml:space="preserve">Koledžu absolventi, apguvuši profesionālās prasmes mūsdienīgā </w:t>
      </w:r>
      <w:r w:rsidR="00270F03">
        <w:rPr>
          <w:szCs w:val="24"/>
        </w:rPr>
        <w:t>izglītības</w:t>
      </w:r>
      <w:r w:rsidR="003576A0" w:rsidRPr="003576A0">
        <w:rPr>
          <w:szCs w:val="24"/>
        </w:rPr>
        <w:t xml:space="preserve"> vidē, būs pieprasīti arī darba tirgū, </w:t>
      </w:r>
      <w:r w:rsidR="00222E0C">
        <w:rPr>
          <w:szCs w:val="24"/>
        </w:rPr>
        <w:t xml:space="preserve">tādējādi arī </w:t>
      </w:r>
      <w:r w:rsidR="003576A0" w:rsidRPr="003576A0">
        <w:rPr>
          <w:szCs w:val="24"/>
        </w:rPr>
        <w:t>mazinot bezdarba līmeni</w:t>
      </w:r>
      <w:r w:rsidR="00222E0C">
        <w:rPr>
          <w:szCs w:val="24"/>
        </w:rPr>
        <w:t xml:space="preserve"> koledžu absolventu vidū</w:t>
      </w:r>
      <w:r w:rsidR="003576A0" w:rsidRPr="003576A0">
        <w:rPr>
          <w:szCs w:val="24"/>
        </w:rPr>
        <w:t xml:space="preserve">. Koledžu </w:t>
      </w:r>
      <w:r w:rsidR="00270F03">
        <w:rPr>
          <w:szCs w:val="24"/>
        </w:rPr>
        <w:t>izglītības</w:t>
      </w:r>
      <w:r w:rsidR="003576A0" w:rsidRPr="003576A0">
        <w:rPr>
          <w:szCs w:val="24"/>
        </w:rPr>
        <w:t xml:space="preserve"> vides un kvalitātes uzlabošanās dos arī papildus sociālos ieguvumus </w:t>
      </w:r>
      <w:r w:rsidR="009F1B4C" w:rsidRPr="001064B3">
        <w:t>–</w:t>
      </w:r>
      <w:r w:rsidR="003576A0" w:rsidRPr="003576A0">
        <w:rPr>
          <w:szCs w:val="24"/>
        </w:rPr>
        <w:t xml:space="preserve"> kultūras līmeņa attīstību, sociālo saliedētību, drošāku sabiedrisko vidi.</w:t>
      </w:r>
      <w:r w:rsidR="00FA3B19">
        <w:rPr>
          <w:szCs w:val="24"/>
        </w:rPr>
        <w:t xml:space="preserve"> </w:t>
      </w:r>
    </w:p>
    <w:p w:rsidR="00452B99" w:rsidRDefault="00452B99" w:rsidP="00BD4F3A">
      <w:pPr>
        <w:ind w:firstLine="720"/>
        <w:contextualSpacing/>
        <w:rPr>
          <w:b/>
          <w:szCs w:val="24"/>
        </w:rPr>
      </w:pPr>
    </w:p>
    <w:p w:rsidR="00BD4F3A" w:rsidRPr="00BD4F3A" w:rsidRDefault="00BD4F3A" w:rsidP="00BD4F3A">
      <w:pPr>
        <w:ind w:firstLine="720"/>
        <w:contextualSpacing/>
        <w:rPr>
          <w:b/>
          <w:szCs w:val="24"/>
        </w:rPr>
      </w:pPr>
      <w:r w:rsidRPr="00BD4F3A">
        <w:rPr>
          <w:b/>
          <w:szCs w:val="24"/>
        </w:rPr>
        <w:t>Fiskālā ietekme uz valsts budžetu un pašvaldību budžetiem</w:t>
      </w:r>
      <w:r w:rsidR="001158FB">
        <w:rPr>
          <w:b/>
          <w:szCs w:val="24"/>
        </w:rPr>
        <w:t>.</w:t>
      </w:r>
    </w:p>
    <w:p w:rsidR="00452B99" w:rsidRDefault="00BA3CB3" w:rsidP="00BA3CB3">
      <w:pPr>
        <w:ind w:firstLine="720"/>
        <w:rPr>
          <w:bCs/>
        </w:rPr>
      </w:pPr>
      <w:r w:rsidRPr="001158FB">
        <w:rPr>
          <w:lang w:bidi="lo-LA"/>
        </w:rPr>
        <w:t xml:space="preserve">8.1.4. </w:t>
      </w:r>
      <w:r w:rsidR="003F68F7" w:rsidRPr="001158FB">
        <w:rPr>
          <w:lang w:bidi="lo-LA"/>
        </w:rPr>
        <w:t>SAM</w:t>
      </w:r>
      <w:r w:rsidR="003F68F7" w:rsidRPr="00452B99">
        <w:rPr>
          <w:b/>
          <w:lang w:bidi="lo-LA"/>
        </w:rPr>
        <w:t xml:space="preserve"> </w:t>
      </w:r>
      <w:r w:rsidRPr="00452B99">
        <w:rPr>
          <w:b/>
          <w:lang w:bidi="lo-LA"/>
        </w:rPr>
        <w:t>plānotais</w:t>
      </w:r>
      <w:r w:rsidRPr="001158FB">
        <w:rPr>
          <w:lang w:bidi="lo-LA"/>
        </w:rPr>
        <w:t xml:space="preserve"> kopējais finansējums (kopējās attiecināmās izmaksas) ir </w:t>
      </w:r>
      <w:r w:rsidRPr="001158FB">
        <w:t xml:space="preserve">14 185 198 </w:t>
      </w:r>
      <w:proofErr w:type="spellStart"/>
      <w:r w:rsidRPr="001158FB">
        <w:rPr>
          <w:i/>
        </w:rPr>
        <w:t>euro</w:t>
      </w:r>
      <w:proofErr w:type="spellEnd"/>
      <w:r w:rsidRPr="001158FB">
        <w:t xml:space="preserve">, tai skaitā ERAF 12 057 418 </w:t>
      </w:r>
      <w:proofErr w:type="spellStart"/>
      <w:r w:rsidRPr="001158FB">
        <w:rPr>
          <w:i/>
        </w:rPr>
        <w:t>euro</w:t>
      </w:r>
      <w:proofErr w:type="spellEnd"/>
      <w:r w:rsidRPr="001158FB">
        <w:t xml:space="preserve"> un valsts budžeta finansējums 2 127 780 </w:t>
      </w:r>
      <w:proofErr w:type="spellStart"/>
      <w:r w:rsidRPr="001158FB">
        <w:rPr>
          <w:i/>
        </w:rPr>
        <w:t>euro</w:t>
      </w:r>
      <w:proofErr w:type="spellEnd"/>
      <w:r w:rsidRPr="001158FB">
        <w:t>.</w:t>
      </w:r>
      <w:r w:rsidRPr="001158FB">
        <w:rPr>
          <w:bCs/>
        </w:rPr>
        <w:t xml:space="preserve"> </w:t>
      </w:r>
      <w:r w:rsidR="00452B99">
        <w:rPr>
          <w:bCs/>
        </w:rPr>
        <w:t xml:space="preserve">Savukārt atbilstoši 8.1.4. </w:t>
      </w:r>
      <w:r w:rsidR="003F68F7">
        <w:rPr>
          <w:bCs/>
        </w:rPr>
        <w:t xml:space="preserve">SAM </w:t>
      </w:r>
      <w:r w:rsidR="00452B99">
        <w:rPr>
          <w:bCs/>
        </w:rPr>
        <w:t xml:space="preserve">piemērotajai snieguma rezervei, </w:t>
      </w:r>
      <w:r w:rsidR="00452B99" w:rsidRPr="00452B99">
        <w:rPr>
          <w:b/>
          <w:bCs/>
        </w:rPr>
        <w:t>pieejamais</w:t>
      </w:r>
      <w:r w:rsidR="00452B99">
        <w:rPr>
          <w:bCs/>
        </w:rPr>
        <w:t xml:space="preserve"> </w:t>
      </w:r>
      <w:r w:rsidR="00452B99" w:rsidRPr="00FF1232">
        <w:rPr>
          <w:bCs/>
        </w:rPr>
        <w:t>kopējais attiecināmais finansējums līgumu vai vienošanos par projekta īstenošanu slēgšanai</w:t>
      </w:r>
      <w:r w:rsidR="00452B99" w:rsidRPr="00FF1232">
        <w:rPr>
          <w:b/>
          <w:bCs/>
        </w:rPr>
        <w:t xml:space="preserve"> </w:t>
      </w:r>
      <w:r w:rsidR="00452B99" w:rsidRPr="00FF1232">
        <w:t xml:space="preserve">ir </w:t>
      </w:r>
      <w:r w:rsidR="00452B99">
        <w:t>13 </w:t>
      </w:r>
      <w:r w:rsidR="00E80F0C">
        <w:t>319 969</w:t>
      </w:r>
      <w:r w:rsidR="00E80F0C" w:rsidRPr="00FF1232">
        <w:t xml:space="preserve"> </w:t>
      </w:r>
      <w:proofErr w:type="spellStart"/>
      <w:r w:rsidR="00452B99" w:rsidRPr="00FF1232">
        <w:rPr>
          <w:i/>
          <w:iCs/>
        </w:rPr>
        <w:t>euro</w:t>
      </w:r>
      <w:proofErr w:type="spellEnd"/>
      <w:r w:rsidR="00452B99" w:rsidRPr="00FF1232">
        <w:t xml:space="preserve">, tai skaitā ERAF finansējums </w:t>
      </w:r>
      <w:r w:rsidR="00452B99">
        <w:t>11 </w:t>
      </w:r>
      <w:r w:rsidR="00E80F0C">
        <w:t xml:space="preserve">321 973 </w:t>
      </w:r>
      <w:proofErr w:type="spellStart"/>
      <w:r w:rsidR="00452B99" w:rsidRPr="00FF1232">
        <w:rPr>
          <w:i/>
        </w:rPr>
        <w:t>euro</w:t>
      </w:r>
      <w:proofErr w:type="spellEnd"/>
      <w:r w:rsidR="00452B99">
        <w:t xml:space="preserve"> </w:t>
      </w:r>
      <w:r w:rsidR="00452B99" w:rsidRPr="00FF1232">
        <w:t xml:space="preserve">un valsts budžeta līdzfinansējums </w:t>
      </w:r>
      <w:r w:rsidR="00E80F0C">
        <w:t>1 997 996</w:t>
      </w:r>
      <w:r w:rsidR="00E80F0C" w:rsidRPr="00FF1232">
        <w:t xml:space="preserve"> </w:t>
      </w:r>
      <w:proofErr w:type="spellStart"/>
      <w:r w:rsidR="00452B99" w:rsidRPr="00FF1232">
        <w:rPr>
          <w:i/>
          <w:iCs/>
        </w:rPr>
        <w:t>euro</w:t>
      </w:r>
      <w:proofErr w:type="spellEnd"/>
      <w:r w:rsidR="00452B99" w:rsidRPr="00FF1232">
        <w:t>.</w:t>
      </w:r>
    </w:p>
    <w:p w:rsidR="00452B99" w:rsidRDefault="00452B99" w:rsidP="00BA3CB3">
      <w:pPr>
        <w:ind w:firstLine="720"/>
        <w:rPr>
          <w:bCs/>
        </w:rPr>
      </w:pPr>
      <w:r>
        <w:rPr>
          <w:lang w:bidi="lo-LA"/>
        </w:rPr>
        <w:t>S</w:t>
      </w:r>
      <w:r w:rsidRPr="00A117B5">
        <w:rPr>
          <w:lang w:bidi="lo-LA"/>
        </w:rPr>
        <w:t>tarpposma vērtība 2018. gadam ir 3 546 </w:t>
      </w:r>
      <w:r w:rsidR="00040CB2">
        <w:rPr>
          <w:lang w:bidi="lo-LA"/>
        </w:rPr>
        <w:t>300</w:t>
      </w:r>
      <w:r w:rsidRPr="00A117B5">
        <w:rPr>
          <w:lang w:bidi="lo-LA"/>
        </w:rPr>
        <w:t xml:space="preserve"> </w:t>
      </w:r>
      <w:proofErr w:type="spellStart"/>
      <w:r w:rsidRPr="00A117B5">
        <w:rPr>
          <w:i/>
          <w:lang w:bidi="lo-LA"/>
        </w:rPr>
        <w:t>euro</w:t>
      </w:r>
      <w:proofErr w:type="spellEnd"/>
      <w:r>
        <w:rPr>
          <w:lang w:bidi="lo-LA"/>
        </w:rPr>
        <w:t xml:space="preserve"> (sertificēti izdevumi).</w:t>
      </w:r>
    </w:p>
    <w:p w:rsidR="00BA3CB3" w:rsidRDefault="00BA3CB3" w:rsidP="00BA3CB3">
      <w:pPr>
        <w:ind w:firstLine="720"/>
        <w:rPr>
          <w:lang w:bidi="lo-LA"/>
        </w:rPr>
      </w:pPr>
      <w:r w:rsidRPr="001158FB">
        <w:rPr>
          <w:lang w:bidi="lo-LA"/>
        </w:rPr>
        <w:t xml:space="preserve">Budžeta ieņēmumi ir finansējuma ERAF daļa 85 procentu apmērā no projekta attiecināmām izmaksām. Budžeta izdevumi ir kopējie projekta ieviešanai nepieciešamie publiskā finansējuma (ERAF un valsts budžeta) līdzekļi 100 procentu apmērā no projekta attiecināmām izmaksām. </w:t>
      </w:r>
    </w:p>
    <w:p w:rsidR="00452B99" w:rsidRDefault="00452B99" w:rsidP="00BA3CB3">
      <w:pPr>
        <w:ind w:firstLine="720"/>
        <w:rPr>
          <w:lang w:bidi="lo-LA"/>
        </w:rPr>
      </w:pPr>
      <w:r>
        <w:rPr>
          <w:lang w:bidi="lo-LA"/>
        </w:rPr>
        <w:t xml:space="preserve">8.1.4. </w:t>
      </w:r>
      <w:r w:rsidR="003F68F7">
        <w:rPr>
          <w:lang w:bidi="lo-LA"/>
        </w:rPr>
        <w:t xml:space="preserve">SAM </w:t>
      </w:r>
      <w:r>
        <w:rPr>
          <w:lang w:bidi="lo-LA"/>
        </w:rPr>
        <w:t>nav ietekmes uz pašvaldību budžetiem.</w:t>
      </w:r>
    </w:p>
    <w:p w:rsidR="00F4731B" w:rsidRDefault="00BA3CB3" w:rsidP="00F4731B">
      <w:pPr>
        <w:ind w:firstLine="720"/>
        <w:rPr>
          <w:lang w:bidi="lo-LA"/>
        </w:rPr>
      </w:pPr>
      <w:r w:rsidRPr="001158FB">
        <w:rPr>
          <w:lang w:bidi="lo-LA"/>
        </w:rPr>
        <w:t xml:space="preserve">Projektus plānots </w:t>
      </w:r>
      <w:r w:rsidR="00F4731B">
        <w:rPr>
          <w:lang w:bidi="lo-LA"/>
        </w:rPr>
        <w:t xml:space="preserve">īstenot 2 </w:t>
      </w:r>
      <w:r w:rsidR="009F1B4C" w:rsidRPr="001064B3">
        <w:t>–</w:t>
      </w:r>
      <w:r w:rsidR="00F4731B">
        <w:rPr>
          <w:lang w:bidi="lo-LA"/>
        </w:rPr>
        <w:t xml:space="preserve"> 4 gadus. Noslēgt vienošanās par projektu īstenošanu plānots indikatīvi </w:t>
      </w:r>
      <w:r w:rsidR="003F68F7">
        <w:rPr>
          <w:lang w:bidi="lo-LA"/>
        </w:rPr>
        <w:t>2017</w:t>
      </w:r>
      <w:r w:rsidR="00F4731B">
        <w:rPr>
          <w:lang w:bidi="lo-LA"/>
        </w:rPr>
        <w:t xml:space="preserve">.gada I ceturksnī, savukārt izdevumu </w:t>
      </w:r>
      <w:proofErr w:type="spellStart"/>
      <w:r w:rsidR="00F4731B">
        <w:rPr>
          <w:lang w:bidi="lo-LA"/>
        </w:rPr>
        <w:t>a</w:t>
      </w:r>
      <w:r w:rsidR="00F4731B" w:rsidRPr="00E43AE1">
        <w:rPr>
          <w:lang w:bidi="lo-LA"/>
        </w:rPr>
        <w:t>ttiecin</w:t>
      </w:r>
      <w:r w:rsidR="00F4731B">
        <w:rPr>
          <w:lang w:bidi="lo-LA"/>
        </w:rPr>
        <w:t>ā</w:t>
      </w:r>
      <w:r w:rsidR="00F4731B" w:rsidRPr="00E43AE1">
        <w:rPr>
          <w:lang w:bidi="lo-LA"/>
        </w:rPr>
        <w:t>mības</w:t>
      </w:r>
      <w:proofErr w:type="spellEnd"/>
      <w:r w:rsidR="00F4731B" w:rsidRPr="00E43AE1">
        <w:rPr>
          <w:lang w:bidi="lo-LA"/>
        </w:rPr>
        <w:t xml:space="preserve"> p</w:t>
      </w:r>
      <w:r w:rsidR="00F4731B">
        <w:rPr>
          <w:lang w:bidi="lo-LA"/>
        </w:rPr>
        <w:t>eriods plānots no MK noteikumu par SAM 8.1.4. īstenošanu pieņemšanas Ministru kabinetā, indikatīvi 2016.g</w:t>
      </w:r>
      <w:r w:rsidR="00A62B45">
        <w:rPr>
          <w:lang w:bidi="lo-LA"/>
        </w:rPr>
        <w:t xml:space="preserve">ada </w:t>
      </w:r>
      <w:r w:rsidR="003F68F7">
        <w:rPr>
          <w:lang w:bidi="lo-LA"/>
        </w:rPr>
        <w:t>3</w:t>
      </w:r>
      <w:r w:rsidR="00F4731B">
        <w:rPr>
          <w:lang w:bidi="lo-LA"/>
        </w:rPr>
        <w:t xml:space="preserve">.ceturksnī. </w:t>
      </w:r>
    </w:p>
    <w:p w:rsidR="00BA3CB3" w:rsidRPr="001158FB" w:rsidRDefault="00BA3CB3" w:rsidP="00BA3CB3">
      <w:pPr>
        <w:ind w:firstLine="720"/>
        <w:rPr>
          <w:lang w:bidi="lo-LA"/>
        </w:rPr>
      </w:pPr>
      <w:r w:rsidRPr="001158FB">
        <w:rPr>
          <w:lang w:bidi="lo-LA"/>
        </w:rPr>
        <w:t xml:space="preserve">Budžeta ilgtermiņa saistībās </w:t>
      </w:r>
      <w:r w:rsidR="009F1B4C" w:rsidRPr="001158FB">
        <w:rPr>
          <w:lang w:bidi="lo-LA"/>
        </w:rPr>
        <w:t>201</w:t>
      </w:r>
      <w:r w:rsidR="009F1B4C">
        <w:rPr>
          <w:lang w:bidi="lo-LA"/>
        </w:rPr>
        <w:t>7</w:t>
      </w:r>
      <w:r w:rsidRPr="001158FB">
        <w:rPr>
          <w:lang w:bidi="lo-LA"/>
        </w:rPr>
        <w:t xml:space="preserve">., </w:t>
      </w:r>
      <w:r w:rsidR="009F1B4C" w:rsidRPr="001158FB">
        <w:rPr>
          <w:lang w:bidi="lo-LA"/>
        </w:rPr>
        <w:t>201</w:t>
      </w:r>
      <w:r w:rsidR="009F1B4C">
        <w:rPr>
          <w:lang w:bidi="lo-LA"/>
        </w:rPr>
        <w:t>8</w:t>
      </w:r>
      <w:r w:rsidRPr="001158FB">
        <w:rPr>
          <w:lang w:bidi="lo-LA"/>
        </w:rPr>
        <w:t xml:space="preserve">. un </w:t>
      </w:r>
      <w:r w:rsidR="009F1B4C" w:rsidRPr="001158FB">
        <w:rPr>
          <w:lang w:bidi="lo-LA"/>
        </w:rPr>
        <w:t>201</w:t>
      </w:r>
      <w:r w:rsidR="009F1B4C">
        <w:rPr>
          <w:lang w:bidi="lo-LA"/>
        </w:rPr>
        <w:t>9</w:t>
      </w:r>
      <w:r w:rsidRPr="001158FB">
        <w:rPr>
          <w:lang w:bidi="lo-LA"/>
        </w:rPr>
        <w:t>. gadam šobrīd finansējums projektiem nav paredzēts. 8.</w:t>
      </w:r>
      <w:r w:rsidR="001158FB" w:rsidRPr="001158FB">
        <w:rPr>
          <w:lang w:bidi="lo-LA"/>
        </w:rPr>
        <w:t>1</w:t>
      </w:r>
      <w:r w:rsidRPr="001158FB">
        <w:rPr>
          <w:lang w:bidi="lo-LA"/>
        </w:rPr>
        <w:t>.4.</w:t>
      </w:r>
      <w:r w:rsidR="001158FB">
        <w:rPr>
          <w:lang w:bidi="lo-LA"/>
        </w:rPr>
        <w:t xml:space="preserve"> </w:t>
      </w:r>
      <w:r w:rsidR="003F68F7" w:rsidRPr="001158FB">
        <w:rPr>
          <w:lang w:bidi="lo-LA"/>
        </w:rPr>
        <w:t xml:space="preserve">SAM </w:t>
      </w:r>
      <w:r w:rsidRPr="001158FB">
        <w:rPr>
          <w:lang w:bidi="lo-LA"/>
        </w:rPr>
        <w:t>projekt</w:t>
      </w:r>
      <w:r w:rsidR="001158FB">
        <w:rPr>
          <w:lang w:bidi="lo-LA"/>
        </w:rPr>
        <w:t>u</w:t>
      </w:r>
      <w:r w:rsidRPr="001158FB">
        <w:rPr>
          <w:lang w:bidi="lo-LA"/>
        </w:rPr>
        <w:t xml:space="preserve"> īstenošanai nepieciešamais finansējums tiks iestrādāts budžeta ilgtermiņa saistībās likumprojekta “Par vidēja termiņa budžeta ietvaru 2017., 2018. un 2019.gadam” sagatavošanas laikā.</w:t>
      </w:r>
      <w:r w:rsidRPr="001158FB" w:rsidDel="00B078F4">
        <w:rPr>
          <w:lang w:bidi="lo-LA"/>
        </w:rPr>
        <w:t xml:space="preserve"> </w:t>
      </w:r>
    </w:p>
    <w:p w:rsidR="00EF36ED" w:rsidRDefault="00BD4F3A" w:rsidP="00BD4F3A">
      <w:pPr>
        <w:ind w:firstLine="720"/>
        <w:rPr>
          <w:szCs w:val="24"/>
        </w:rPr>
      </w:pPr>
      <w:r>
        <w:rPr>
          <w:szCs w:val="24"/>
        </w:rPr>
        <w:t>8.1.4.</w:t>
      </w:r>
      <w:r w:rsidRPr="002A5CB4">
        <w:rPr>
          <w:szCs w:val="24"/>
        </w:rPr>
        <w:t xml:space="preserve"> </w:t>
      </w:r>
      <w:r w:rsidR="003F68F7">
        <w:rPr>
          <w:szCs w:val="24"/>
        </w:rPr>
        <w:t>SAM</w:t>
      </w:r>
      <w:r w:rsidR="003F68F7" w:rsidRPr="002A5CB4">
        <w:rPr>
          <w:szCs w:val="24"/>
        </w:rPr>
        <w:t xml:space="preserve"> </w:t>
      </w:r>
      <w:r w:rsidR="00EF36ED" w:rsidRPr="002A5CB4">
        <w:rPr>
          <w:szCs w:val="24"/>
        </w:rPr>
        <w:t xml:space="preserve">īstenošanai </w:t>
      </w:r>
      <w:r w:rsidR="003A041B" w:rsidRPr="00FA3B19">
        <w:rPr>
          <w:b/>
          <w:szCs w:val="24"/>
        </w:rPr>
        <w:t>nav</w:t>
      </w:r>
      <w:r w:rsidR="00EF36ED" w:rsidRPr="00FA3B19">
        <w:rPr>
          <w:b/>
          <w:szCs w:val="24"/>
        </w:rPr>
        <w:t xml:space="preserve"> ietekmes</w:t>
      </w:r>
      <w:r w:rsidR="00EF36ED" w:rsidRPr="003A041B">
        <w:rPr>
          <w:szCs w:val="24"/>
        </w:rPr>
        <w:t xml:space="preserve"> </w:t>
      </w:r>
      <w:r w:rsidRPr="009F616F">
        <w:rPr>
          <w:szCs w:val="24"/>
        </w:rPr>
        <w:t>uz administratīvajām procedūrām un to izmaksām</w:t>
      </w:r>
      <w:r>
        <w:rPr>
          <w:szCs w:val="24"/>
        </w:rPr>
        <w:t>,</w:t>
      </w:r>
      <w:r w:rsidRPr="009F616F">
        <w:rPr>
          <w:szCs w:val="24"/>
        </w:rPr>
        <w:t xml:space="preserve"> </w:t>
      </w:r>
      <w:r w:rsidR="00EF36ED" w:rsidRPr="003A041B">
        <w:rPr>
          <w:szCs w:val="24"/>
        </w:rPr>
        <w:t>uz vidi, esošo tiesību normu sistēmu un Latvijas Republikas starptautiskajām saistībām, pārvaldes iestāžu funkcijām un cilvēkresursiem, valsts un pašvaldību informācijas sistēmām un iedzīvotāju veselību.</w:t>
      </w:r>
    </w:p>
    <w:p w:rsidR="00C0314F" w:rsidRDefault="00C0314F" w:rsidP="00BD4F3A">
      <w:pPr>
        <w:ind w:firstLine="720"/>
        <w:rPr>
          <w:szCs w:val="24"/>
        </w:rPr>
      </w:pPr>
    </w:p>
    <w:p w:rsidR="00C0314F" w:rsidRDefault="00C0314F" w:rsidP="00BD4F3A">
      <w:pPr>
        <w:ind w:firstLine="720"/>
        <w:rPr>
          <w:rFonts w:eastAsia="SimSun"/>
          <w:b/>
          <w:color w:val="365F91"/>
          <w:sz w:val="32"/>
          <w:szCs w:val="32"/>
          <w:lang w:eastAsia="zh-TW"/>
        </w:rPr>
      </w:pPr>
      <w:r w:rsidRPr="00C0314F">
        <w:rPr>
          <w:b/>
          <w:szCs w:val="24"/>
        </w:rPr>
        <w:lastRenderedPageBreak/>
        <w:t>8.1.4.SAM atbilstība valsts atbalsta definīcijai un paredzamā negatīvā ietekme uz konkurenci un tirdzniecību</w:t>
      </w:r>
    </w:p>
    <w:p w:rsidR="00C0314F" w:rsidRPr="00BC0006" w:rsidRDefault="00FD49F7" w:rsidP="00BD4F3A">
      <w:pPr>
        <w:ind w:firstLine="720"/>
        <w:rPr>
          <w:rFonts w:eastAsia="SimSun"/>
          <w:szCs w:val="24"/>
          <w:lang w:eastAsia="zh-TW"/>
        </w:rPr>
      </w:pPr>
      <w:r w:rsidRPr="00BC0006">
        <w:rPr>
          <w:rFonts w:eastAsia="SimSun"/>
          <w:szCs w:val="24"/>
          <w:lang w:eastAsia="zh-TW"/>
        </w:rPr>
        <w:t xml:space="preserve">8.1.4.SAM ietvaros nav plānots atbalsts, ko varētu uzskatīt par valsts atbalstu, un tam nav tiešas ietekmes uz </w:t>
      </w:r>
      <w:r w:rsidRPr="00400396">
        <w:rPr>
          <w:szCs w:val="24"/>
        </w:rPr>
        <w:t>konkurenci un tirdzniecību.</w:t>
      </w:r>
    </w:p>
    <w:p w:rsidR="002B567E" w:rsidRPr="00A94D09" w:rsidRDefault="00A94D09" w:rsidP="00A94D09">
      <w:pPr>
        <w:pStyle w:val="Heading1"/>
        <w:jc w:val="center"/>
      </w:pPr>
      <w:bookmarkStart w:id="51" w:name="_Toc409448079"/>
      <w:bookmarkStart w:id="52" w:name="_Toc445290213"/>
      <w:r>
        <w:t xml:space="preserve">6. </w:t>
      </w:r>
      <w:r w:rsidR="002B567E" w:rsidRPr="00A94D09">
        <w:t>Nepieciešamie dati ietekmes izvērtēšanai un uzraudzības nodrošināšanai</w:t>
      </w:r>
      <w:bookmarkEnd w:id="49"/>
      <w:bookmarkEnd w:id="51"/>
      <w:bookmarkEnd w:id="52"/>
    </w:p>
    <w:p w:rsidR="005A6AF3" w:rsidRDefault="005A6AF3" w:rsidP="005A6AF3">
      <w:pPr>
        <w:ind w:firstLine="567"/>
      </w:pPr>
    </w:p>
    <w:p w:rsidR="002B567E" w:rsidRDefault="00EF36ED" w:rsidP="001925D6">
      <w:pPr>
        <w:ind w:firstLine="720"/>
        <w:rPr>
          <w:bCs/>
        </w:rPr>
      </w:pPr>
      <w:r w:rsidRPr="002A5CB4">
        <w:t xml:space="preserve">Saskaņā ar </w:t>
      </w:r>
      <w:r w:rsidR="005A6AF3" w:rsidRPr="009F616F">
        <w:rPr>
          <w:szCs w:val="24"/>
        </w:rPr>
        <w:t>SIA "</w:t>
      </w:r>
      <w:proofErr w:type="spellStart"/>
      <w:r w:rsidR="005A6AF3" w:rsidRPr="009F616F">
        <w:rPr>
          <w:szCs w:val="24"/>
        </w:rPr>
        <w:t>Ernst</w:t>
      </w:r>
      <w:proofErr w:type="spellEnd"/>
      <w:r w:rsidR="005A6AF3" w:rsidRPr="009F616F">
        <w:rPr>
          <w:szCs w:val="24"/>
        </w:rPr>
        <w:t xml:space="preserve"> &amp; </w:t>
      </w:r>
      <w:proofErr w:type="spellStart"/>
      <w:r w:rsidR="005A6AF3" w:rsidRPr="009F616F">
        <w:rPr>
          <w:szCs w:val="24"/>
        </w:rPr>
        <w:t>Young</w:t>
      </w:r>
      <w:proofErr w:type="spellEnd"/>
      <w:r w:rsidR="005A6AF3" w:rsidRPr="009F616F">
        <w:rPr>
          <w:szCs w:val="24"/>
        </w:rPr>
        <w:t xml:space="preserve"> </w:t>
      </w:r>
      <w:proofErr w:type="spellStart"/>
      <w:r w:rsidR="005A6AF3" w:rsidRPr="009F616F">
        <w:rPr>
          <w:szCs w:val="24"/>
        </w:rPr>
        <w:t>Baltic</w:t>
      </w:r>
      <w:proofErr w:type="spellEnd"/>
      <w:r w:rsidR="005A6AF3" w:rsidRPr="009F616F">
        <w:rPr>
          <w:szCs w:val="24"/>
        </w:rPr>
        <w:t xml:space="preserve">" veikto izvērtējumu </w:t>
      </w:r>
      <w:r w:rsidR="005A6AF3" w:rsidRPr="009F616F">
        <w:rPr>
          <w:i/>
          <w:szCs w:val="24"/>
        </w:rPr>
        <w:t>“Datu pieejamība ES Kohēzijas politikas 2014. – 2020. gada plānošanas perioda Darbības programmas ietekmes izvērtēšanai Latvijā”</w:t>
      </w:r>
      <w:r w:rsidR="005A6AF3">
        <w:rPr>
          <w:rStyle w:val="FootnoteReference"/>
          <w:i/>
          <w:szCs w:val="24"/>
        </w:rPr>
        <w:footnoteReference w:id="73"/>
      </w:r>
      <w:r w:rsidRPr="002A5CB4">
        <w:t xml:space="preserve">, </w:t>
      </w:r>
      <w:r w:rsidR="005A6AF3">
        <w:t xml:space="preserve">dati </w:t>
      </w:r>
      <w:r w:rsidR="00531920">
        <w:t xml:space="preserve">8.1.4. </w:t>
      </w:r>
      <w:r w:rsidR="003F68F7">
        <w:t>SAM</w:t>
      </w:r>
      <w:r w:rsidR="003F68F7" w:rsidRPr="00F010A1">
        <w:t xml:space="preserve"> </w:t>
      </w:r>
      <w:r w:rsidR="005A6AF3" w:rsidRPr="00F010A1">
        <w:t>ietekmes izvērtēšanai un uzraudzības nodrošināšanai</w:t>
      </w:r>
      <w:r w:rsidR="005A6AF3" w:rsidRPr="002A5CB4">
        <w:t xml:space="preserve"> </w:t>
      </w:r>
      <w:r w:rsidR="005A6AF3">
        <w:t>ir pieejami. S</w:t>
      </w:r>
      <w:r w:rsidR="005A6AF3" w:rsidRPr="002A5CB4">
        <w:t xml:space="preserve">tatistiskā informācija </w:t>
      </w:r>
      <w:r w:rsidRPr="002A5CB4">
        <w:t xml:space="preserve">tiek </w:t>
      </w:r>
      <w:r w:rsidRPr="00F73F7B">
        <w:t xml:space="preserve">apkopota </w:t>
      </w:r>
      <w:r w:rsidR="0042398F" w:rsidRPr="00F73F7B">
        <w:t>IZM</w:t>
      </w:r>
      <w:r w:rsidR="00F73F7B" w:rsidRPr="00F73F7B">
        <w:t xml:space="preserve"> ikgadējos</w:t>
      </w:r>
      <w:r w:rsidR="0042398F" w:rsidRPr="00F73F7B">
        <w:t xml:space="preserve"> pārskat</w:t>
      </w:r>
      <w:r w:rsidR="00F73F7B">
        <w:t>o</w:t>
      </w:r>
      <w:r w:rsidR="0042398F" w:rsidRPr="00F73F7B">
        <w:t xml:space="preserve">s </w:t>
      </w:r>
      <w:r w:rsidR="00F73F7B" w:rsidRPr="00F73F7B">
        <w:rPr>
          <w:bCs/>
        </w:rPr>
        <w:t>par Latvijas augstāko izglītību</w:t>
      </w:r>
      <w:r w:rsidR="005A6AF3">
        <w:rPr>
          <w:bCs/>
        </w:rPr>
        <w:t>.</w:t>
      </w:r>
    </w:p>
    <w:p w:rsidR="00AB35DF" w:rsidRDefault="00AB35DF" w:rsidP="001925D6">
      <w:pPr>
        <w:ind w:firstLine="720"/>
        <w:rPr>
          <w:bCs/>
        </w:rPr>
      </w:pPr>
      <w:r w:rsidRPr="00AB35DF">
        <w:rPr>
          <w:bCs/>
        </w:rPr>
        <w:t xml:space="preserve">Izvērtējumā par datu pieejamību kā papildu nepieciešamie dati 8.1.4. </w:t>
      </w:r>
      <w:r w:rsidR="003F68F7" w:rsidRPr="00AB35DF">
        <w:rPr>
          <w:bCs/>
        </w:rPr>
        <w:t xml:space="preserve">SAM </w:t>
      </w:r>
      <w:r w:rsidRPr="00AB35DF">
        <w:rPr>
          <w:bCs/>
        </w:rPr>
        <w:t xml:space="preserve">ietekmes izvērtēšanai minēti </w:t>
      </w:r>
      <w:r w:rsidR="006B43D6">
        <w:rPr>
          <w:bCs/>
        </w:rPr>
        <w:t xml:space="preserve">arī </w:t>
      </w:r>
      <w:r w:rsidRPr="00AB35DF">
        <w:rPr>
          <w:bCs/>
        </w:rPr>
        <w:t xml:space="preserve">faktori, kas ietekmē studējošo skaitu koledžās STEM mācību priekšmetos. </w:t>
      </w:r>
      <w:r>
        <w:rPr>
          <w:bCs/>
        </w:rPr>
        <w:t xml:space="preserve">Šādu papildu datu nepieciešamība izrietēja no toreizējā rezultāta rādītāja </w:t>
      </w:r>
      <w:r w:rsidR="006B43D6">
        <w:rPr>
          <w:bCs/>
        </w:rPr>
        <w:t xml:space="preserve">redakcijas </w:t>
      </w:r>
      <w:r>
        <w:rPr>
          <w:bCs/>
        </w:rPr>
        <w:t>„palielināts pirmā līmeņa profesionālajā augstākajā izglītības</w:t>
      </w:r>
      <w:r w:rsidR="00F97631">
        <w:rPr>
          <w:bCs/>
        </w:rPr>
        <w:t xml:space="preserve"> pakāpē studējošo skaits koledžā</w:t>
      </w:r>
      <w:r>
        <w:rPr>
          <w:bCs/>
        </w:rPr>
        <w:t>s STEM programmā</w:t>
      </w:r>
      <w:r w:rsidR="006B43D6">
        <w:rPr>
          <w:bCs/>
        </w:rPr>
        <w:t xml:space="preserve">s”. Saskaņā ar apstiprināto DP </w:t>
      </w:r>
      <w:r>
        <w:rPr>
          <w:bCs/>
        </w:rPr>
        <w:t xml:space="preserve">8.1.4. </w:t>
      </w:r>
      <w:r w:rsidR="003F68F7">
        <w:rPr>
          <w:bCs/>
        </w:rPr>
        <w:t>SAM</w:t>
      </w:r>
      <w:r w:rsidR="003F68F7" w:rsidRPr="006B43D6">
        <w:rPr>
          <w:bCs/>
        </w:rPr>
        <w:t xml:space="preserve"> </w:t>
      </w:r>
      <w:r w:rsidRPr="006B43D6">
        <w:rPr>
          <w:bCs/>
        </w:rPr>
        <w:t>rezultāta rādītājs</w:t>
      </w:r>
      <w:r w:rsidR="006B43D6" w:rsidRPr="006B43D6">
        <w:rPr>
          <w:bCs/>
        </w:rPr>
        <w:t xml:space="preserve"> ir</w:t>
      </w:r>
      <w:r w:rsidRPr="004F3A84">
        <w:rPr>
          <w:bCs/>
        </w:rPr>
        <w:t xml:space="preserve"> </w:t>
      </w:r>
      <w:r w:rsidR="006B43D6">
        <w:rPr>
          <w:bCs/>
        </w:rPr>
        <w:t>„</w:t>
      </w:r>
      <w:r>
        <w:rPr>
          <w:bCs/>
        </w:rPr>
        <w:t>k</w:t>
      </w:r>
      <w:r w:rsidRPr="004F3A84">
        <w:rPr>
          <w:bCs/>
        </w:rPr>
        <w:t>oledžu īpatsvars, kurās ir pilnībā modernizēta pirmā līmeņa profesionālās augstākās izglītības STEM, t.sk. medicīnas un radošās industrijas, studiju programmu mācību vide, no kopējā koledžu skaita, kas īsteno minētās prioritārās programmas</w:t>
      </w:r>
      <w:r w:rsidR="006B43D6">
        <w:rPr>
          <w:bCs/>
        </w:rPr>
        <w:t xml:space="preserve">”. Rezultāta rādītāja noteikšanai tiks izmantoti </w:t>
      </w:r>
      <w:r w:rsidR="006B43D6" w:rsidRPr="006B43D6">
        <w:rPr>
          <w:bCs/>
        </w:rPr>
        <w:t>pārskati par Latvijas augstāko izglītību un projektu uzraudzības dati.</w:t>
      </w:r>
      <w:r w:rsidR="006B43D6">
        <w:rPr>
          <w:bCs/>
        </w:rPr>
        <w:t xml:space="preserve"> Līdz ar to iepriekš minētie papildu nepieciešamie dati ir zaudējoši aktualitāti 8.1.4. </w:t>
      </w:r>
      <w:r w:rsidR="003F68F7">
        <w:rPr>
          <w:bCs/>
        </w:rPr>
        <w:t xml:space="preserve">SAM </w:t>
      </w:r>
      <w:r w:rsidR="006B43D6">
        <w:rPr>
          <w:bCs/>
        </w:rPr>
        <w:t xml:space="preserve">paplašinātā sākotnējā novērtējuma izstrādei. </w:t>
      </w:r>
    </w:p>
    <w:p w:rsidR="002B6D2D" w:rsidRDefault="002B6D2D" w:rsidP="002B6D2D">
      <w:pPr>
        <w:jc w:val="left"/>
        <w:rPr>
          <w:szCs w:val="24"/>
          <w:lang w:eastAsia="lt-LT"/>
        </w:rPr>
      </w:pPr>
    </w:p>
    <w:p w:rsidR="002B6D2D" w:rsidRDefault="002B6D2D" w:rsidP="002B6D2D">
      <w:pPr>
        <w:jc w:val="left"/>
        <w:rPr>
          <w:szCs w:val="24"/>
          <w:lang w:eastAsia="lt-LT"/>
        </w:rPr>
      </w:pPr>
    </w:p>
    <w:p w:rsidR="00F14DBF" w:rsidRDefault="00F14DBF" w:rsidP="002B6D2D">
      <w:pPr>
        <w:jc w:val="left"/>
        <w:rPr>
          <w:szCs w:val="24"/>
        </w:rPr>
      </w:pPr>
      <w:r>
        <w:rPr>
          <w:szCs w:val="24"/>
        </w:rPr>
        <w:t>Pielikumi:</w:t>
      </w:r>
    </w:p>
    <w:p w:rsidR="00F14DBF" w:rsidRDefault="00F14DBF" w:rsidP="00F14DBF">
      <w:pPr>
        <w:pStyle w:val="ListParagraph"/>
        <w:spacing w:line="276" w:lineRule="auto"/>
        <w:ind w:left="0" w:right="-567"/>
        <w:rPr>
          <w:szCs w:val="24"/>
        </w:rPr>
      </w:pPr>
    </w:p>
    <w:p w:rsidR="00F14DBF" w:rsidRPr="00722156" w:rsidRDefault="00F14DBF" w:rsidP="00E85785">
      <w:pPr>
        <w:pStyle w:val="ListParagraph"/>
        <w:numPr>
          <w:ilvl w:val="0"/>
          <w:numId w:val="45"/>
        </w:numPr>
        <w:tabs>
          <w:tab w:val="left" w:pos="426"/>
        </w:tabs>
        <w:ind w:left="425" w:hanging="426"/>
        <w:contextualSpacing/>
        <w:rPr>
          <w:szCs w:val="24"/>
        </w:rPr>
      </w:pPr>
      <w:r w:rsidRPr="00722156">
        <w:rPr>
          <w:szCs w:val="24"/>
        </w:rPr>
        <w:t>Koledžu statistika (par valsts un privātajās koledžās īstenotajām izglītības programmām) (</w:t>
      </w:r>
      <w:r w:rsidR="00722156" w:rsidRPr="00722156">
        <w:rPr>
          <w:szCs w:val="24"/>
        </w:rPr>
        <w:t>datne</w:t>
      </w:r>
      <w:r w:rsidRPr="00722156">
        <w:rPr>
          <w:szCs w:val="24"/>
        </w:rPr>
        <w:t>: IZM_SN_p1</w:t>
      </w:r>
      <w:r w:rsidR="00C61330">
        <w:rPr>
          <w:szCs w:val="24"/>
        </w:rPr>
        <w:t>_814_SAM</w:t>
      </w:r>
      <w:r w:rsidRPr="00722156">
        <w:rPr>
          <w:szCs w:val="24"/>
        </w:rPr>
        <w:t>);</w:t>
      </w:r>
    </w:p>
    <w:p w:rsidR="00364C82" w:rsidRDefault="00364C82" w:rsidP="00E85785">
      <w:pPr>
        <w:pStyle w:val="ListParagraph"/>
        <w:numPr>
          <w:ilvl w:val="0"/>
          <w:numId w:val="45"/>
        </w:numPr>
        <w:tabs>
          <w:tab w:val="left" w:pos="426"/>
        </w:tabs>
        <w:ind w:left="425" w:hanging="426"/>
        <w:contextualSpacing/>
        <w:rPr>
          <w:szCs w:val="24"/>
        </w:rPr>
      </w:pPr>
      <w:r w:rsidRPr="00722156">
        <w:rPr>
          <w:szCs w:val="24"/>
        </w:rPr>
        <w:t>Koledžās īstenoto STEM</w:t>
      </w:r>
      <w:r w:rsidR="00C901A5">
        <w:rPr>
          <w:szCs w:val="24"/>
        </w:rPr>
        <w:t xml:space="preserve"> </w:t>
      </w:r>
      <w:r w:rsidRPr="00722156">
        <w:rPr>
          <w:szCs w:val="24"/>
        </w:rPr>
        <w:t>jomas studiju programmu izvērtējums un tajās studējošo skaita dinamika 2011./2012. – 2015./2016.ak.gadā (datne: IZM_SN_p</w:t>
      </w:r>
      <w:r>
        <w:rPr>
          <w:szCs w:val="24"/>
        </w:rPr>
        <w:t>2</w:t>
      </w:r>
      <w:r w:rsidR="00C61330">
        <w:rPr>
          <w:szCs w:val="24"/>
        </w:rPr>
        <w:t>_814_SAM</w:t>
      </w:r>
      <w:r w:rsidRPr="00722156">
        <w:rPr>
          <w:szCs w:val="24"/>
        </w:rPr>
        <w:t>)</w:t>
      </w:r>
      <w:r w:rsidR="00966EF0">
        <w:rPr>
          <w:szCs w:val="24"/>
        </w:rPr>
        <w:t>;</w:t>
      </w:r>
    </w:p>
    <w:p w:rsidR="00F14DBF" w:rsidRPr="00722156" w:rsidRDefault="00F14DBF" w:rsidP="00E85785">
      <w:pPr>
        <w:pStyle w:val="ListParagraph"/>
        <w:numPr>
          <w:ilvl w:val="0"/>
          <w:numId w:val="45"/>
        </w:numPr>
        <w:tabs>
          <w:tab w:val="left" w:pos="426"/>
        </w:tabs>
        <w:ind w:left="425" w:hanging="426"/>
        <w:contextualSpacing/>
        <w:rPr>
          <w:szCs w:val="24"/>
        </w:rPr>
      </w:pPr>
      <w:r w:rsidRPr="00722156">
        <w:rPr>
          <w:szCs w:val="24"/>
        </w:rPr>
        <w:t>Investīcijas 2007.-2013.gada plānošanas periodā koledžu infrastruktūrā (ERAF, KPFI un citi finanšu instrumenti) (</w:t>
      </w:r>
      <w:r w:rsidR="00722156" w:rsidRPr="00722156">
        <w:rPr>
          <w:szCs w:val="24"/>
        </w:rPr>
        <w:t>datne</w:t>
      </w:r>
      <w:r w:rsidRPr="00722156">
        <w:rPr>
          <w:szCs w:val="24"/>
        </w:rPr>
        <w:t>: IZM_SN_p</w:t>
      </w:r>
      <w:r w:rsidR="00364C82">
        <w:rPr>
          <w:szCs w:val="24"/>
        </w:rPr>
        <w:t>3</w:t>
      </w:r>
      <w:r w:rsidR="00C61330">
        <w:rPr>
          <w:szCs w:val="24"/>
        </w:rPr>
        <w:t>_814_SAM</w:t>
      </w:r>
      <w:r w:rsidRPr="00722156">
        <w:rPr>
          <w:szCs w:val="24"/>
        </w:rPr>
        <w:t>);</w:t>
      </w:r>
    </w:p>
    <w:p w:rsidR="00722156" w:rsidRDefault="0095503A" w:rsidP="00E85785">
      <w:pPr>
        <w:pStyle w:val="ListParagraph"/>
        <w:numPr>
          <w:ilvl w:val="0"/>
          <w:numId w:val="45"/>
        </w:numPr>
        <w:tabs>
          <w:tab w:val="left" w:pos="426"/>
        </w:tabs>
        <w:ind w:left="425" w:hanging="426"/>
        <w:contextualSpacing/>
        <w:rPr>
          <w:szCs w:val="24"/>
        </w:rPr>
      </w:pPr>
      <w:r w:rsidRPr="0095503A">
        <w:rPr>
          <w:szCs w:val="24"/>
        </w:rPr>
        <w:t xml:space="preserve">Koledžu studiju programmu atbilstība Latvijas Viedās specializācijas stratēģijas </w:t>
      </w:r>
      <w:r w:rsidR="00966EF0">
        <w:rPr>
          <w:szCs w:val="24"/>
        </w:rPr>
        <w:t xml:space="preserve">viedās </w:t>
      </w:r>
      <w:r w:rsidRPr="0095503A">
        <w:rPr>
          <w:szCs w:val="24"/>
        </w:rPr>
        <w:t>specializācijas jomām</w:t>
      </w:r>
      <w:r w:rsidRPr="00C901A5">
        <w:rPr>
          <w:szCs w:val="24"/>
        </w:rPr>
        <w:t xml:space="preserve"> </w:t>
      </w:r>
      <w:r w:rsidR="00364C82" w:rsidRPr="00C901A5">
        <w:rPr>
          <w:szCs w:val="24"/>
        </w:rPr>
        <w:t>(datne: IZM_SN_p4</w:t>
      </w:r>
      <w:r w:rsidR="00E90950">
        <w:rPr>
          <w:szCs w:val="24"/>
        </w:rPr>
        <w:t>_814_SAM</w:t>
      </w:r>
      <w:r w:rsidR="00966EF0">
        <w:rPr>
          <w:szCs w:val="24"/>
        </w:rPr>
        <w:t>);</w:t>
      </w:r>
    </w:p>
    <w:p w:rsidR="009E0EA4" w:rsidRPr="00C901A5" w:rsidRDefault="009E0EA4" w:rsidP="00E85785">
      <w:pPr>
        <w:pStyle w:val="ListParagraph"/>
        <w:numPr>
          <w:ilvl w:val="0"/>
          <w:numId w:val="45"/>
        </w:numPr>
        <w:tabs>
          <w:tab w:val="left" w:pos="426"/>
        </w:tabs>
        <w:ind w:left="425" w:hanging="426"/>
        <w:contextualSpacing/>
        <w:rPr>
          <w:szCs w:val="24"/>
        </w:rPr>
      </w:pPr>
      <w:r>
        <w:rPr>
          <w:szCs w:val="24"/>
        </w:rPr>
        <w:t>Darbības programmas “</w:t>
      </w:r>
      <w:r w:rsidRPr="009E0EA4">
        <w:rPr>
          <w:bCs/>
          <w:szCs w:val="24"/>
        </w:rPr>
        <w:t>Izaugsme un nodarbinātība</w:t>
      </w:r>
      <w:r w:rsidRPr="009E0EA4">
        <w:rPr>
          <w:szCs w:val="24"/>
        </w:rPr>
        <w:t xml:space="preserve">" </w:t>
      </w:r>
      <w:r w:rsidRPr="009E0EA4">
        <w:rPr>
          <w:bCs/>
          <w:szCs w:val="24"/>
        </w:rPr>
        <w:t xml:space="preserve">8.1.4. specifiskā atbalsta mērķa </w:t>
      </w:r>
      <w:r w:rsidRPr="009E0EA4">
        <w:rPr>
          <w:szCs w:val="24"/>
        </w:rPr>
        <w:t>"</w:t>
      </w:r>
      <w:r w:rsidRPr="009E0EA4">
        <w:rPr>
          <w:bCs/>
          <w:szCs w:val="24"/>
        </w:rPr>
        <w:t>Uzlabot pirmā līmeņa profesionālās augstākās izglītības STEM, tajā skaitā medicīnas un radošās industrijas, studiju mācību vidi koledžās</w:t>
      </w:r>
      <w:r w:rsidRPr="009E0EA4">
        <w:rPr>
          <w:szCs w:val="24"/>
        </w:rPr>
        <w:t>" pieejamā publiskā finansējuma sadalījuma pa koledžām aprēķināšanas metodika</w:t>
      </w:r>
      <w:r w:rsidR="00966EF0">
        <w:rPr>
          <w:szCs w:val="24"/>
        </w:rPr>
        <w:t xml:space="preserve"> </w:t>
      </w:r>
      <w:r>
        <w:rPr>
          <w:szCs w:val="24"/>
        </w:rPr>
        <w:t>(datne: IZM_SN_p5_814_SAM).</w:t>
      </w:r>
    </w:p>
    <w:p w:rsidR="00722156" w:rsidRDefault="00722156" w:rsidP="00E85785">
      <w:pPr>
        <w:pStyle w:val="ListParagraph"/>
        <w:tabs>
          <w:tab w:val="left" w:pos="426"/>
        </w:tabs>
        <w:ind w:left="425"/>
        <w:contextualSpacing/>
        <w:rPr>
          <w:szCs w:val="24"/>
        </w:rPr>
      </w:pPr>
    </w:p>
    <w:p w:rsidR="009E0EA4" w:rsidRDefault="009E0EA4" w:rsidP="00E85785">
      <w:pPr>
        <w:pStyle w:val="ListParagraph"/>
        <w:tabs>
          <w:tab w:val="left" w:pos="426"/>
        </w:tabs>
        <w:ind w:left="425"/>
        <w:contextualSpacing/>
        <w:rPr>
          <w:szCs w:val="24"/>
        </w:rPr>
      </w:pPr>
    </w:p>
    <w:p w:rsidR="009E0EA4" w:rsidRPr="009E0EA4" w:rsidRDefault="009E0EA4" w:rsidP="009E0EA4">
      <w:pPr>
        <w:pStyle w:val="ListParagraph"/>
        <w:tabs>
          <w:tab w:val="left" w:pos="426"/>
        </w:tabs>
        <w:ind w:left="425"/>
        <w:contextualSpacing/>
        <w:rPr>
          <w:szCs w:val="24"/>
        </w:rPr>
      </w:pPr>
    </w:p>
    <w:sectPr w:rsidR="009E0EA4" w:rsidRPr="009E0EA4" w:rsidSect="00500454">
      <w:headerReference w:type="default" r:id="rId35"/>
      <w:footerReference w:type="default" r:id="rId36"/>
      <w:pgSz w:w="11907" w:h="16840"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8A3" w:rsidRDefault="005738A3" w:rsidP="002B567E">
      <w:r>
        <w:separator/>
      </w:r>
    </w:p>
  </w:endnote>
  <w:endnote w:type="continuationSeparator" w:id="0">
    <w:p w:rsidR="005738A3" w:rsidRDefault="005738A3" w:rsidP="002B5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EYInterstate Light">
    <w:altName w:val="Times New Roman"/>
    <w:charset w:val="BA"/>
    <w:family w:val="auto"/>
    <w:pitch w:val="variable"/>
    <w:sig w:usb0="00000001" w:usb1="5000206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 w:name="EYInterstate">
    <w:altName w:val="Corbel"/>
    <w:charset w:val="BA"/>
    <w:family w:val="auto"/>
    <w:pitch w:val="variable"/>
    <w:sig w:usb0="00000001" w:usb1="5000206A" w:usb2="00000000" w:usb3="00000000" w:csb0="0000009F" w:csb1="00000000"/>
  </w:font>
  <w:font w:name="Segoe UI Semibold">
    <w:panose1 w:val="020B0702040204020203"/>
    <w:charset w:val="BA"/>
    <w:family w:val="swiss"/>
    <w:pitch w:val="variable"/>
    <w:sig w:usb0="E00002FF" w:usb1="4000A47B"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Open Sans">
    <w:altName w:val="Times New Roman"/>
    <w:charset w:val="00"/>
    <w:family w:val="auto"/>
    <w:pitch w:val="default"/>
    <w:sig w:usb0="00000000" w:usb1="00000000" w:usb2="00000000" w:usb3="00000000" w:csb0="00000000"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A3" w:rsidRDefault="00BE3FB9">
    <w:pPr>
      <w:pStyle w:val="Footer"/>
      <w:jc w:val="center"/>
    </w:pPr>
    <w:r w:rsidRPr="00557B49">
      <w:rPr>
        <w:sz w:val="24"/>
        <w:szCs w:val="24"/>
      </w:rPr>
      <w:fldChar w:fldCharType="begin"/>
    </w:r>
    <w:r w:rsidR="005738A3" w:rsidRPr="00557B49">
      <w:rPr>
        <w:sz w:val="24"/>
        <w:szCs w:val="24"/>
      </w:rPr>
      <w:instrText xml:space="preserve"> PAGE   \* MERGEFORMAT </w:instrText>
    </w:r>
    <w:r w:rsidRPr="00557B49">
      <w:rPr>
        <w:sz w:val="24"/>
        <w:szCs w:val="24"/>
      </w:rPr>
      <w:fldChar w:fldCharType="separate"/>
    </w:r>
    <w:r w:rsidR="006917B8">
      <w:rPr>
        <w:noProof/>
        <w:sz w:val="24"/>
        <w:szCs w:val="24"/>
      </w:rPr>
      <w:t>3</w:t>
    </w:r>
    <w:r w:rsidRPr="00557B49">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35897"/>
      <w:docPartObj>
        <w:docPartGallery w:val="Page Numbers (Bottom of Page)"/>
        <w:docPartUnique/>
      </w:docPartObj>
    </w:sdtPr>
    <w:sdtContent>
      <w:p w:rsidR="005738A3" w:rsidRDefault="00BE3FB9">
        <w:pPr>
          <w:pStyle w:val="Footer"/>
          <w:jc w:val="center"/>
        </w:pPr>
        <w:r>
          <w:fldChar w:fldCharType="begin"/>
        </w:r>
        <w:r w:rsidR="005738A3">
          <w:instrText xml:space="preserve"> PAGE   \* MERGEFORMAT </w:instrText>
        </w:r>
        <w:r>
          <w:fldChar w:fldCharType="separate"/>
        </w:r>
        <w:r w:rsidR="006917B8">
          <w:rPr>
            <w:noProof/>
          </w:rPr>
          <w:t>67</w:t>
        </w:r>
        <w:r>
          <w:rPr>
            <w:noProof/>
          </w:rPr>
          <w:fldChar w:fldCharType="end"/>
        </w:r>
      </w:p>
    </w:sdtContent>
  </w:sdt>
  <w:p w:rsidR="005738A3" w:rsidRPr="00B12888" w:rsidRDefault="005738A3" w:rsidP="00B12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8A3" w:rsidRDefault="005738A3" w:rsidP="002B567E">
      <w:r>
        <w:separator/>
      </w:r>
    </w:p>
  </w:footnote>
  <w:footnote w:type="continuationSeparator" w:id="0">
    <w:p w:rsidR="005738A3" w:rsidRDefault="005738A3" w:rsidP="002B567E">
      <w:r>
        <w:continuationSeparator/>
      </w:r>
    </w:p>
  </w:footnote>
  <w:footnote w:id="1">
    <w:p w:rsidR="005738A3" w:rsidRDefault="005738A3">
      <w:pPr>
        <w:pStyle w:val="FootnoteText"/>
      </w:pPr>
      <w:r>
        <w:rPr>
          <w:rStyle w:val="FootnoteReference"/>
        </w:rPr>
        <w:footnoteRef/>
      </w:r>
      <w:r>
        <w:t xml:space="preserve"> </w:t>
      </w:r>
      <w:r w:rsidRPr="009F2948">
        <w:t>Koledžās studējošo īpatsvars no kopējā studējošo skaita 2010.gadā ir 11,4 %, 2011.gadā- 12,7 %, 2012.gadā- 13,5 %, 2013.gadā - 14,2%, 2014.gadā- 13,9%</w:t>
      </w:r>
      <w:r>
        <w:t xml:space="preserve">, </w:t>
      </w:r>
      <w:r w:rsidRPr="009F2948">
        <w:t>201</w:t>
      </w:r>
      <w:r>
        <w:t>5</w:t>
      </w:r>
      <w:r w:rsidRPr="009F2948">
        <w:t>.gadā- 1</w:t>
      </w:r>
      <w:r>
        <w:t>2</w:t>
      </w:r>
      <w:r w:rsidRPr="009F2948">
        <w:t>,</w:t>
      </w:r>
      <w:r>
        <w:t>8</w:t>
      </w:r>
      <w:r w:rsidRPr="009F2948">
        <w:t>%</w:t>
      </w:r>
      <w:r>
        <w:t xml:space="preserve">. </w:t>
      </w:r>
    </w:p>
  </w:footnote>
  <w:footnote w:id="2">
    <w:p w:rsidR="005738A3" w:rsidRDefault="005738A3">
      <w:pPr>
        <w:pStyle w:val="FootnoteText"/>
      </w:pPr>
      <w:r>
        <w:rPr>
          <w:rStyle w:val="FootnoteReference"/>
        </w:rPr>
        <w:footnoteRef/>
      </w:r>
      <w:r>
        <w:t xml:space="preserve"> STEM – saīsinājums </w:t>
      </w:r>
      <w:r w:rsidRPr="007F3F75">
        <w:t xml:space="preserve">no angļu valodas: </w:t>
      </w:r>
      <w:proofErr w:type="spellStart"/>
      <w:r w:rsidRPr="007F3F75">
        <w:rPr>
          <w:rStyle w:val="Emphasis"/>
        </w:rPr>
        <w:t>science</w:t>
      </w:r>
      <w:proofErr w:type="spellEnd"/>
      <w:r w:rsidRPr="007F3F75">
        <w:rPr>
          <w:rStyle w:val="Emphasis"/>
        </w:rPr>
        <w:t xml:space="preserve">, </w:t>
      </w:r>
      <w:proofErr w:type="spellStart"/>
      <w:r w:rsidRPr="007F3F75">
        <w:rPr>
          <w:rStyle w:val="Emphasis"/>
        </w:rPr>
        <w:t>technology</w:t>
      </w:r>
      <w:proofErr w:type="spellEnd"/>
      <w:r w:rsidRPr="007F3F75">
        <w:rPr>
          <w:rStyle w:val="Emphasis"/>
        </w:rPr>
        <w:t xml:space="preserve">, </w:t>
      </w:r>
      <w:proofErr w:type="spellStart"/>
      <w:r w:rsidRPr="007F3F75">
        <w:rPr>
          <w:rStyle w:val="Emphasis"/>
        </w:rPr>
        <w:t>engineering</w:t>
      </w:r>
      <w:proofErr w:type="spellEnd"/>
      <w:r w:rsidRPr="007F3F75">
        <w:rPr>
          <w:rStyle w:val="Emphasis"/>
        </w:rPr>
        <w:t xml:space="preserve">, </w:t>
      </w:r>
      <w:proofErr w:type="spellStart"/>
      <w:r w:rsidRPr="007F3F75">
        <w:rPr>
          <w:rStyle w:val="Emphasis"/>
        </w:rPr>
        <w:t>mathematics</w:t>
      </w:r>
      <w:proofErr w:type="spellEnd"/>
    </w:p>
  </w:footnote>
  <w:footnote w:id="3">
    <w:p w:rsidR="005738A3" w:rsidRDefault="005738A3" w:rsidP="001C70D1">
      <w:pPr>
        <w:pStyle w:val="FootnoteText"/>
      </w:pPr>
      <w:r w:rsidRPr="00506BB1">
        <w:rPr>
          <w:rStyle w:val="FootnoteReference"/>
        </w:rPr>
        <w:footnoteRef/>
      </w:r>
      <w:r w:rsidRPr="00506BB1">
        <w:t xml:space="preserve"> Zinātnes, tehnoloģijas attīstības un inovācijas pamatnostādnes 2014. – 2020.gadam, pieejamas </w:t>
      </w:r>
      <w:r w:rsidRPr="00506BB1">
        <w:rPr>
          <w:lang w:val="en-US"/>
        </w:rPr>
        <w:t>http://polsis.mk.gov.lv/view.do?id=4608</w:t>
      </w:r>
    </w:p>
  </w:footnote>
  <w:footnote w:id="4">
    <w:p w:rsidR="005738A3" w:rsidRDefault="005738A3" w:rsidP="00D42476">
      <w:pPr>
        <w:pStyle w:val="FootnoteText"/>
      </w:pPr>
      <w:r>
        <w:rPr>
          <w:rStyle w:val="FootnoteReference"/>
        </w:rPr>
        <w:footnoteRef/>
      </w:r>
      <w:r>
        <w:t xml:space="preserve"> Augstskolu likuma 10.panta otrā daļa, pieejams </w:t>
      </w:r>
      <w:hyperlink r:id="rId1" w:history="1">
        <w:r w:rsidRPr="00985D80">
          <w:rPr>
            <w:rStyle w:val="Hyperlink"/>
          </w:rPr>
          <w:t>http://likumi.lv/doc.php?id=37967</w:t>
        </w:r>
      </w:hyperlink>
    </w:p>
  </w:footnote>
  <w:footnote w:id="5">
    <w:p w:rsidR="005738A3" w:rsidRDefault="005738A3">
      <w:r w:rsidRPr="00ED6B0F">
        <w:rPr>
          <w:rStyle w:val="FootnoteReference"/>
          <w:sz w:val="20"/>
        </w:rPr>
        <w:footnoteRef/>
      </w:r>
      <w:r w:rsidRPr="00ED6B0F">
        <w:rPr>
          <w:sz w:val="20"/>
        </w:rPr>
        <w:t xml:space="preserve"> Pārskats par Latvijas augstāko izglītību 201</w:t>
      </w:r>
      <w:r>
        <w:rPr>
          <w:sz w:val="20"/>
        </w:rPr>
        <w:t>5</w:t>
      </w:r>
      <w:r w:rsidRPr="00ED6B0F">
        <w:rPr>
          <w:sz w:val="20"/>
        </w:rPr>
        <w:t>.gadā, pieejams</w:t>
      </w:r>
      <w:r w:rsidRPr="00ED6B0F">
        <w:rPr>
          <w:rStyle w:val="Strong"/>
          <w:sz w:val="20"/>
        </w:rPr>
        <w:t xml:space="preserve"> </w:t>
      </w:r>
      <w:r w:rsidRPr="001350B8">
        <w:rPr>
          <w:sz w:val="20"/>
        </w:rPr>
        <w:t>http://izm.gov.lv/lv/publikacijas-un-statistika/statistika-par-izglitibu/statistika-par-augstako-izglitibu</w:t>
      </w:r>
    </w:p>
  </w:footnote>
  <w:footnote w:id="6">
    <w:p w:rsidR="005738A3" w:rsidRDefault="005738A3" w:rsidP="00DE4DB2">
      <w:pPr>
        <w:pStyle w:val="FootnoteText"/>
      </w:pPr>
      <w:r w:rsidRPr="00C6619F">
        <w:rPr>
          <w:rStyle w:val="FootnoteReference"/>
        </w:rPr>
        <w:footnoteRef/>
      </w:r>
      <w:r w:rsidRPr="00C6619F">
        <w:t xml:space="preserve"> Profesionālās izglītības likums, 5.pants</w:t>
      </w:r>
      <w:r>
        <w:t xml:space="preserve">, pieejams </w:t>
      </w:r>
      <w:hyperlink r:id="rId2" w:history="1">
        <w:r w:rsidRPr="00985D80">
          <w:rPr>
            <w:rStyle w:val="Hyperlink"/>
          </w:rPr>
          <w:t>http://likumi.lv/doc.php?id=20244</w:t>
        </w:r>
      </w:hyperlink>
    </w:p>
  </w:footnote>
  <w:footnote w:id="7">
    <w:p w:rsidR="005738A3" w:rsidRDefault="005738A3" w:rsidP="00DE4DB2">
      <w:pPr>
        <w:pStyle w:val="FootnoteText"/>
      </w:pPr>
      <w:r w:rsidRPr="00B43707">
        <w:rPr>
          <w:rStyle w:val="FootnoteReference"/>
        </w:rPr>
        <w:footnoteRef/>
      </w:r>
      <w:r w:rsidRPr="00B43707">
        <w:t xml:space="preserve"> MK 2008.gada 2.decembra noteikumi Nr. 990 “Noteikumi par Latvijas izglītības klasifikāciju”</w:t>
      </w:r>
      <w:r>
        <w:t xml:space="preserve">, pieejams </w:t>
      </w:r>
      <w:r w:rsidRPr="00C6619F">
        <w:t xml:space="preserve"> </w:t>
      </w:r>
      <w:hyperlink r:id="rId3" w:history="1">
        <w:r w:rsidRPr="00985D80">
          <w:rPr>
            <w:rStyle w:val="Hyperlink"/>
          </w:rPr>
          <w:t>http://likumi.lv/doc.php?id=184810</w:t>
        </w:r>
      </w:hyperlink>
    </w:p>
  </w:footnote>
  <w:footnote w:id="8">
    <w:p w:rsidR="005738A3" w:rsidRDefault="005738A3" w:rsidP="00DE4DB2">
      <w:pPr>
        <w:pStyle w:val="FootnoteText"/>
      </w:pPr>
      <w:r w:rsidRPr="00C6619F">
        <w:rPr>
          <w:rStyle w:val="FootnoteReference"/>
        </w:rPr>
        <w:footnoteRef/>
      </w:r>
      <w:r w:rsidRPr="00C6619F">
        <w:t xml:space="preserve"> Izglītības likums, 8</w:t>
      </w:r>
      <w:r>
        <w:rPr>
          <w:vertAlign w:val="superscript"/>
        </w:rPr>
        <w:t>1</w:t>
      </w:r>
      <w:r w:rsidRPr="00C6619F">
        <w:t xml:space="preserve"> pants</w:t>
      </w:r>
      <w:r>
        <w:t xml:space="preserve">, pieejams </w:t>
      </w:r>
      <w:hyperlink r:id="rId4" w:history="1">
        <w:r w:rsidRPr="00985D80">
          <w:rPr>
            <w:rStyle w:val="Hyperlink"/>
          </w:rPr>
          <w:t>http://likumi.lv/doc.php?id=50759</w:t>
        </w:r>
      </w:hyperlink>
    </w:p>
  </w:footnote>
  <w:footnote w:id="9">
    <w:p w:rsidR="005738A3" w:rsidRDefault="005738A3" w:rsidP="00C06916">
      <w:pPr>
        <w:pStyle w:val="FootnoteText"/>
      </w:pPr>
      <w:r>
        <w:rPr>
          <w:rStyle w:val="FootnoteReference"/>
        </w:rPr>
        <w:footnoteRef/>
      </w:r>
      <w:r>
        <w:t xml:space="preserve"> </w:t>
      </w:r>
      <w:r w:rsidRPr="00C6619F">
        <w:t>Profesionālās izglītības likums, 16.pants</w:t>
      </w:r>
      <w:r>
        <w:t xml:space="preserve"> </w:t>
      </w:r>
    </w:p>
  </w:footnote>
  <w:footnote w:id="10">
    <w:p w:rsidR="005738A3" w:rsidRDefault="005738A3" w:rsidP="0026400F">
      <w:pPr>
        <w:pStyle w:val="FootnoteText"/>
      </w:pPr>
      <w:r>
        <w:rPr>
          <w:rStyle w:val="FootnoteReference"/>
        </w:rPr>
        <w:footnoteRef/>
      </w:r>
      <w:r>
        <w:t xml:space="preserve"> </w:t>
      </w:r>
      <w:hyperlink r:id="rId5" w:history="1">
        <w:r w:rsidRPr="00353CA0">
          <w:rPr>
            <w:rStyle w:val="Hyperlink"/>
          </w:rPr>
          <w:t>https://infogr.am/iedzivotaju-migracijas-tendences-2013-gada</w:t>
        </w:r>
      </w:hyperlink>
      <w:r>
        <w:t xml:space="preserve"> </w:t>
      </w:r>
    </w:p>
  </w:footnote>
  <w:footnote w:id="11">
    <w:p w:rsidR="005738A3" w:rsidRDefault="005738A3" w:rsidP="00D42476">
      <w:pPr>
        <w:pStyle w:val="FootnoteText"/>
      </w:pPr>
      <w:r>
        <w:rPr>
          <w:rStyle w:val="FootnoteReference"/>
        </w:rPr>
        <w:footnoteRef/>
      </w:r>
      <w:r>
        <w:t xml:space="preserve"> </w:t>
      </w:r>
      <w:r w:rsidRPr="000B2200">
        <w:t>Pētījums „Publisko individuālo pakalpojumu klāsta izvērtējums atbilstoši apdzīvojumam” (2014)</w:t>
      </w:r>
    </w:p>
  </w:footnote>
  <w:footnote w:id="12">
    <w:p w:rsidR="005738A3" w:rsidRDefault="005738A3" w:rsidP="00A56FDF">
      <w:pPr>
        <w:pStyle w:val="FootnoteText"/>
      </w:pPr>
      <w:r>
        <w:rPr>
          <w:rStyle w:val="FootnoteReference"/>
        </w:rPr>
        <w:footnoteRef/>
      </w:r>
      <w:r>
        <w:t xml:space="preserve"> </w:t>
      </w:r>
      <w:r w:rsidRPr="003B651B">
        <w:t>http://www.latgale.lv/lv/padome/planosana</w:t>
      </w:r>
    </w:p>
  </w:footnote>
  <w:footnote w:id="13">
    <w:p w:rsidR="005738A3" w:rsidRDefault="005738A3" w:rsidP="006678EB">
      <w:pPr>
        <w:pStyle w:val="FootnoteText"/>
      </w:pPr>
      <w:r>
        <w:rPr>
          <w:rStyle w:val="FootnoteReference"/>
        </w:rPr>
        <w:footnoteRef/>
      </w:r>
      <w:r>
        <w:t xml:space="preserve"> Malnavas koledžas 2014.gada publiskais pārskats, pieejams: </w:t>
      </w:r>
      <w:hyperlink r:id="rId6" w:history="1">
        <w:r w:rsidRPr="00892AEF">
          <w:rPr>
            <w:rStyle w:val="Hyperlink"/>
          </w:rPr>
          <w:t>http://www.malnava.lv/images/2014_1/pub.pdf</w:t>
        </w:r>
      </w:hyperlink>
      <w:r>
        <w:t>, 6.lpp.</w:t>
      </w:r>
    </w:p>
  </w:footnote>
  <w:footnote w:id="14">
    <w:p w:rsidR="005738A3" w:rsidRPr="00316840" w:rsidRDefault="005738A3" w:rsidP="00AD5B70">
      <w:pPr>
        <w:autoSpaceDE w:val="0"/>
        <w:autoSpaceDN w:val="0"/>
        <w:adjustRightInd w:val="0"/>
        <w:rPr>
          <w:sz w:val="20"/>
        </w:rPr>
      </w:pPr>
      <w:r>
        <w:rPr>
          <w:rStyle w:val="FootnoteReference"/>
        </w:rPr>
        <w:footnoteRef/>
      </w:r>
      <w:r>
        <w:t xml:space="preserve"> </w:t>
      </w:r>
      <w:r w:rsidRPr="00316840">
        <w:rPr>
          <w:sz w:val="20"/>
        </w:rPr>
        <w:t>http://www.kurzemesregions.lv/userfiles/files/Kurzeme%202020.pdf</w:t>
      </w:r>
    </w:p>
  </w:footnote>
  <w:footnote w:id="15">
    <w:p w:rsidR="005738A3" w:rsidRPr="00707E8F" w:rsidRDefault="005738A3" w:rsidP="00AD5B70">
      <w:pPr>
        <w:rPr>
          <w:rFonts w:eastAsia="Calibri"/>
          <w:sz w:val="20"/>
        </w:rPr>
      </w:pPr>
      <w:r>
        <w:rPr>
          <w:rStyle w:val="FootnoteReference"/>
        </w:rPr>
        <w:footnoteRef/>
      </w:r>
      <w:r>
        <w:t xml:space="preserve"> </w:t>
      </w:r>
      <w:r w:rsidRPr="0026562B">
        <w:rPr>
          <w:rFonts w:eastAsia="Calibri"/>
          <w:sz w:val="20"/>
        </w:rPr>
        <w:t>http://www.zemgale.lv/index.php?option=com_docman&amp;task=cat_view&amp;gid=99&amp;Itemid=100089</w:t>
      </w:r>
    </w:p>
    <w:p w:rsidR="005738A3" w:rsidRDefault="005738A3" w:rsidP="00AD5B70">
      <w:pPr>
        <w:pStyle w:val="FootnoteText"/>
      </w:pPr>
    </w:p>
  </w:footnote>
  <w:footnote w:id="16">
    <w:p w:rsidR="005738A3" w:rsidRPr="009B40DD" w:rsidRDefault="005738A3" w:rsidP="00D42476">
      <w:pPr>
        <w:pStyle w:val="FootnoteText"/>
      </w:pPr>
      <w:r w:rsidRPr="003639EA">
        <w:rPr>
          <w:rStyle w:val="FootnoteReference"/>
          <w:sz w:val="22"/>
          <w:szCs w:val="22"/>
        </w:rPr>
        <w:footnoteRef/>
      </w:r>
      <w:r w:rsidRPr="003639EA">
        <w:rPr>
          <w:sz w:val="22"/>
          <w:szCs w:val="22"/>
        </w:rPr>
        <w:t xml:space="preserve"> </w:t>
      </w:r>
      <w:r w:rsidRPr="00E416EB">
        <w:t>http</w:t>
      </w:r>
      <w:r w:rsidRPr="0019173B">
        <w:t>s://www.em.gov.lv/lv/nozares_politika/tautsaimniecibas_attistiba/informativais_zinojums_par_darba_tirgus_videja_un_ilgtermina_prognozem</w:t>
      </w:r>
    </w:p>
  </w:footnote>
  <w:footnote w:id="17">
    <w:p w:rsidR="005738A3" w:rsidRDefault="005738A3" w:rsidP="00D42476">
      <w:pPr>
        <w:pStyle w:val="FootnoteText"/>
      </w:pPr>
      <w:r>
        <w:rPr>
          <w:rStyle w:val="FootnoteReference"/>
        </w:rPr>
        <w:footnoteRef/>
      </w:r>
      <w:r>
        <w:t xml:space="preserve"> </w:t>
      </w:r>
      <w:r w:rsidRPr="00D54A26">
        <w:rPr>
          <w:i/>
        </w:rPr>
        <w:t>Avots: EM informatīvais ziņojums, 87. lpp.</w:t>
      </w:r>
    </w:p>
  </w:footnote>
  <w:footnote w:id="18">
    <w:p w:rsidR="005738A3" w:rsidRDefault="005738A3" w:rsidP="00D42476">
      <w:pPr>
        <w:pStyle w:val="FootnoteText"/>
      </w:pPr>
      <w:r>
        <w:rPr>
          <w:rStyle w:val="FootnoteReference"/>
        </w:rPr>
        <w:footnoteRef/>
      </w:r>
      <w:r>
        <w:t xml:space="preserve"> EM informatīvais ziņojums, 89.lpp.</w:t>
      </w:r>
    </w:p>
  </w:footnote>
  <w:footnote w:id="19">
    <w:p w:rsidR="005738A3" w:rsidRDefault="005738A3">
      <w:pPr>
        <w:pStyle w:val="FootnoteText"/>
      </w:pPr>
      <w:r>
        <w:rPr>
          <w:rStyle w:val="FootnoteReference"/>
        </w:rPr>
        <w:footnoteRef/>
      </w:r>
      <w:r>
        <w:t xml:space="preserve"> </w:t>
      </w:r>
      <w:r w:rsidRPr="00101F8D">
        <w:t>Atbilstoši Ministru Kabineta 2014.gada 7.janvāra sēdes protokola Nr.1. 40.§ 2.punktam „STEM” (</w:t>
      </w:r>
      <w:proofErr w:type="spellStart"/>
      <w:r w:rsidRPr="00101F8D">
        <w:rPr>
          <w:i/>
          <w:iCs/>
        </w:rPr>
        <w:t>Science</w:t>
      </w:r>
      <w:proofErr w:type="spellEnd"/>
      <w:r w:rsidRPr="00101F8D">
        <w:rPr>
          <w:i/>
          <w:iCs/>
        </w:rPr>
        <w:t xml:space="preserve">, </w:t>
      </w:r>
      <w:proofErr w:type="spellStart"/>
      <w:r w:rsidRPr="00101F8D">
        <w:rPr>
          <w:i/>
          <w:iCs/>
        </w:rPr>
        <w:t>Technology</w:t>
      </w:r>
      <w:proofErr w:type="spellEnd"/>
      <w:r w:rsidRPr="00101F8D">
        <w:rPr>
          <w:i/>
          <w:iCs/>
        </w:rPr>
        <w:t xml:space="preserve">, </w:t>
      </w:r>
      <w:proofErr w:type="spellStart"/>
      <w:r w:rsidRPr="00101F8D">
        <w:rPr>
          <w:i/>
          <w:iCs/>
        </w:rPr>
        <w:t>Engineering</w:t>
      </w:r>
      <w:proofErr w:type="spellEnd"/>
      <w:r w:rsidRPr="00101F8D">
        <w:rPr>
          <w:i/>
          <w:iCs/>
        </w:rPr>
        <w:t xml:space="preserve"> </w:t>
      </w:r>
      <w:proofErr w:type="spellStart"/>
      <w:r w:rsidRPr="00101F8D">
        <w:rPr>
          <w:i/>
          <w:iCs/>
        </w:rPr>
        <w:t>and</w:t>
      </w:r>
      <w:proofErr w:type="spellEnd"/>
      <w:r w:rsidRPr="00101F8D">
        <w:rPr>
          <w:i/>
          <w:iCs/>
        </w:rPr>
        <w:t xml:space="preserve"> </w:t>
      </w:r>
      <w:proofErr w:type="spellStart"/>
      <w:r w:rsidRPr="00101F8D">
        <w:rPr>
          <w:i/>
          <w:iCs/>
        </w:rPr>
        <w:t>Mathematics</w:t>
      </w:r>
      <w:proofErr w:type="spellEnd"/>
      <w:r w:rsidRPr="00101F8D">
        <w:rPr>
          <w:i/>
          <w:iCs/>
        </w:rPr>
        <w:t xml:space="preserve"> – </w:t>
      </w:r>
      <w:r w:rsidRPr="00101F8D">
        <w:t xml:space="preserve">zinātne, tehnoloģijas, </w:t>
      </w:r>
      <w:proofErr w:type="spellStart"/>
      <w:r w:rsidRPr="00101F8D">
        <w:t>inženierzinātnes,matemātika</w:t>
      </w:r>
      <w:proofErr w:type="spellEnd"/>
      <w:r w:rsidRPr="00101F8D">
        <w:rPr>
          <w:lang w:eastAsia="ja-JP"/>
        </w:rPr>
        <w:t xml:space="preserve">) </w:t>
      </w:r>
      <w:r w:rsidRPr="00101F8D">
        <w:t>skaidrojums papildināts ar</w:t>
      </w:r>
      <w:r>
        <w:t xml:space="preserve"> vārdiem</w:t>
      </w:r>
      <w:r w:rsidRPr="00101F8D">
        <w:t xml:space="preserve"> „medicīna un radošās industrijas”.</w:t>
      </w:r>
    </w:p>
  </w:footnote>
  <w:footnote w:id="20">
    <w:p w:rsidR="005738A3" w:rsidRDefault="005738A3">
      <w:pPr>
        <w:pStyle w:val="FootnoteText"/>
      </w:pPr>
      <w:r>
        <w:rPr>
          <w:rStyle w:val="FootnoteReference"/>
        </w:rPr>
        <w:footnoteRef/>
      </w:r>
      <w:r>
        <w:t xml:space="preserve"> Radošo industriju izglītības jomas definētas, ņemot vērā termina „radošās industrijas” sniegto skaidrojumu Kultūrpolitikas pamatnostādnēs 2014.-2020.gadam „Radošā Latvija” (2.pielikumā) un izvērtējot tā atbilstību pret </w:t>
      </w:r>
      <w:r w:rsidRPr="00BE3D95">
        <w:t>MK 02.12.2008. noteikumu Nr.990 „Noteikumi par Latvijas izglītības klasifikāciju” (2.pielikumā) ietverto studiju programmu klasifikāciju izglītības tematiskajās grupās un tematiskajās jomās</w:t>
      </w:r>
      <w:r>
        <w:t>.</w:t>
      </w:r>
    </w:p>
  </w:footnote>
  <w:footnote w:id="21">
    <w:p w:rsidR="005738A3" w:rsidRDefault="005738A3" w:rsidP="00D42476">
      <w:pPr>
        <w:pStyle w:val="FootnoteText"/>
      </w:pPr>
      <w:r>
        <w:rPr>
          <w:rStyle w:val="FootnoteReference"/>
        </w:rPr>
        <w:footnoteRef/>
      </w:r>
      <w:r>
        <w:t xml:space="preserve"> </w:t>
      </w:r>
      <w:r w:rsidRPr="00F72421">
        <w:t>Latvijas Nacionālais attīstības plāns 2014. – 2020. gadam, apstiprināts 2012.gada 20.decembrī</w:t>
      </w:r>
    </w:p>
    <w:p w:rsidR="005738A3" w:rsidRDefault="005738A3" w:rsidP="00D42476">
      <w:pPr>
        <w:pStyle w:val="FootnoteText"/>
      </w:pPr>
    </w:p>
  </w:footnote>
  <w:footnote w:id="22">
    <w:p w:rsidR="005738A3" w:rsidRPr="00F536D8" w:rsidRDefault="005738A3" w:rsidP="00D42476">
      <w:pPr>
        <w:rPr>
          <w:sz w:val="20"/>
        </w:rPr>
      </w:pPr>
      <w:r>
        <w:rPr>
          <w:rStyle w:val="FootnoteReference"/>
        </w:rPr>
        <w:footnoteRef/>
      </w:r>
      <w:r>
        <w:t xml:space="preserve"> </w:t>
      </w:r>
      <w:hyperlink r:id="rId7" w:history="1">
        <w:r w:rsidRPr="00F536D8">
          <w:rPr>
            <w:rStyle w:val="Hyperlink"/>
            <w:sz w:val="20"/>
          </w:rPr>
          <w:t>http://www.aip.lv/ESF_par_projektu.htm</w:t>
        </w:r>
      </w:hyperlink>
    </w:p>
    <w:p w:rsidR="005738A3" w:rsidRDefault="005738A3" w:rsidP="00D42476">
      <w:pPr>
        <w:pStyle w:val="FootnoteText"/>
      </w:pPr>
    </w:p>
  </w:footnote>
  <w:footnote w:id="23">
    <w:p w:rsidR="005738A3" w:rsidRPr="00C06916" w:rsidRDefault="005738A3" w:rsidP="00204617">
      <w:pPr>
        <w:tabs>
          <w:tab w:val="left" w:pos="7088"/>
        </w:tabs>
        <w:rPr>
          <w:sz w:val="20"/>
        </w:rPr>
      </w:pPr>
      <w:r>
        <w:rPr>
          <w:rStyle w:val="FootnoteReference"/>
        </w:rPr>
        <w:footnoteRef/>
      </w:r>
      <w:r>
        <w:t xml:space="preserve"> </w:t>
      </w:r>
      <w:r w:rsidRPr="002F4DDE">
        <w:rPr>
          <w:sz w:val="20"/>
        </w:rPr>
        <w:t>Informatīvais ziņojums „</w:t>
      </w:r>
      <w:r w:rsidRPr="00C06916">
        <w:rPr>
          <w:sz w:val="20"/>
        </w:rPr>
        <w:t>Par paveikto Izglītības un zinātnes ministrijas padotībā esošo profesionālās izglītības iestāžu tīkla optimizācijā un resursu efektīvā izmantošanā, turpinot strukturālās reformas</w:t>
      </w:r>
      <w:r>
        <w:rPr>
          <w:sz w:val="20"/>
        </w:rPr>
        <w:t xml:space="preserve"> </w:t>
      </w:r>
      <w:r w:rsidRPr="00C06916">
        <w:rPr>
          <w:sz w:val="20"/>
        </w:rPr>
        <w:t>laika posmā no 2013.gada 1.janvāra līdz 2014.gada 30.jūnijam</w:t>
      </w:r>
      <w:r w:rsidRPr="002F4DDE">
        <w:rPr>
          <w:sz w:val="20"/>
        </w:rPr>
        <w:t>”</w:t>
      </w:r>
      <w:r>
        <w:rPr>
          <w:sz w:val="20"/>
        </w:rPr>
        <w:t xml:space="preserve"> (izskatīts MK 19.08.2014.)</w:t>
      </w:r>
    </w:p>
  </w:footnote>
  <w:footnote w:id="24">
    <w:p w:rsidR="005738A3" w:rsidRDefault="005738A3" w:rsidP="00204617">
      <w:pPr>
        <w:pStyle w:val="FootnoteText"/>
      </w:pPr>
      <w:r>
        <w:rPr>
          <w:rStyle w:val="FootnoteReference"/>
        </w:rPr>
        <w:footnoteRef/>
      </w:r>
      <w:r>
        <w:t xml:space="preserve"> </w:t>
      </w:r>
      <w:r w:rsidRPr="0049296A">
        <w:t>Profesionālās izglītības iestāžu pievienošana koledžām ir atkarīga ne tikai no profesionālās izglītības iestāžu īsteno</w:t>
      </w:r>
      <w:r>
        <w:t>to</w:t>
      </w:r>
      <w:r w:rsidRPr="0049296A">
        <w:t xml:space="preserve"> profesionālās vidējās izglītības programmu veida un skaita, bet arī pirmā līmeņa profesionālās augstākās izglītības (koledžas izglītības) studiju programmu veida un skaita. Tā kā Profesionālās izglītības likuma 16.panta trešajā daļā, noteikts, ka koledžās augstākās pakāpes izglītības programmu īpatsvaram ir jābūt ne mazākam par 30%, tad koledžai, pievienojot profesionālās izglītības iestādi ar noteiktu profesionālās izglītības programmu skaitu, ir jādomā par jaunu, darba tirgum nepieciešamu pirmā līmeņa profesionālās augstākās izglītības studiju programmu izveidošanu un īstenošanu, lai ievērotu iepriekš minēto Profesionālās izglītības likumā noteikto prasību par programmu īpatsvaru un saglabātu koledžas statusu.</w:t>
      </w:r>
    </w:p>
  </w:footnote>
  <w:footnote w:id="25">
    <w:p w:rsidR="005738A3" w:rsidRDefault="005738A3" w:rsidP="00D42476">
      <w:pPr>
        <w:pStyle w:val="FootnoteText"/>
      </w:pPr>
      <w:r>
        <w:rPr>
          <w:rStyle w:val="FootnoteReference"/>
        </w:rPr>
        <w:footnoteRef/>
      </w:r>
      <w:r>
        <w:t xml:space="preserve"> </w:t>
      </w:r>
      <w:r w:rsidRPr="00AD5682">
        <w:t>http://polsis.mk.gov.lv/LoadAtt/file39192.pdf</w:t>
      </w:r>
    </w:p>
  </w:footnote>
  <w:footnote w:id="26">
    <w:p w:rsidR="005738A3" w:rsidRDefault="005738A3" w:rsidP="00D42476">
      <w:pPr>
        <w:pStyle w:val="FootnoteText"/>
      </w:pPr>
      <w:r>
        <w:rPr>
          <w:rStyle w:val="FootnoteReference"/>
        </w:rPr>
        <w:footnoteRef/>
      </w:r>
      <w:r>
        <w:t xml:space="preserve"> </w:t>
      </w:r>
      <w:r w:rsidRPr="00AD5682">
        <w:t>http://polsis.mk.gov.lv/LoadAtt/file39192.pdf</w:t>
      </w:r>
    </w:p>
  </w:footnote>
  <w:footnote w:id="27">
    <w:p w:rsidR="005738A3" w:rsidRDefault="005738A3">
      <w:pPr>
        <w:pStyle w:val="FootnoteText"/>
      </w:pPr>
      <w:r>
        <w:rPr>
          <w:rStyle w:val="FootnoteReference"/>
        </w:rPr>
        <w:footnoteRef/>
      </w:r>
      <w:r>
        <w:t xml:space="preserve"> </w:t>
      </w:r>
      <w:r w:rsidRPr="001350B8">
        <w:t xml:space="preserve">Rīgas Celtniecības koledža, </w:t>
      </w:r>
      <w:r>
        <w:t>PIKC</w:t>
      </w:r>
      <w:r w:rsidRPr="001350B8">
        <w:t xml:space="preserve"> „Rīgas Tehniskā koledža”, Olaines Mehānikas un tehnoloģijas koledža, Liepājas Jūrniecības koledža, Jēkabpils </w:t>
      </w:r>
      <w:proofErr w:type="spellStart"/>
      <w:r w:rsidRPr="001350B8">
        <w:t>Agrobiznesa</w:t>
      </w:r>
      <w:proofErr w:type="spellEnd"/>
      <w:r w:rsidRPr="001350B8">
        <w:t xml:space="preserve"> koledža, Malnavas koledža, Daugavpils medicīnas koledža, LU P.Stradiņa medicīnas koledža, LU Rīgas Medicīnas koledža, Rīgas 1.medicīnas koledža</w:t>
      </w:r>
    </w:p>
  </w:footnote>
  <w:footnote w:id="28">
    <w:p w:rsidR="005738A3" w:rsidRPr="006A6930" w:rsidRDefault="005738A3" w:rsidP="00D42476">
      <w:pPr>
        <w:autoSpaceDE w:val="0"/>
        <w:autoSpaceDN w:val="0"/>
        <w:adjustRightInd w:val="0"/>
        <w:spacing w:after="120"/>
        <w:rPr>
          <w:sz w:val="20"/>
        </w:rPr>
      </w:pPr>
      <w:r w:rsidRPr="006A6930">
        <w:rPr>
          <w:rStyle w:val="FootnoteReference"/>
          <w:sz w:val="20"/>
        </w:rPr>
        <w:footnoteRef/>
      </w:r>
      <w:r w:rsidRPr="006A6930">
        <w:rPr>
          <w:sz w:val="20"/>
        </w:rPr>
        <w:t xml:space="preserve"> </w:t>
      </w:r>
      <w:hyperlink r:id="rId8" w:history="1">
        <w:r w:rsidRPr="006A6930">
          <w:rPr>
            <w:rStyle w:val="Hyperlink"/>
            <w:sz w:val="20"/>
          </w:rPr>
          <w:t>http://www.izm.gov.lv/images/izglitiba_augst/06.pdf</w:t>
        </w:r>
      </w:hyperlink>
    </w:p>
  </w:footnote>
  <w:footnote w:id="29">
    <w:p w:rsidR="005738A3" w:rsidRDefault="005738A3" w:rsidP="00D42476">
      <w:pPr>
        <w:pStyle w:val="FootnoteText"/>
      </w:pPr>
      <w:r>
        <w:rPr>
          <w:rStyle w:val="FootnoteReference"/>
        </w:rPr>
        <w:footnoteRef/>
      </w:r>
      <w:r>
        <w:t xml:space="preserve"> </w:t>
      </w:r>
      <w:r w:rsidRPr="00F4509A">
        <w:t>http://likumi.lv/ta/id/274944-par-jauna-augstakas-izglitibas-finansesanas-modela-ieviesanu-latvija</w:t>
      </w:r>
    </w:p>
  </w:footnote>
  <w:footnote w:id="30">
    <w:p w:rsidR="005738A3" w:rsidRDefault="005738A3" w:rsidP="00D42476">
      <w:pPr>
        <w:pStyle w:val="FootnoteText"/>
      </w:pPr>
      <w:r>
        <w:rPr>
          <w:rStyle w:val="FootnoteReference"/>
        </w:rPr>
        <w:footnoteRef/>
      </w:r>
      <w:r>
        <w:t xml:space="preserve"> </w:t>
      </w:r>
      <w:r w:rsidRPr="009D5BB6">
        <w:t>http://polsis.mk.gov.lv/docSearch.do?searchtype=ows&amp;clearnav=true</w:t>
      </w:r>
    </w:p>
  </w:footnote>
  <w:footnote w:id="31">
    <w:p w:rsidR="005738A3" w:rsidRPr="002D23B1" w:rsidRDefault="005738A3" w:rsidP="003A26C6">
      <w:pPr>
        <w:pStyle w:val="FootnoteText"/>
      </w:pPr>
      <w:r>
        <w:rPr>
          <w:rStyle w:val="FootnoteReference"/>
        </w:rPr>
        <w:footnoteRef/>
      </w:r>
      <w:r>
        <w:t xml:space="preserve"> </w:t>
      </w:r>
      <w:r w:rsidRPr="00BC5E09">
        <w:rPr>
          <w:bCs/>
          <w:szCs w:val="24"/>
          <w:lang w:eastAsia="lv-LV"/>
        </w:rPr>
        <w:t xml:space="preserve">Ministru kabineta </w:t>
      </w:r>
      <w:r w:rsidRPr="00B524B2">
        <w:rPr>
          <w:szCs w:val="24"/>
          <w:lang w:eastAsia="lv-LV"/>
        </w:rPr>
        <w:t>2009.gada 24.marta</w:t>
      </w:r>
      <w:r w:rsidRPr="00BC5E09">
        <w:rPr>
          <w:szCs w:val="24"/>
          <w:lang w:eastAsia="lv-LV"/>
        </w:rPr>
        <w:t xml:space="preserve"> </w:t>
      </w:r>
      <w:r w:rsidRPr="00BC5E09">
        <w:rPr>
          <w:bCs/>
          <w:szCs w:val="24"/>
          <w:lang w:eastAsia="lv-LV"/>
        </w:rPr>
        <w:t>noteikumi Nr.265</w:t>
      </w:r>
      <w:r w:rsidRPr="00B524B2">
        <w:rPr>
          <w:szCs w:val="24"/>
          <w:lang w:eastAsia="lv-LV"/>
        </w:rPr>
        <w:t xml:space="preserve"> </w:t>
      </w:r>
      <w:r w:rsidRPr="00B524B2">
        <w:rPr>
          <w:bCs/>
          <w:szCs w:val="24"/>
          <w:lang w:eastAsia="lv-LV"/>
        </w:rPr>
        <w:t>„</w:t>
      </w:r>
      <w:r w:rsidRPr="00BC5E09">
        <w:rPr>
          <w:bCs/>
          <w:szCs w:val="24"/>
          <w:lang w:eastAsia="lv-LV"/>
        </w:rPr>
        <w:t>Not</w:t>
      </w:r>
      <w:r w:rsidRPr="00B524B2">
        <w:rPr>
          <w:bCs/>
          <w:szCs w:val="24"/>
          <w:lang w:eastAsia="lv-LV"/>
        </w:rPr>
        <w:t>eikumi</w:t>
      </w:r>
      <w:r>
        <w:rPr>
          <w:bCs/>
          <w:szCs w:val="24"/>
          <w:lang w:eastAsia="lv-LV"/>
        </w:rPr>
        <w:t xml:space="preserve"> par </w:t>
      </w:r>
      <w:r w:rsidRPr="002D23B1">
        <w:rPr>
          <w:iCs/>
        </w:rPr>
        <w:t xml:space="preserve">darbības </w:t>
      </w:r>
      <w:r w:rsidRPr="002D23B1">
        <w:rPr>
          <w:bCs/>
          <w:lang w:eastAsia="lv-LV"/>
        </w:rPr>
        <w:t xml:space="preserve">programmas „Infrastruktūra un pakalpojumi” papildinājuma </w:t>
      </w:r>
      <w:r w:rsidRPr="002D23B1">
        <w:t>3.1.prioritātes „Infrastruktūra cilvēku kapitāla nostiprināšanai” 3.1.2.pasākuma „Augstākās izglītības infrastruktūra” 3.1.2.1.aktivitātes „Augstākās izglītības iestāžu telpu un iekārtu modernizēšana, tajā skaitā nodrošinot izglītības programmu apgūšanas iespējas arī personām ar funkcionāliem traucējumiem”</w:t>
      </w:r>
      <w:r w:rsidRPr="002D23B1">
        <w:rPr>
          <w:bCs/>
          <w:lang w:eastAsia="lv-LV"/>
        </w:rPr>
        <w:t xml:space="preserve"> </w:t>
      </w:r>
      <w:r w:rsidRPr="00B06725">
        <w:rPr>
          <w:bCs/>
          <w:lang w:eastAsia="lv-LV"/>
        </w:rPr>
        <w:t>3.1.2.1.1.</w:t>
      </w:r>
      <w:r w:rsidRPr="002D23B1">
        <w:rPr>
          <w:bCs/>
          <w:lang w:eastAsia="lv-LV"/>
        </w:rPr>
        <w:t xml:space="preserve"> </w:t>
      </w:r>
      <w:proofErr w:type="spellStart"/>
      <w:r w:rsidRPr="002D23B1">
        <w:rPr>
          <w:bCs/>
          <w:lang w:eastAsia="lv-LV"/>
        </w:rPr>
        <w:t>apakšaktivitāti</w:t>
      </w:r>
      <w:proofErr w:type="spellEnd"/>
      <w:r w:rsidRPr="002D23B1">
        <w:rPr>
          <w:bCs/>
          <w:lang w:eastAsia="lv-LV"/>
        </w:rPr>
        <w:t xml:space="preserve"> „Augstākās izglītības iestāžu telpu un iekārtu modernizēšana studiju programmu kvalitātes uzlabošanai, tajā skaitā nodrošinot izglītības programmu apgūšanas iespējas arī personām ar funkcionāliem traucējumiem””</w:t>
      </w:r>
    </w:p>
  </w:footnote>
  <w:footnote w:id="32">
    <w:p w:rsidR="005738A3" w:rsidRPr="008A5472" w:rsidRDefault="005738A3" w:rsidP="001A4E91">
      <w:pPr>
        <w:pStyle w:val="FootnoteText"/>
        <w:rPr>
          <w:b/>
        </w:rPr>
      </w:pPr>
      <w:r>
        <w:rPr>
          <w:rStyle w:val="FootnoteReference"/>
        </w:rPr>
        <w:footnoteRef/>
      </w:r>
      <w:r>
        <w:t xml:space="preserve"> Ministru kabineta 2010.</w:t>
      </w:r>
      <w:r w:rsidRPr="008A5472">
        <w:t>gada 5. janvāra noteikumi Nr. 1</w:t>
      </w:r>
      <w:r w:rsidRPr="008A5472">
        <w:rPr>
          <w:b/>
        </w:rPr>
        <w:t xml:space="preserve"> </w:t>
      </w:r>
      <w:hyperlink r:id="rId9" w:tgtFrame="_blank" w:history="1">
        <w:r w:rsidRPr="008A5472">
          <w:rPr>
            <w:rStyle w:val="Strong"/>
            <w:b w:val="0"/>
          </w:rPr>
          <w:t>"Klimata pārmaiņu finanšu instrumenta finansēto projektu atklāta konkursa "Energoefektivitātes paaugstināšana augstākās izglītības iestāžu ēkās" nolikums"</w:t>
        </w:r>
      </w:hyperlink>
    </w:p>
  </w:footnote>
  <w:footnote w:id="33">
    <w:p w:rsidR="005738A3" w:rsidRDefault="005738A3" w:rsidP="001A4E91">
      <w:pPr>
        <w:pStyle w:val="FootnoteText"/>
      </w:pPr>
      <w:r>
        <w:rPr>
          <w:rStyle w:val="FootnoteReference"/>
        </w:rPr>
        <w:footnoteRef/>
      </w:r>
      <w:r>
        <w:t xml:space="preserve"> </w:t>
      </w:r>
      <w:r w:rsidRPr="008A5472">
        <w:t>Ministru kabineta 201</w:t>
      </w:r>
      <w:r>
        <w:t>1.</w:t>
      </w:r>
      <w:r w:rsidRPr="008A5472">
        <w:t xml:space="preserve">gada </w:t>
      </w:r>
      <w:r>
        <w:t>4.</w:t>
      </w:r>
      <w:r w:rsidRPr="008A5472">
        <w:t xml:space="preserve">janvāra noteikumi Nr. </w:t>
      </w:r>
      <w:r>
        <w:t>1</w:t>
      </w:r>
      <w:r w:rsidRPr="008A5472">
        <w:t>1</w:t>
      </w:r>
      <w:r w:rsidRPr="008A5472">
        <w:rPr>
          <w:b/>
        </w:rPr>
        <w:t xml:space="preserve"> </w:t>
      </w:r>
      <w:hyperlink r:id="rId10" w:tgtFrame="_blank" w:history="1">
        <w:r w:rsidRPr="007402CB">
          <w:rPr>
            <w:bCs/>
          </w:rPr>
          <w:t>"</w:t>
        </w:r>
        <w:r w:rsidRPr="007402CB">
          <w:t>Klimata pārmaiņu finanšu instrumenta finansēto projektu atklāta konkursa "Atjaunojamo energoresursu izmantošana siltumnīcefekta gāzu emisiju samazināšanai" nolikums</w:t>
        </w:r>
        <w:r w:rsidRPr="007402CB">
          <w:rPr>
            <w:bCs/>
          </w:rPr>
          <w:t>"</w:t>
        </w:r>
      </w:hyperlink>
    </w:p>
  </w:footnote>
  <w:footnote w:id="34">
    <w:p w:rsidR="005738A3" w:rsidRDefault="005738A3">
      <w:pPr>
        <w:pStyle w:val="FootnoteText"/>
      </w:pPr>
      <w:r>
        <w:rPr>
          <w:rStyle w:val="FootnoteReference"/>
        </w:rPr>
        <w:footnoteRef/>
      </w:r>
      <w:r>
        <w:t xml:space="preserve"> </w:t>
      </w:r>
      <w:r w:rsidRPr="004B0283">
        <w:t>Ministru kabineta 2012.gada 14.augusta noteikumi Nr.559 „Klimata pārmaiņu finanšu instrumenta finansēto projektu atklāta konkursa „Kompleksi risinājumi siltumnīcefekta gāzu emisiju samazināšanai” nolikums”</w:t>
      </w:r>
    </w:p>
  </w:footnote>
  <w:footnote w:id="35">
    <w:p w:rsidR="005738A3" w:rsidRDefault="005738A3">
      <w:pPr>
        <w:pStyle w:val="FootnoteText"/>
      </w:pPr>
      <w:r>
        <w:rPr>
          <w:rStyle w:val="FootnoteReference"/>
        </w:rPr>
        <w:footnoteRef/>
      </w:r>
      <w:r>
        <w:t xml:space="preserve"> </w:t>
      </w:r>
      <w:r w:rsidRPr="004B0283">
        <w:t>Ministru kabineta 201</w:t>
      </w:r>
      <w:r>
        <w:t>0</w:t>
      </w:r>
      <w:r w:rsidRPr="004B0283">
        <w:t xml:space="preserve">.gada </w:t>
      </w:r>
      <w:r>
        <w:t>5</w:t>
      </w:r>
      <w:r w:rsidRPr="004B0283">
        <w:t>.</w:t>
      </w:r>
      <w:r>
        <w:t>maija</w:t>
      </w:r>
      <w:r w:rsidRPr="004B0283">
        <w:t xml:space="preserve"> noteikumi Nr.</w:t>
      </w:r>
      <w:r>
        <w:t>417</w:t>
      </w:r>
      <w:r w:rsidRPr="004B0283">
        <w:t xml:space="preserve"> „</w:t>
      </w:r>
      <w:r w:rsidRPr="004F2012">
        <w:t>Klimata pārmaiņu finanšu instrumenta finansēto projektu atklāta konkursa "Kompleksi risinājumi siltumnīcefekta gāzu emisiju samazināšanai valsts un pašvaldību profesionālās izglītības iestāžu ēkās" nolikums</w:t>
      </w:r>
      <w:r w:rsidRPr="004B0283">
        <w:t>”</w:t>
      </w:r>
    </w:p>
  </w:footnote>
  <w:footnote w:id="36">
    <w:p w:rsidR="005738A3" w:rsidRDefault="005738A3">
      <w:pPr>
        <w:pStyle w:val="FootnoteText"/>
      </w:pPr>
      <w:r>
        <w:rPr>
          <w:rStyle w:val="FootnoteReference"/>
        </w:rPr>
        <w:footnoteRef/>
      </w:r>
      <w:r>
        <w:t xml:space="preserve"> </w:t>
      </w:r>
      <w:r w:rsidRPr="00EE5762">
        <w:t>http://www.varam.gov.lv/lat/fondi/ets/</w:t>
      </w:r>
    </w:p>
  </w:footnote>
  <w:footnote w:id="37">
    <w:p w:rsidR="005738A3" w:rsidRDefault="005738A3">
      <w:pPr>
        <w:pStyle w:val="FootnoteText"/>
      </w:pPr>
      <w:r>
        <w:rPr>
          <w:rStyle w:val="FootnoteReference"/>
        </w:rPr>
        <w:footnoteRef/>
      </w:r>
      <w:r>
        <w:t xml:space="preserve"> Sk. sākotnējā novērtējuma 3.pielikuma </w:t>
      </w:r>
      <w:r w:rsidRPr="00704572">
        <w:t>2.sadaļu „3.1.2.1.1.apakšaktivitātes ietvaros īstenotie koledžu projekti”</w:t>
      </w:r>
      <w:r>
        <w:t>.</w:t>
      </w:r>
    </w:p>
  </w:footnote>
  <w:footnote w:id="38">
    <w:p w:rsidR="005738A3" w:rsidRDefault="005738A3">
      <w:pPr>
        <w:pStyle w:val="FootnoteText"/>
      </w:pPr>
      <w:r>
        <w:rPr>
          <w:rStyle w:val="FootnoteReference"/>
        </w:rPr>
        <w:footnoteRef/>
      </w:r>
      <w:r>
        <w:t xml:space="preserve"> Prioritārie virzieni tika noteikti </w:t>
      </w:r>
      <w:r w:rsidRPr="00BC5E09">
        <w:rPr>
          <w:bCs/>
          <w:szCs w:val="24"/>
          <w:lang w:eastAsia="lv-LV"/>
        </w:rPr>
        <w:t xml:space="preserve">Ministru kabineta </w:t>
      </w:r>
      <w:r w:rsidRPr="00B524B2">
        <w:rPr>
          <w:szCs w:val="24"/>
          <w:lang w:eastAsia="lv-LV"/>
        </w:rPr>
        <w:t>2009.gada 24.marta</w:t>
      </w:r>
      <w:r w:rsidRPr="00BC5E09">
        <w:rPr>
          <w:szCs w:val="24"/>
          <w:lang w:eastAsia="lv-LV"/>
        </w:rPr>
        <w:t xml:space="preserve"> </w:t>
      </w:r>
      <w:r>
        <w:rPr>
          <w:bCs/>
          <w:szCs w:val="24"/>
          <w:lang w:eastAsia="lv-LV"/>
        </w:rPr>
        <w:t>noteikumu</w:t>
      </w:r>
      <w:r w:rsidRPr="00BC5E09">
        <w:rPr>
          <w:bCs/>
          <w:szCs w:val="24"/>
          <w:lang w:eastAsia="lv-LV"/>
        </w:rPr>
        <w:t xml:space="preserve"> Nr.265</w:t>
      </w:r>
      <w:r w:rsidRPr="00B524B2">
        <w:rPr>
          <w:szCs w:val="24"/>
          <w:lang w:eastAsia="lv-LV"/>
        </w:rPr>
        <w:t xml:space="preserve"> </w:t>
      </w:r>
      <w:r w:rsidRPr="00B524B2">
        <w:rPr>
          <w:bCs/>
          <w:szCs w:val="24"/>
          <w:lang w:eastAsia="lv-LV"/>
        </w:rPr>
        <w:t>„</w:t>
      </w:r>
      <w:r w:rsidRPr="00BC5E09">
        <w:rPr>
          <w:bCs/>
          <w:szCs w:val="24"/>
          <w:lang w:eastAsia="lv-LV"/>
        </w:rPr>
        <w:t>Not</w:t>
      </w:r>
      <w:r w:rsidRPr="00B524B2">
        <w:rPr>
          <w:bCs/>
          <w:szCs w:val="24"/>
          <w:lang w:eastAsia="lv-LV"/>
        </w:rPr>
        <w:t>eikumi</w:t>
      </w:r>
      <w:r>
        <w:rPr>
          <w:bCs/>
          <w:szCs w:val="24"/>
          <w:lang w:eastAsia="lv-LV"/>
        </w:rPr>
        <w:t xml:space="preserve"> par </w:t>
      </w:r>
      <w:r w:rsidRPr="002D23B1">
        <w:rPr>
          <w:iCs/>
        </w:rPr>
        <w:t xml:space="preserve">darbības </w:t>
      </w:r>
      <w:r w:rsidRPr="002D23B1">
        <w:rPr>
          <w:bCs/>
          <w:lang w:eastAsia="lv-LV"/>
        </w:rPr>
        <w:t xml:space="preserve">programmas „Infrastruktūra un pakalpojumi” papildinājuma </w:t>
      </w:r>
      <w:r w:rsidRPr="002D23B1">
        <w:t>3.1.prioritātes „Infrastruktūra cilvēku kapitāla nostiprināšanai” 3.1.2.pasākuma „Augstākās izglītības infrastruktūra” 3.1.2.1.aktivitātes „Augstākās izglītības iestāžu telpu un iekārtu modernizēšana, tajā skaitā nodrošinot izglītības programmu apgūšanas iespējas arī personām ar funkcionāliem traucējumiem”</w:t>
      </w:r>
      <w:r w:rsidRPr="002D23B1">
        <w:rPr>
          <w:bCs/>
          <w:lang w:eastAsia="lv-LV"/>
        </w:rPr>
        <w:t xml:space="preserve"> </w:t>
      </w:r>
      <w:r w:rsidRPr="00B06725">
        <w:rPr>
          <w:bCs/>
          <w:lang w:eastAsia="lv-LV"/>
        </w:rPr>
        <w:t>3.1.2.1.1.</w:t>
      </w:r>
      <w:r w:rsidRPr="002D23B1">
        <w:rPr>
          <w:bCs/>
          <w:lang w:eastAsia="lv-LV"/>
        </w:rPr>
        <w:t xml:space="preserve"> </w:t>
      </w:r>
      <w:proofErr w:type="spellStart"/>
      <w:r w:rsidRPr="002D23B1">
        <w:rPr>
          <w:bCs/>
          <w:lang w:eastAsia="lv-LV"/>
        </w:rPr>
        <w:t>apakšaktivitāti</w:t>
      </w:r>
      <w:proofErr w:type="spellEnd"/>
      <w:r w:rsidRPr="002D23B1">
        <w:rPr>
          <w:bCs/>
          <w:lang w:eastAsia="lv-LV"/>
        </w:rPr>
        <w:t xml:space="preserve"> „Augstākās izglītības iestāžu telpu un iekārtu modernizēšana studiju programmu kvalitātes uzlabošanai, tajā skaitā nodrošinot izglītības programmu apgūšanas iespējas arī personām ar funkcionāliem traucējumiem””</w:t>
      </w:r>
      <w:r>
        <w:t xml:space="preserve"> 38.16.apakšpunktā.</w:t>
      </w:r>
    </w:p>
  </w:footnote>
  <w:footnote w:id="39">
    <w:p w:rsidR="005738A3" w:rsidRDefault="005738A3" w:rsidP="008C0EB3">
      <w:pPr>
        <w:pStyle w:val="FootnoteText"/>
      </w:pPr>
      <w:r>
        <w:rPr>
          <w:rStyle w:val="FootnoteReference"/>
        </w:rPr>
        <w:footnoteRef/>
      </w:r>
      <w:r w:rsidRPr="00926D3A">
        <w:t xml:space="preserve"> </w:t>
      </w:r>
      <w:r>
        <w:t>2007./2008. akadēmiskajā gadā.</w:t>
      </w:r>
    </w:p>
  </w:footnote>
  <w:footnote w:id="40">
    <w:p w:rsidR="005738A3" w:rsidRDefault="005738A3" w:rsidP="008C0EB3">
      <w:pPr>
        <w:pStyle w:val="FootnoteText"/>
      </w:pPr>
      <w:r>
        <w:rPr>
          <w:rStyle w:val="FootnoteReference"/>
        </w:rPr>
        <w:footnoteRef/>
      </w:r>
      <w:r w:rsidRPr="00926D3A">
        <w:t xml:space="preserve"> </w:t>
      </w:r>
      <w:r>
        <w:t>2006./2007. akadēmiskajā gadā.</w:t>
      </w:r>
    </w:p>
  </w:footnote>
  <w:footnote w:id="41">
    <w:p w:rsidR="005738A3" w:rsidRDefault="005738A3" w:rsidP="008C0EB3">
      <w:pPr>
        <w:pStyle w:val="FootnoteText"/>
      </w:pPr>
      <w:r>
        <w:rPr>
          <w:rStyle w:val="FootnoteReference"/>
        </w:rPr>
        <w:footnoteRef/>
      </w:r>
      <w:r w:rsidRPr="00926D3A">
        <w:t xml:space="preserve"> </w:t>
      </w:r>
      <w:r>
        <w:t>2007./2008. akadēmiskajā gadā.</w:t>
      </w:r>
    </w:p>
  </w:footnote>
  <w:footnote w:id="42">
    <w:p w:rsidR="005738A3" w:rsidRDefault="005738A3">
      <w:pPr>
        <w:pStyle w:val="FootnoteText"/>
      </w:pPr>
      <w:r>
        <w:rPr>
          <w:rStyle w:val="FootnoteReference"/>
        </w:rPr>
        <w:footnoteRef/>
      </w:r>
      <w:r>
        <w:t xml:space="preserve"> Darbības programmas „Infrastruktūra un pakalpojumi” papildinājums, </w:t>
      </w:r>
      <w:r w:rsidRPr="003D2C5E">
        <w:t>http://www.esfondi.lv/page.php?id=548</w:t>
      </w:r>
    </w:p>
  </w:footnote>
  <w:footnote w:id="43">
    <w:p w:rsidR="005738A3" w:rsidRDefault="005738A3">
      <w:pPr>
        <w:pStyle w:val="FootnoteText"/>
      </w:pPr>
      <w:r>
        <w:rPr>
          <w:rStyle w:val="FootnoteReference"/>
        </w:rPr>
        <w:footnoteRef/>
      </w:r>
      <w:r>
        <w:t xml:space="preserve"> Sk. sākotnējā novērtējuma 3.pielikuma </w:t>
      </w:r>
      <w:r w:rsidRPr="005D65AC">
        <w:t>2.sadaļu „3.1.2.1.1.apakšaktivitātes ietvaros īstenotie koledžu projekti” (2.izklājlapa)</w:t>
      </w:r>
      <w:r>
        <w:t>.</w:t>
      </w:r>
    </w:p>
  </w:footnote>
  <w:footnote w:id="44">
    <w:p w:rsidR="005738A3" w:rsidRDefault="005738A3">
      <w:pPr>
        <w:pStyle w:val="FootnoteText"/>
      </w:pPr>
      <w:r>
        <w:rPr>
          <w:rStyle w:val="FootnoteReference"/>
        </w:rPr>
        <w:footnoteRef/>
      </w:r>
      <w:r>
        <w:t xml:space="preserve"> Sk. </w:t>
      </w:r>
      <w:r w:rsidRPr="00BC5E09">
        <w:rPr>
          <w:bCs/>
          <w:szCs w:val="24"/>
          <w:lang w:eastAsia="lv-LV"/>
        </w:rPr>
        <w:t xml:space="preserve">Ministru kabineta </w:t>
      </w:r>
      <w:r w:rsidRPr="00B524B2">
        <w:rPr>
          <w:szCs w:val="24"/>
          <w:lang w:eastAsia="lv-LV"/>
        </w:rPr>
        <w:t>2009.gada 24.marta</w:t>
      </w:r>
      <w:r w:rsidRPr="00BC5E09">
        <w:rPr>
          <w:szCs w:val="24"/>
          <w:lang w:eastAsia="lv-LV"/>
        </w:rPr>
        <w:t xml:space="preserve"> </w:t>
      </w:r>
      <w:r>
        <w:rPr>
          <w:bCs/>
          <w:szCs w:val="24"/>
          <w:lang w:eastAsia="lv-LV"/>
        </w:rPr>
        <w:t>noteikumu</w:t>
      </w:r>
      <w:r w:rsidRPr="00BC5E09">
        <w:rPr>
          <w:bCs/>
          <w:szCs w:val="24"/>
          <w:lang w:eastAsia="lv-LV"/>
        </w:rPr>
        <w:t xml:space="preserve"> Nr.265</w:t>
      </w:r>
      <w:r w:rsidRPr="00B524B2">
        <w:rPr>
          <w:szCs w:val="24"/>
          <w:lang w:eastAsia="lv-LV"/>
        </w:rPr>
        <w:t xml:space="preserve"> </w:t>
      </w:r>
      <w:r w:rsidRPr="00B524B2">
        <w:rPr>
          <w:bCs/>
          <w:szCs w:val="24"/>
          <w:lang w:eastAsia="lv-LV"/>
        </w:rPr>
        <w:t>„</w:t>
      </w:r>
      <w:r w:rsidRPr="00BC5E09">
        <w:rPr>
          <w:bCs/>
          <w:szCs w:val="24"/>
          <w:lang w:eastAsia="lv-LV"/>
        </w:rPr>
        <w:t>Not</w:t>
      </w:r>
      <w:r w:rsidRPr="00B524B2">
        <w:rPr>
          <w:bCs/>
          <w:szCs w:val="24"/>
          <w:lang w:eastAsia="lv-LV"/>
        </w:rPr>
        <w:t>eikumi</w:t>
      </w:r>
      <w:r>
        <w:rPr>
          <w:bCs/>
          <w:szCs w:val="24"/>
          <w:lang w:eastAsia="lv-LV"/>
        </w:rPr>
        <w:t xml:space="preserve"> par </w:t>
      </w:r>
      <w:r w:rsidRPr="002D23B1">
        <w:rPr>
          <w:iCs/>
        </w:rPr>
        <w:t xml:space="preserve">darbības </w:t>
      </w:r>
      <w:r w:rsidRPr="002D23B1">
        <w:rPr>
          <w:bCs/>
          <w:lang w:eastAsia="lv-LV"/>
        </w:rPr>
        <w:t xml:space="preserve">programmas „Infrastruktūra un pakalpojumi” papildinājuma </w:t>
      </w:r>
      <w:r w:rsidRPr="002D23B1">
        <w:t>3.1.prioritātes „Infrastruktūra cilvēku kapitāla nostiprināšanai” 3.1.2.pasākuma „Augstākās izglītības infrastruktūra” 3.1.2.1.aktivitātes „Augstākās izglītības iestāžu telpu un iekārtu modernizēšana, tajā skaitā nodrošinot izglītības programmu apgūšanas iespējas arī personām ar funkcionāliem traucējumiem”</w:t>
      </w:r>
      <w:r w:rsidRPr="002D23B1">
        <w:rPr>
          <w:bCs/>
          <w:lang w:eastAsia="lv-LV"/>
        </w:rPr>
        <w:t xml:space="preserve"> </w:t>
      </w:r>
      <w:r w:rsidRPr="00B06725">
        <w:rPr>
          <w:bCs/>
          <w:lang w:eastAsia="lv-LV"/>
        </w:rPr>
        <w:t>3.1.2.1.1.</w:t>
      </w:r>
      <w:r w:rsidRPr="002D23B1">
        <w:rPr>
          <w:bCs/>
          <w:lang w:eastAsia="lv-LV"/>
        </w:rPr>
        <w:t xml:space="preserve"> </w:t>
      </w:r>
      <w:proofErr w:type="spellStart"/>
      <w:r w:rsidRPr="002D23B1">
        <w:rPr>
          <w:bCs/>
          <w:lang w:eastAsia="lv-LV"/>
        </w:rPr>
        <w:t>apakšaktivitāti</w:t>
      </w:r>
      <w:proofErr w:type="spellEnd"/>
      <w:r w:rsidRPr="002D23B1">
        <w:rPr>
          <w:bCs/>
          <w:lang w:eastAsia="lv-LV"/>
        </w:rPr>
        <w:t xml:space="preserve"> „Augstākās izglītības iestāžu telpu un iekārtu modernizēšana studiju programmu kvalitātes uzlabošanai, tajā skaitā nodrošinot izglītības programmu apgūšanas iespējas arī personām ar funkcionāliem traucējumiem””</w:t>
      </w:r>
      <w:r>
        <w:t xml:space="preserve"> 39. un 40.punktu.</w:t>
      </w:r>
    </w:p>
  </w:footnote>
  <w:footnote w:id="45">
    <w:p w:rsidR="005738A3" w:rsidRDefault="005738A3" w:rsidP="00B32741">
      <w:pPr>
        <w:pStyle w:val="FootnoteText"/>
      </w:pPr>
      <w:r>
        <w:rPr>
          <w:rStyle w:val="FootnoteReference"/>
        </w:rPr>
        <w:footnoteRef/>
      </w:r>
      <w:r>
        <w:t xml:space="preserve"> Sk. </w:t>
      </w:r>
      <w:r w:rsidRPr="00BC5E09">
        <w:rPr>
          <w:bCs/>
          <w:szCs w:val="24"/>
          <w:lang w:eastAsia="lv-LV"/>
        </w:rPr>
        <w:t xml:space="preserve">Ministru kabineta </w:t>
      </w:r>
      <w:r w:rsidRPr="00B524B2">
        <w:rPr>
          <w:szCs w:val="24"/>
          <w:lang w:eastAsia="lv-LV"/>
        </w:rPr>
        <w:t>2009.gada 24.marta</w:t>
      </w:r>
      <w:r w:rsidRPr="00BC5E09">
        <w:rPr>
          <w:szCs w:val="24"/>
          <w:lang w:eastAsia="lv-LV"/>
        </w:rPr>
        <w:t xml:space="preserve"> </w:t>
      </w:r>
      <w:r>
        <w:rPr>
          <w:bCs/>
          <w:szCs w:val="24"/>
          <w:lang w:eastAsia="lv-LV"/>
        </w:rPr>
        <w:t>noteikumu</w:t>
      </w:r>
      <w:r w:rsidRPr="00BC5E09">
        <w:rPr>
          <w:bCs/>
          <w:szCs w:val="24"/>
          <w:lang w:eastAsia="lv-LV"/>
        </w:rPr>
        <w:t xml:space="preserve"> Nr.265</w:t>
      </w:r>
      <w:r w:rsidRPr="00B524B2">
        <w:rPr>
          <w:szCs w:val="24"/>
          <w:lang w:eastAsia="lv-LV"/>
        </w:rPr>
        <w:t xml:space="preserve"> </w:t>
      </w:r>
      <w:r w:rsidRPr="00B524B2">
        <w:rPr>
          <w:bCs/>
          <w:szCs w:val="24"/>
          <w:lang w:eastAsia="lv-LV"/>
        </w:rPr>
        <w:t>„</w:t>
      </w:r>
      <w:r w:rsidRPr="00BC5E09">
        <w:rPr>
          <w:bCs/>
          <w:szCs w:val="24"/>
          <w:lang w:eastAsia="lv-LV"/>
        </w:rPr>
        <w:t>Not</w:t>
      </w:r>
      <w:r w:rsidRPr="00B524B2">
        <w:rPr>
          <w:bCs/>
          <w:szCs w:val="24"/>
          <w:lang w:eastAsia="lv-LV"/>
        </w:rPr>
        <w:t>eikumi</w:t>
      </w:r>
      <w:r>
        <w:rPr>
          <w:bCs/>
          <w:szCs w:val="24"/>
          <w:lang w:eastAsia="lv-LV"/>
        </w:rPr>
        <w:t xml:space="preserve"> par </w:t>
      </w:r>
      <w:r w:rsidRPr="002D23B1">
        <w:rPr>
          <w:iCs/>
        </w:rPr>
        <w:t xml:space="preserve">darbības </w:t>
      </w:r>
      <w:r w:rsidRPr="002D23B1">
        <w:rPr>
          <w:bCs/>
          <w:lang w:eastAsia="lv-LV"/>
        </w:rPr>
        <w:t xml:space="preserve">programmas „Infrastruktūra un pakalpojumi” papildinājuma </w:t>
      </w:r>
      <w:r w:rsidRPr="002D23B1">
        <w:t>3.1.prioritātes „Infrastruktūra cilvēku kapitāla nostiprināšanai” 3.1.2.pasākuma „Augstākās izglītības infrastruktūra” 3.1.2.1.aktivitātes „Augstākās izglītības iestāžu telpu un iekārtu modernizēšana, tajā skaitā nodrošinot izglītības programmu apgūšanas iespējas arī personām ar funkcionāliem traucējumiem”</w:t>
      </w:r>
      <w:r w:rsidRPr="002D23B1">
        <w:rPr>
          <w:bCs/>
          <w:lang w:eastAsia="lv-LV"/>
        </w:rPr>
        <w:t xml:space="preserve"> </w:t>
      </w:r>
      <w:r w:rsidRPr="00B06725">
        <w:rPr>
          <w:bCs/>
          <w:lang w:eastAsia="lv-LV"/>
        </w:rPr>
        <w:t>3.1.2.1.1.</w:t>
      </w:r>
      <w:r w:rsidRPr="002D23B1">
        <w:rPr>
          <w:bCs/>
          <w:lang w:eastAsia="lv-LV"/>
        </w:rPr>
        <w:t xml:space="preserve"> </w:t>
      </w:r>
      <w:proofErr w:type="spellStart"/>
      <w:r w:rsidRPr="002D23B1">
        <w:rPr>
          <w:bCs/>
          <w:lang w:eastAsia="lv-LV"/>
        </w:rPr>
        <w:t>apakšaktivitāti</w:t>
      </w:r>
      <w:proofErr w:type="spellEnd"/>
      <w:r w:rsidRPr="002D23B1">
        <w:rPr>
          <w:bCs/>
          <w:lang w:eastAsia="lv-LV"/>
        </w:rPr>
        <w:t xml:space="preserve"> „Augstākās izglītības iestāžu telpu un iekārtu modernizēšana studiju programmu kvalitātes uzlabošanai, tajā skaitā nodrošinot izglītības programmu apgūšanas iespējas arī personām ar funkcionāliem traucējumiem””</w:t>
      </w:r>
      <w:r>
        <w:t xml:space="preserve"> 38.16.4., 39.14.apakšpunktu un 40.punktu.</w:t>
      </w:r>
    </w:p>
  </w:footnote>
  <w:footnote w:id="46">
    <w:p w:rsidR="005738A3" w:rsidRPr="002D23B1" w:rsidRDefault="005738A3" w:rsidP="00DD41AA">
      <w:pPr>
        <w:pStyle w:val="FootnoteText"/>
      </w:pPr>
      <w:r>
        <w:rPr>
          <w:rStyle w:val="FootnoteReference"/>
        </w:rPr>
        <w:footnoteRef/>
      </w:r>
      <w:r>
        <w:t xml:space="preserve"> VIAA dati, </w:t>
      </w:r>
      <w:r w:rsidRPr="00665830">
        <w:t>http://sf.viaa.gov.lv/lat/augstaka_izglitiba/augst_izgl_apakshsad/?tl_id=13936&amp;tls_id=11451</w:t>
      </w:r>
    </w:p>
  </w:footnote>
  <w:footnote w:id="47">
    <w:p w:rsidR="005738A3" w:rsidRDefault="005738A3">
      <w:pPr>
        <w:pStyle w:val="FootnoteText"/>
      </w:pPr>
      <w:r>
        <w:rPr>
          <w:rStyle w:val="FootnoteReference"/>
        </w:rPr>
        <w:footnoteRef/>
      </w:r>
      <w:r>
        <w:t xml:space="preserve"> MK 2010.gada 14.maija rīkojums Nr.265 „</w:t>
      </w:r>
      <w:r w:rsidRPr="00996396">
        <w:t>Par Liepājas medicīnas koledžas pievienošanu Rīgas Stradiņa universitātei</w:t>
      </w:r>
      <w:r>
        <w:t xml:space="preserve">”, </w:t>
      </w:r>
      <w:r w:rsidRPr="00996396">
        <w:t>http://likumi.lv/doc.php?id=210030</w:t>
      </w:r>
    </w:p>
  </w:footnote>
  <w:footnote w:id="48">
    <w:p w:rsidR="005738A3" w:rsidRDefault="005738A3">
      <w:pPr>
        <w:pStyle w:val="FootnoteText"/>
      </w:pPr>
      <w:r>
        <w:rPr>
          <w:rStyle w:val="FootnoteReference"/>
        </w:rPr>
        <w:footnoteRef/>
      </w:r>
      <w:r>
        <w:t xml:space="preserve"> </w:t>
      </w:r>
      <w:r w:rsidRPr="00914EAF">
        <w:t>http://esfinanses.lv/projekti/54093_navigacijas-un-masintelpas-simulatoru-iegade-jurnieku-apmacibai</w:t>
      </w:r>
    </w:p>
  </w:footnote>
  <w:footnote w:id="49">
    <w:p w:rsidR="005738A3" w:rsidRDefault="005738A3">
      <w:pPr>
        <w:pStyle w:val="FootnoteText"/>
      </w:pPr>
      <w:r>
        <w:rPr>
          <w:rStyle w:val="FootnoteReference"/>
        </w:rPr>
        <w:footnoteRef/>
      </w:r>
      <w:r>
        <w:t xml:space="preserve"> </w:t>
      </w:r>
      <w:r w:rsidRPr="00193141">
        <w:t>http://kpfi.lv/index.php?page=par-kpfi-projektu</w:t>
      </w:r>
    </w:p>
  </w:footnote>
  <w:footnote w:id="50">
    <w:p w:rsidR="005738A3" w:rsidRDefault="005738A3">
      <w:pPr>
        <w:pStyle w:val="FootnoteText"/>
      </w:pPr>
      <w:r>
        <w:rPr>
          <w:rStyle w:val="FootnoteReference"/>
        </w:rPr>
        <w:footnoteRef/>
      </w:r>
      <w:r>
        <w:t xml:space="preserve"> LVIF dati</w:t>
      </w:r>
    </w:p>
  </w:footnote>
  <w:footnote w:id="51">
    <w:p w:rsidR="005738A3" w:rsidRDefault="005738A3" w:rsidP="00B36164">
      <w:pPr>
        <w:pStyle w:val="FootnoteText"/>
      </w:pPr>
      <w:r>
        <w:rPr>
          <w:rStyle w:val="FootnoteReference"/>
        </w:rPr>
        <w:footnoteRef/>
      </w:r>
      <w:r>
        <w:t xml:space="preserve"> LVIF dati</w:t>
      </w:r>
      <w:r w:rsidRPr="00B36164">
        <w:t xml:space="preserve"> </w:t>
      </w:r>
    </w:p>
  </w:footnote>
  <w:footnote w:id="52">
    <w:p w:rsidR="005738A3" w:rsidRDefault="005738A3" w:rsidP="00F57FF9">
      <w:pPr>
        <w:pStyle w:val="FootnoteText"/>
      </w:pPr>
      <w:r>
        <w:rPr>
          <w:rStyle w:val="FootnoteReference"/>
        </w:rPr>
        <w:footnoteRef/>
      </w:r>
      <w:r>
        <w:t xml:space="preserve"> LVIF dati</w:t>
      </w:r>
    </w:p>
  </w:footnote>
  <w:footnote w:id="53">
    <w:p w:rsidR="005738A3" w:rsidRDefault="005738A3" w:rsidP="002A5574">
      <w:pPr>
        <w:pStyle w:val="FootnoteText"/>
      </w:pPr>
      <w:r>
        <w:rPr>
          <w:rStyle w:val="FootnoteReference"/>
        </w:rPr>
        <w:footnoteRef/>
      </w:r>
      <w:r>
        <w:t xml:space="preserve"> LVIF dati</w:t>
      </w:r>
    </w:p>
  </w:footnote>
  <w:footnote w:id="54">
    <w:p w:rsidR="005738A3" w:rsidRDefault="005738A3" w:rsidP="00CE4641">
      <w:pPr>
        <w:pStyle w:val="FootnoteText"/>
      </w:pPr>
      <w:r>
        <w:rPr>
          <w:rStyle w:val="FootnoteReference"/>
        </w:rPr>
        <w:footnoteRef/>
      </w:r>
      <w:r>
        <w:t xml:space="preserve"> </w:t>
      </w:r>
      <w:r w:rsidRPr="00453591">
        <w:t>http://www.varam.gov.lv/lat/fondi/ets/LLpsp/?doc=13007</w:t>
      </w:r>
    </w:p>
  </w:footnote>
  <w:footnote w:id="55">
    <w:p w:rsidR="005738A3" w:rsidRPr="00D92663" w:rsidRDefault="005738A3">
      <w:pPr>
        <w:pStyle w:val="FootnoteText"/>
      </w:pPr>
      <w:r>
        <w:rPr>
          <w:rStyle w:val="FootnoteReference"/>
        </w:rPr>
        <w:footnoteRef/>
      </w:r>
      <w:r>
        <w:t xml:space="preserve"> </w:t>
      </w:r>
      <w:r w:rsidRPr="00D92663">
        <w:t>http://www.malnava.lv/images/2014/1_070613.pdf</w:t>
      </w:r>
    </w:p>
  </w:footnote>
  <w:footnote w:id="56">
    <w:p w:rsidR="005738A3" w:rsidRDefault="005738A3">
      <w:pPr>
        <w:pStyle w:val="FootnoteText"/>
      </w:pPr>
      <w:r>
        <w:rPr>
          <w:rStyle w:val="FootnoteReference"/>
        </w:rPr>
        <w:footnoteRef/>
      </w:r>
      <w:r>
        <w:t xml:space="preserve"> </w:t>
      </w:r>
      <w:r w:rsidRPr="002C0BB2">
        <w:t>http://www.ljk.lv/pabeigtie/darba-speka-konkurences-uzlabosana-latvijas-lietuvas-jurniecibas-inzenieru-sektora</w:t>
      </w:r>
    </w:p>
  </w:footnote>
  <w:footnote w:id="57">
    <w:p w:rsidR="005738A3" w:rsidRDefault="005738A3">
      <w:pPr>
        <w:pStyle w:val="FootnoteText"/>
      </w:pPr>
      <w:r>
        <w:rPr>
          <w:rStyle w:val="FootnoteReference"/>
        </w:rPr>
        <w:footnoteRef/>
      </w:r>
      <w:r>
        <w:t xml:space="preserve"> </w:t>
      </w:r>
      <w:r w:rsidRPr="00D3709C">
        <w:t>http://www.ljk.lv/pabeigtie/darba-speka-konkurences-uzlabosana-latvijas-lietuvas-jurniecibas-sektora</w:t>
      </w:r>
    </w:p>
  </w:footnote>
  <w:footnote w:id="58">
    <w:p w:rsidR="005738A3" w:rsidRDefault="005738A3">
      <w:pPr>
        <w:pStyle w:val="FootnoteText"/>
      </w:pPr>
      <w:r>
        <w:rPr>
          <w:rStyle w:val="FootnoteReference"/>
        </w:rPr>
        <w:footnoteRef/>
      </w:r>
      <w:r>
        <w:t xml:space="preserve"> </w:t>
      </w:r>
      <w:r w:rsidRPr="007F763E">
        <w:t>http://www.ljk.lv/pabeigtie/zinasanu-un-e-pakalpojumu-centru-izveide-jurniekiem</w:t>
      </w:r>
    </w:p>
  </w:footnote>
  <w:footnote w:id="59">
    <w:p w:rsidR="005738A3" w:rsidRPr="005948C2" w:rsidRDefault="005738A3" w:rsidP="009F7F1E">
      <w:pPr>
        <w:pStyle w:val="FootnoteText"/>
        <w:jc w:val="left"/>
      </w:pPr>
      <w:r>
        <w:rPr>
          <w:rStyle w:val="FootnoteReference"/>
        </w:rPr>
        <w:footnoteRef/>
      </w:r>
      <w:r>
        <w:t xml:space="preserve"> </w:t>
      </w:r>
      <w:r w:rsidRPr="005948C2">
        <w:t xml:space="preserve">23.04.2014. </w:t>
      </w:r>
      <w:r w:rsidRPr="005948C2">
        <w:rPr>
          <w:color w:val="000000"/>
        </w:rPr>
        <w:t>Diskusiju kopsavilkums, http://www.viaa.gov.lv/lat/zinatnes_inovacijas_progr/viedas_specializacijas_iev/diskusiju_materiali/?year=2014</w:t>
      </w:r>
    </w:p>
  </w:footnote>
  <w:footnote w:id="60">
    <w:p w:rsidR="005738A3" w:rsidRDefault="005738A3" w:rsidP="00C02CEA">
      <w:pPr>
        <w:pStyle w:val="FootnoteText"/>
      </w:pPr>
      <w:r>
        <w:rPr>
          <w:rStyle w:val="FootnoteReference"/>
        </w:rPr>
        <w:footnoteRef/>
      </w:r>
      <w:r>
        <w:t xml:space="preserve"> </w:t>
      </w:r>
      <w:r w:rsidRPr="00DD5390">
        <w:t>http://www.aip.lv/ESF_par_projektu.htm</w:t>
      </w:r>
    </w:p>
  </w:footnote>
  <w:footnote w:id="61">
    <w:p w:rsidR="005738A3" w:rsidRDefault="005738A3" w:rsidP="00AC30BF">
      <w:pPr>
        <w:pStyle w:val="FootnoteText"/>
      </w:pPr>
      <w:r>
        <w:rPr>
          <w:rStyle w:val="FootnoteReference"/>
        </w:rPr>
        <w:footnoteRef/>
      </w:r>
      <w:r>
        <w:t xml:space="preserve"> </w:t>
      </w:r>
      <w:r w:rsidRPr="00D50D6F">
        <w:t>http://www.ljk.lv/uploads/filedir/Dokumenti/ST_RAKST/studiju_virziena_raksturojums_kugu_mehaniki.pdf</w:t>
      </w:r>
    </w:p>
  </w:footnote>
  <w:footnote w:id="62">
    <w:p w:rsidR="005738A3" w:rsidRDefault="005738A3" w:rsidP="00AC30BF">
      <w:pPr>
        <w:pStyle w:val="FootnoteText"/>
      </w:pPr>
      <w:r>
        <w:rPr>
          <w:rStyle w:val="FootnoteReference"/>
        </w:rPr>
        <w:footnoteRef/>
      </w:r>
      <w:r>
        <w:t xml:space="preserve"> </w:t>
      </w:r>
      <w:r w:rsidRPr="001558BF">
        <w:t>http://www.malnava.lv/images/2014_1/pasaut.pdf</w:t>
      </w:r>
      <w:r>
        <w:t xml:space="preserve"> </w:t>
      </w:r>
    </w:p>
  </w:footnote>
  <w:footnote w:id="63">
    <w:p w:rsidR="005738A3" w:rsidRDefault="005738A3" w:rsidP="00AC30BF">
      <w:pPr>
        <w:pStyle w:val="FootnoteText"/>
      </w:pPr>
      <w:r>
        <w:rPr>
          <w:rStyle w:val="FootnoteReference"/>
        </w:rPr>
        <w:footnoteRef/>
      </w:r>
      <w:r>
        <w:t xml:space="preserve"> </w:t>
      </w:r>
      <w:r w:rsidRPr="00B45E18">
        <w:t>http://www.omtk.lv/lv/koledza/pasnovertejums</w:t>
      </w:r>
    </w:p>
  </w:footnote>
  <w:footnote w:id="64">
    <w:p w:rsidR="005738A3" w:rsidRDefault="005738A3" w:rsidP="00AC30BF">
      <w:pPr>
        <w:pStyle w:val="FootnoteText"/>
      </w:pPr>
      <w:r>
        <w:rPr>
          <w:rStyle w:val="FootnoteReference"/>
        </w:rPr>
        <w:footnoteRef/>
      </w:r>
      <w:r>
        <w:t xml:space="preserve"> </w:t>
      </w:r>
      <w:r w:rsidRPr="00273F13">
        <w:t>http://www.rmk1.lv/images/dokumenti/gada_parskats/Publiskais%20prskats%202014%20gad.pdf</w:t>
      </w:r>
    </w:p>
  </w:footnote>
  <w:footnote w:id="65">
    <w:p w:rsidR="005738A3" w:rsidRDefault="005738A3" w:rsidP="00AC30BF">
      <w:pPr>
        <w:pStyle w:val="FootnoteText"/>
        <w:jc w:val="left"/>
      </w:pPr>
      <w:r>
        <w:rPr>
          <w:rStyle w:val="FootnoteReference"/>
        </w:rPr>
        <w:footnoteRef/>
      </w:r>
      <w:r>
        <w:t xml:space="preserve"> </w:t>
      </w:r>
      <w:hyperlink r:id="rId11" w:history="1">
        <w:r w:rsidRPr="001F20C7">
          <w:rPr>
            <w:rStyle w:val="Hyperlink"/>
          </w:rPr>
          <w:t>http://www.rck.lv/faili/pasnovertejums%20studiju%20virziens.pdf</w:t>
        </w:r>
      </w:hyperlink>
      <w:r>
        <w:t xml:space="preserve">; </w:t>
      </w:r>
      <w:r w:rsidRPr="00951F1A">
        <w:t>http://www.rck.lv/faili/pasnovertejums%20studiju%20virziensRESTAURACIJA.pdf</w:t>
      </w:r>
    </w:p>
  </w:footnote>
  <w:footnote w:id="66">
    <w:p w:rsidR="005738A3" w:rsidRDefault="005738A3">
      <w:pPr>
        <w:pStyle w:val="FootnoteText"/>
      </w:pPr>
      <w:r>
        <w:rPr>
          <w:rStyle w:val="FootnoteReference"/>
        </w:rPr>
        <w:footnoteRef/>
      </w:r>
      <w:r>
        <w:t xml:space="preserve"> </w:t>
      </w:r>
      <w:r w:rsidRPr="00721D01">
        <w:t>http://www.rck.lv/faili/ilgt_strat.pdf</w:t>
      </w:r>
    </w:p>
  </w:footnote>
  <w:footnote w:id="67">
    <w:p w:rsidR="005738A3" w:rsidRPr="007E7BF7" w:rsidRDefault="005738A3" w:rsidP="007E7BF7">
      <w:pPr>
        <w:rPr>
          <w:sz w:val="20"/>
        </w:rPr>
      </w:pPr>
      <w:r w:rsidRPr="008F32F4">
        <w:rPr>
          <w:rStyle w:val="FootnoteReference"/>
          <w:sz w:val="20"/>
        </w:rPr>
        <w:footnoteRef/>
      </w:r>
      <w:r w:rsidRPr="008F32F4">
        <w:rPr>
          <w:sz w:val="20"/>
        </w:rPr>
        <w:t xml:space="preserve"> http://www.medkol.lv/3.htm</w:t>
      </w:r>
    </w:p>
    <w:p w:rsidR="005738A3" w:rsidRDefault="005738A3">
      <w:pPr>
        <w:pStyle w:val="FootnoteText"/>
      </w:pPr>
    </w:p>
  </w:footnote>
  <w:footnote w:id="68">
    <w:p w:rsidR="005738A3" w:rsidRDefault="005738A3">
      <w:pPr>
        <w:pStyle w:val="FootnoteText"/>
      </w:pPr>
      <w:r>
        <w:rPr>
          <w:rStyle w:val="FootnoteReference"/>
        </w:rPr>
        <w:footnoteRef/>
      </w:r>
      <w:r>
        <w:t xml:space="preserve"> </w:t>
      </w:r>
      <w:r w:rsidRPr="009741D9">
        <w:t xml:space="preserve">Saskaņā ar Profesionālās izglītības likumu </w:t>
      </w:r>
      <w:r>
        <w:t xml:space="preserve">(1.panta 2.daļas 10.punkts) </w:t>
      </w:r>
      <w:r w:rsidRPr="00465F93">
        <w:t>pirmā līmeņa profesionālā augstākā izglītība (koledžas izglītība) ir augstākās pakāpes profesionālā izglītība, kas dod iespēju iegūt ceturto profesionālās kvalifikācijas līmeni</w:t>
      </w:r>
      <w:r>
        <w:t xml:space="preserve">; </w:t>
      </w:r>
      <w:r w:rsidRPr="009741D9">
        <w:t>http://likumi.lv/doc.php?id=20244</w:t>
      </w:r>
    </w:p>
  </w:footnote>
  <w:footnote w:id="69">
    <w:p w:rsidR="005738A3" w:rsidRPr="009741D9" w:rsidRDefault="005738A3" w:rsidP="009741D9">
      <w:pPr>
        <w:pStyle w:val="FootnoteText"/>
      </w:pPr>
      <w:r>
        <w:rPr>
          <w:rStyle w:val="FootnoteReference"/>
        </w:rPr>
        <w:footnoteRef/>
      </w:r>
      <w:r>
        <w:t xml:space="preserve"> </w:t>
      </w:r>
      <w:r w:rsidRPr="009741D9">
        <w:t xml:space="preserve">Saskaņā ar Profesionālās izglītības likumu </w:t>
      </w:r>
      <w:r>
        <w:t xml:space="preserve">(1.panta 2.daļas 8.punkts) </w:t>
      </w:r>
      <w:r w:rsidRPr="009741D9">
        <w:t>profesionālā vidējā izglītība ir vidējās pakāpes profesionālā izglītība, kas dod iespēju iegūt trešā lī</w:t>
      </w:r>
      <w:r>
        <w:t xml:space="preserve">meņa profesionālo kvalifikāciju; </w:t>
      </w:r>
      <w:r w:rsidRPr="009741D9">
        <w:t>http://likumi.lv/doc.php?id=20244</w:t>
      </w:r>
    </w:p>
  </w:footnote>
  <w:footnote w:id="70">
    <w:p w:rsidR="005738A3" w:rsidRDefault="005738A3">
      <w:pPr>
        <w:pStyle w:val="FootnoteText"/>
      </w:pPr>
      <w:r>
        <w:rPr>
          <w:rStyle w:val="FootnoteReference"/>
        </w:rPr>
        <w:footnoteRef/>
      </w:r>
      <w:r>
        <w:t xml:space="preserve"> Precīzs ieguldījumu veids un apmērs būs zināms pēc projektu iesniegumu 8.1.4.SAM ietvaros izvērtēšanas.</w:t>
      </w:r>
    </w:p>
  </w:footnote>
  <w:footnote w:id="71">
    <w:p w:rsidR="005738A3" w:rsidRPr="0050694D" w:rsidRDefault="005738A3" w:rsidP="00836C52">
      <w:pPr>
        <w:pStyle w:val="FootnoteText"/>
      </w:pPr>
      <w:r w:rsidRPr="0050694D">
        <w:rPr>
          <w:rStyle w:val="FootnoteReference"/>
        </w:rPr>
        <w:footnoteRef/>
      </w:r>
      <w:r w:rsidRPr="0050694D">
        <w:t xml:space="preserve"> Pieejami Valsts izglītības attīstības aģentūras mājas lapā: </w:t>
      </w:r>
      <w:hyperlink r:id="rId12" w:history="1">
        <w:r w:rsidRPr="0050694D">
          <w:rPr>
            <w:rStyle w:val="Hyperlink"/>
          </w:rPr>
          <w:t>http://viaa.gov.lv/lat/zinatnes_inovacijas_progr/viedas_specializacijas_iev/viedas_spec_ieviesana/?tl _id=21474&amp;tls_id=43298</w:t>
        </w:r>
      </w:hyperlink>
      <w:r w:rsidRPr="0050694D">
        <w:t xml:space="preserve"> </w:t>
      </w:r>
    </w:p>
  </w:footnote>
  <w:footnote w:id="72">
    <w:p w:rsidR="005738A3" w:rsidRDefault="005738A3">
      <w:pPr>
        <w:pStyle w:val="FootnoteText"/>
      </w:pPr>
      <w:r>
        <w:rPr>
          <w:rStyle w:val="FootnoteReference"/>
        </w:rPr>
        <w:footnoteRef/>
      </w:r>
      <w:r>
        <w:t xml:space="preserve"> </w:t>
      </w:r>
      <w:r w:rsidRPr="008F15BA">
        <w:t>„Vadlīnijas attiecināmo un neattiecināmo izmaksu noteikšanai 2014.-2020.gada plānošanas periodā</w:t>
      </w:r>
      <w:r>
        <w:t xml:space="preserve">”, pieejamas: </w:t>
      </w:r>
      <w:r w:rsidRPr="00BE484E">
        <w:t>http://www.esfondi.lv/upload/00-vadlinijas/vadlinijas_2015/2.1_Vadl_Attiecinamo_un_neattiecinamo_izmaksu_noteiksanai_2014.-2020._planosanas_perioda.pdf</w:t>
      </w:r>
    </w:p>
  </w:footnote>
  <w:footnote w:id="73">
    <w:p w:rsidR="005738A3" w:rsidRDefault="005738A3" w:rsidP="00CC154E">
      <w:pPr>
        <w:pStyle w:val="FootnoteText"/>
        <w:jc w:val="left"/>
      </w:pPr>
      <w:r>
        <w:rPr>
          <w:rStyle w:val="FootnoteReference"/>
        </w:rPr>
        <w:footnoteRef/>
      </w:r>
      <w:r>
        <w:t xml:space="preserve"> </w:t>
      </w:r>
      <w:r w:rsidRPr="00784E71">
        <w:t xml:space="preserve">Izvērtējums pieejams: </w:t>
      </w:r>
      <w:hyperlink r:id="rId13" w:history="1">
        <w:r w:rsidRPr="00784E71">
          <w:rPr>
            <w:rStyle w:val="Hyperlink"/>
          </w:rPr>
          <w:t>http://www.esfondi.lv/upload/Petijumi_un_izvertejumi/apraksti/Petijuma_izvertesanas_zinojums_31012014.pdf</w:t>
        </w:r>
      </w:hyperlink>
      <w:r>
        <w:t>, sk.298.lpp.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A3" w:rsidRDefault="00BE3FB9">
    <w:pPr>
      <w:pStyle w:val="Header"/>
      <w:framePr w:wrap="around" w:vAnchor="text" w:hAnchor="margin" w:xAlign="center" w:y="1"/>
      <w:rPr>
        <w:rStyle w:val="PageNumber"/>
      </w:rPr>
    </w:pPr>
    <w:r>
      <w:rPr>
        <w:rStyle w:val="PageNumber"/>
      </w:rPr>
      <w:fldChar w:fldCharType="begin"/>
    </w:r>
    <w:r w:rsidR="005738A3">
      <w:rPr>
        <w:rStyle w:val="PageNumber"/>
      </w:rPr>
      <w:instrText xml:space="preserve">PAGE  </w:instrText>
    </w:r>
    <w:r>
      <w:rPr>
        <w:rStyle w:val="PageNumber"/>
      </w:rPr>
      <w:fldChar w:fldCharType="separate"/>
    </w:r>
    <w:r w:rsidR="005738A3">
      <w:rPr>
        <w:rStyle w:val="PageNumber"/>
        <w:noProof/>
      </w:rPr>
      <w:t>2</w:t>
    </w:r>
    <w:r>
      <w:rPr>
        <w:rStyle w:val="PageNumber"/>
      </w:rPr>
      <w:fldChar w:fldCharType="end"/>
    </w:r>
  </w:p>
  <w:p w:rsidR="005738A3" w:rsidRDefault="005738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A3" w:rsidRDefault="005738A3" w:rsidP="00EE2636">
    <w:pPr>
      <w:pStyle w:val="Heade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8A3" w:rsidRPr="00B12888" w:rsidRDefault="005738A3" w:rsidP="00B12888">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2">
    <w:nsid w:val="05B05A62"/>
    <w:multiLevelType w:val="hybridMultilevel"/>
    <w:tmpl w:val="F8128D58"/>
    <w:lvl w:ilvl="0" w:tplc="464E93A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B667A57"/>
    <w:multiLevelType w:val="hybridMultilevel"/>
    <w:tmpl w:val="52503FF4"/>
    <w:lvl w:ilvl="0" w:tplc="049C2780">
      <w:numFmt w:val="bullet"/>
      <w:lvlText w:val="-"/>
      <w:lvlJc w:val="left"/>
      <w:pPr>
        <w:ind w:left="720" w:hanging="360"/>
      </w:pPr>
      <w:rPr>
        <w:rFonts w:ascii="Times New Roman" w:hAnsi="Times New Roman" w:cs="Times New Roman" w:hint="default"/>
        <w:color w:val="auto"/>
        <w:sz w:val="23"/>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BEA4010"/>
    <w:multiLevelType w:val="hybridMultilevel"/>
    <w:tmpl w:val="DE760E96"/>
    <w:lvl w:ilvl="0" w:tplc="77D6AE86">
      <w:start w:val="5"/>
      <w:numFmt w:val="bullet"/>
      <w:lvlText w:val="-"/>
      <w:lvlJc w:val="left"/>
      <w:pPr>
        <w:ind w:left="1437" w:hanging="360"/>
      </w:pPr>
      <w:rPr>
        <w:rFonts w:ascii="Times New Roman" w:eastAsia="Times New Roman" w:hAnsi="Times New Roman" w:cs="Times New Roman"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5">
    <w:nsid w:val="0C252527"/>
    <w:multiLevelType w:val="hybridMultilevel"/>
    <w:tmpl w:val="B2EA4180"/>
    <w:lvl w:ilvl="0" w:tplc="1102BE46">
      <w:start w:val="1"/>
      <w:numFmt w:val="bullet"/>
      <w:lvlText w:val="•"/>
      <w:lvlJc w:val="left"/>
      <w:pPr>
        <w:tabs>
          <w:tab w:val="num" w:pos="720"/>
        </w:tabs>
        <w:ind w:left="720" w:hanging="360"/>
      </w:pPr>
      <w:rPr>
        <w:rFonts w:ascii="Arial" w:hAnsi="Arial" w:hint="default"/>
      </w:rPr>
    </w:lvl>
    <w:lvl w:ilvl="1" w:tplc="07941E2E" w:tentative="1">
      <w:start w:val="1"/>
      <w:numFmt w:val="bullet"/>
      <w:lvlText w:val="•"/>
      <w:lvlJc w:val="left"/>
      <w:pPr>
        <w:tabs>
          <w:tab w:val="num" w:pos="1440"/>
        </w:tabs>
        <w:ind w:left="1440" w:hanging="360"/>
      </w:pPr>
      <w:rPr>
        <w:rFonts w:ascii="Arial" w:hAnsi="Arial" w:hint="default"/>
      </w:rPr>
    </w:lvl>
    <w:lvl w:ilvl="2" w:tplc="559A7424" w:tentative="1">
      <w:start w:val="1"/>
      <w:numFmt w:val="bullet"/>
      <w:lvlText w:val="•"/>
      <w:lvlJc w:val="left"/>
      <w:pPr>
        <w:tabs>
          <w:tab w:val="num" w:pos="2160"/>
        </w:tabs>
        <w:ind w:left="2160" w:hanging="360"/>
      </w:pPr>
      <w:rPr>
        <w:rFonts w:ascii="Arial" w:hAnsi="Arial" w:hint="default"/>
      </w:rPr>
    </w:lvl>
    <w:lvl w:ilvl="3" w:tplc="F80C9116" w:tentative="1">
      <w:start w:val="1"/>
      <w:numFmt w:val="bullet"/>
      <w:lvlText w:val="•"/>
      <w:lvlJc w:val="left"/>
      <w:pPr>
        <w:tabs>
          <w:tab w:val="num" w:pos="2880"/>
        </w:tabs>
        <w:ind w:left="2880" w:hanging="360"/>
      </w:pPr>
      <w:rPr>
        <w:rFonts w:ascii="Arial" w:hAnsi="Arial" w:hint="default"/>
      </w:rPr>
    </w:lvl>
    <w:lvl w:ilvl="4" w:tplc="892E4EEC" w:tentative="1">
      <w:start w:val="1"/>
      <w:numFmt w:val="bullet"/>
      <w:lvlText w:val="•"/>
      <w:lvlJc w:val="left"/>
      <w:pPr>
        <w:tabs>
          <w:tab w:val="num" w:pos="3600"/>
        </w:tabs>
        <w:ind w:left="3600" w:hanging="360"/>
      </w:pPr>
      <w:rPr>
        <w:rFonts w:ascii="Arial" w:hAnsi="Arial" w:hint="default"/>
      </w:rPr>
    </w:lvl>
    <w:lvl w:ilvl="5" w:tplc="42EE0AC2" w:tentative="1">
      <w:start w:val="1"/>
      <w:numFmt w:val="bullet"/>
      <w:lvlText w:val="•"/>
      <w:lvlJc w:val="left"/>
      <w:pPr>
        <w:tabs>
          <w:tab w:val="num" w:pos="4320"/>
        </w:tabs>
        <w:ind w:left="4320" w:hanging="360"/>
      </w:pPr>
      <w:rPr>
        <w:rFonts w:ascii="Arial" w:hAnsi="Arial" w:hint="default"/>
      </w:rPr>
    </w:lvl>
    <w:lvl w:ilvl="6" w:tplc="1316AF04" w:tentative="1">
      <w:start w:val="1"/>
      <w:numFmt w:val="bullet"/>
      <w:lvlText w:val="•"/>
      <w:lvlJc w:val="left"/>
      <w:pPr>
        <w:tabs>
          <w:tab w:val="num" w:pos="5040"/>
        </w:tabs>
        <w:ind w:left="5040" w:hanging="360"/>
      </w:pPr>
      <w:rPr>
        <w:rFonts w:ascii="Arial" w:hAnsi="Arial" w:hint="default"/>
      </w:rPr>
    </w:lvl>
    <w:lvl w:ilvl="7" w:tplc="9C68D9F2" w:tentative="1">
      <w:start w:val="1"/>
      <w:numFmt w:val="bullet"/>
      <w:lvlText w:val="•"/>
      <w:lvlJc w:val="left"/>
      <w:pPr>
        <w:tabs>
          <w:tab w:val="num" w:pos="5760"/>
        </w:tabs>
        <w:ind w:left="5760" w:hanging="360"/>
      </w:pPr>
      <w:rPr>
        <w:rFonts w:ascii="Arial" w:hAnsi="Arial" w:hint="default"/>
      </w:rPr>
    </w:lvl>
    <w:lvl w:ilvl="8" w:tplc="A81E1FFA" w:tentative="1">
      <w:start w:val="1"/>
      <w:numFmt w:val="bullet"/>
      <w:lvlText w:val="•"/>
      <w:lvlJc w:val="left"/>
      <w:pPr>
        <w:tabs>
          <w:tab w:val="num" w:pos="6480"/>
        </w:tabs>
        <w:ind w:left="6480" w:hanging="360"/>
      </w:pPr>
      <w:rPr>
        <w:rFonts w:ascii="Arial" w:hAnsi="Arial" w:hint="default"/>
      </w:rPr>
    </w:lvl>
  </w:abstractNum>
  <w:abstractNum w:abstractNumId="6">
    <w:nsid w:val="14290F0C"/>
    <w:multiLevelType w:val="hybridMultilevel"/>
    <w:tmpl w:val="DA7662B6"/>
    <w:lvl w:ilvl="0" w:tplc="1112617E">
      <w:start w:val="1"/>
      <w:numFmt w:val="bullet"/>
      <w:lvlText w:val="-"/>
      <w:lvlJc w:val="left"/>
      <w:pPr>
        <w:ind w:left="720" w:hanging="360"/>
      </w:pPr>
      <w:rPr>
        <w:rFonts w:ascii="Times New Roman" w:eastAsia="Calibri" w:hAnsi="Times New Roman" w:cs="Times New Roman" w:hint="default"/>
      </w:rPr>
    </w:lvl>
    <w:lvl w:ilvl="1" w:tplc="DB2EFD94">
      <w:numFmt w:val="bullet"/>
      <w:lvlText w:val="•"/>
      <w:lvlJc w:val="left"/>
      <w:pPr>
        <w:ind w:left="1800" w:hanging="720"/>
      </w:pPr>
      <w:rPr>
        <w:rFonts w:ascii="Times New Roman" w:eastAsiaTheme="minorEastAsia"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4AA6B3E"/>
    <w:multiLevelType w:val="hybridMultilevel"/>
    <w:tmpl w:val="E58A8A6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71B0956"/>
    <w:multiLevelType w:val="hybridMultilevel"/>
    <w:tmpl w:val="BE2648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77B0F0E"/>
    <w:multiLevelType w:val="hybridMultilevel"/>
    <w:tmpl w:val="6FFC9CE8"/>
    <w:lvl w:ilvl="0" w:tplc="049C2780">
      <w:numFmt w:val="bullet"/>
      <w:lvlText w:val="-"/>
      <w:lvlJc w:val="left"/>
      <w:pPr>
        <w:ind w:left="720" w:hanging="360"/>
      </w:pPr>
      <w:rPr>
        <w:rFonts w:ascii="Times New Roman" w:hAnsi="Times New Roman" w:cs="Times New Roman" w:hint="default"/>
        <w:color w:val="auto"/>
        <w:sz w:val="23"/>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7A12CCB"/>
    <w:multiLevelType w:val="hybridMultilevel"/>
    <w:tmpl w:val="574693F6"/>
    <w:lvl w:ilvl="0" w:tplc="0426000F">
      <w:start w:val="1"/>
      <w:numFmt w:val="decimal"/>
      <w:lvlText w:val="%1."/>
      <w:lvlJc w:val="left"/>
      <w:pPr>
        <w:ind w:left="970" w:hanging="360"/>
      </w:pPr>
    </w:lvl>
    <w:lvl w:ilvl="1" w:tplc="04260019">
      <w:start w:val="1"/>
      <w:numFmt w:val="lowerLetter"/>
      <w:lvlText w:val="%2."/>
      <w:lvlJc w:val="left"/>
      <w:pPr>
        <w:ind w:left="1690" w:hanging="360"/>
      </w:pPr>
    </w:lvl>
    <w:lvl w:ilvl="2" w:tplc="0426001B">
      <w:start w:val="1"/>
      <w:numFmt w:val="lowerRoman"/>
      <w:lvlText w:val="%3."/>
      <w:lvlJc w:val="right"/>
      <w:pPr>
        <w:ind w:left="2410" w:hanging="180"/>
      </w:pPr>
    </w:lvl>
    <w:lvl w:ilvl="3" w:tplc="0426000F" w:tentative="1">
      <w:start w:val="1"/>
      <w:numFmt w:val="decimal"/>
      <w:lvlText w:val="%4."/>
      <w:lvlJc w:val="left"/>
      <w:pPr>
        <w:ind w:left="3130" w:hanging="360"/>
      </w:pPr>
    </w:lvl>
    <w:lvl w:ilvl="4" w:tplc="04260019" w:tentative="1">
      <w:start w:val="1"/>
      <w:numFmt w:val="lowerLetter"/>
      <w:lvlText w:val="%5."/>
      <w:lvlJc w:val="left"/>
      <w:pPr>
        <w:ind w:left="3850" w:hanging="360"/>
      </w:pPr>
    </w:lvl>
    <w:lvl w:ilvl="5" w:tplc="0426001B" w:tentative="1">
      <w:start w:val="1"/>
      <w:numFmt w:val="lowerRoman"/>
      <w:lvlText w:val="%6."/>
      <w:lvlJc w:val="right"/>
      <w:pPr>
        <w:ind w:left="4570" w:hanging="180"/>
      </w:pPr>
    </w:lvl>
    <w:lvl w:ilvl="6" w:tplc="0426000F" w:tentative="1">
      <w:start w:val="1"/>
      <w:numFmt w:val="decimal"/>
      <w:lvlText w:val="%7."/>
      <w:lvlJc w:val="left"/>
      <w:pPr>
        <w:ind w:left="5290" w:hanging="360"/>
      </w:pPr>
    </w:lvl>
    <w:lvl w:ilvl="7" w:tplc="04260019" w:tentative="1">
      <w:start w:val="1"/>
      <w:numFmt w:val="lowerLetter"/>
      <w:lvlText w:val="%8."/>
      <w:lvlJc w:val="left"/>
      <w:pPr>
        <w:ind w:left="6010" w:hanging="360"/>
      </w:pPr>
    </w:lvl>
    <w:lvl w:ilvl="8" w:tplc="0426001B" w:tentative="1">
      <w:start w:val="1"/>
      <w:numFmt w:val="lowerRoman"/>
      <w:lvlText w:val="%9."/>
      <w:lvlJc w:val="right"/>
      <w:pPr>
        <w:ind w:left="6730" w:hanging="180"/>
      </w:pPr>
    </w:lvl>
  </w:abstractNum>
  <w:abstractNum w:abstractNumId="11">
    <w:nsid w:val="19FF70C7"/>
    <w:multiLevelType w:val="hybridMultilevel"/>
    <w:tmpl w:val="8DB4AB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CC43D3E"/>
    <w:multiLevelType w:val="hybridMultilevel"/>
    <w:tmpl w:val="4E22F358"/>
    <w:lvl w:ilvl="0" w:tplc="04260017">
      <w:start w:val="1"/>
      <w:numFmt w:val="lowerLetter"/>
      <w:lvlText w:val="%1)"/>
      <w:lvlJc w:val="left"/>
      <w:pPr>
        <w:ind w:left="1440" w:hanging="360"/>
      </w:pPr>
      <w:rPr>
        <w:rFonts w:hint="default"/>
        <w:color w:val="auto"/>
        <w:sz w:val="23"/>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1CFD4322"/>
    <w:multiLevelType w:val="hybridMultilevel"/>
    <w:tmpl w:val="775692F2"/>
    <w:lvl w:ilvl="0" w:tplc="04260011">
      <w:start w:val="1"/>
      <w:numFmt w:val="decimal"/>
      <w:lvlText w:val="%1)"/>
      <w:lvlJc w:val="left"/>
      <w:pPr>
        <w:ind w:left="1346" w:hanging="360"/>
      </w:pPr>
      <w:rPr>
        <w:rFonts w:hint="default"/>
      </w:rPr>
    </w:lvl>
    <w:lvl w:ilvl="1" w:tplc="04260003">
      <w:start w:val="1"/>
      <w:numFmt w:val="bullet"/>
      <w:lvlText w:val="o"/>
      <w:lvlJc w:val="left"/>
      <w:pPr>
        <w:ind w:left="2066" w:hanging="360"/>
      </w:pPr>
      <w:rPr>
        <w:rFonts w:ascii="Courier New" w:hAnsi="Courier New" w:cs="Courier New" w:hint="default"/>
      </w:rPr>
    </w:lvl>
    <w:lvl w:ilvl="2" w:tplc="04260005" w:tentative="1">
      <w:start w:val="1"/>
      <w:numFmt w:val="bullet"/>
      <w:lvlText w:val=""/>
      <w:lvlJc w:val="left"/>
      <w:pPr>
        <w:ind w:left="2786" w:hanging="360"/>
      </w:pPr>
      <w:rPr>
        <w:rFonts w:ascii="Wingdings" w:hAnsi="Wingdings" w:hint="default"/>
      </w:rPr>
    </w:lvl>
    <w:lvl w:ilvl="3" w:tplc="04260001" w:tentative="1">
      <w:start w:val="1"/>
      <w:numFmt w:val="bullet"/>
      <w:lvlText w:val=""/>
      <w:lvlJc w:val="left"/>
      <w:pPr>
        <w:ind w:left="3506" w:hanging="360"/>
      </w:pPr>
      <w:rPr>
        <w:rFonts w:ascii="Symbol" w:hAnsi="Symbol" w:hint="default"/>
      </w:rPr>
    </w:lvl>
    <w:lvl w:ilvl="4" w:tplc="04260003" w:tentative="1">
      <w:start w:val="1"/>
      <w:numFmt w:val="bullet"/>
      <w:lvlText w:val="o"/>
      <w:lvlJc w:val="left"/>
      <w:pPr>
        <w:ind w:left="4226" w:hanging="360"/>
      </w:pPr>
      <w:rPr>
        <w:rFonts w:ascii="Courier New" w:hAnsi="Courier New" w:cs="Courier New" w:hint="default"/>
      </w:rPr>
    </w:lvl>
    <w:lvl w:ilvl="5" w:tplc="04260005" w:tentative="1">
      <w:start w:val="1"/>
      <w:numFmt w:val="bullet"/>
      <w:lvlText w:val=""/>
      <w:lvlJc w:val="left"/>
      <w:pPr>
        <w:ind w:left="4946" w:hanging="360"/>
      </w:pPr>
      <w:rPr>
        <w:rFonts w:ascii="Wingdings" w:hAnsi="Wingdings" w:hint="default"/>
      </w:rPr>
    </w:lvl>
    <w:lvl w:ilvl="6" w:tplc="04260001" w:tentative="1">
      <w:start w:val="1"/>
      <w:numFmt w:val="bullet"/>
      <w:lvlText w:val=""/>
      <w:lvlJc w:val="left"/>
      <w:pPr>
        <w:ind w:left="5666" w:hanging="360"/>
      </w:pPr>
      <w:rPr>
        <w:rFonts w:ascii="Symbol" w:hAnsi="Symbol" w:hint="default"/>
      </w:rPr>
    </w:lvl>
    <w:lvl w:ilvl="7" w:tplc="04260003" w:tentative="1">
      <w:start w:val="1"/>
      <w:numFmt w:val="bullet"/>
      <w:lvlText w:val="o"/>
      <w:lvlJc w:val="left"/>
      <w:pPr>
        <w:ind w:left="6386" w:hanging="360"/>
      </w:pPr>
      <w:rPr>
        <w:rFonts w:ascii="Courier New" w:hAnsi="Courier New" w:cs="Courier New" w:hint="default"/>
      </w:rPr>
    </w:lvl>
    <w:lvl w:ilvl="8" w:tplc="04260005" w:tentative="1">
      <w:start w:val="1"/>
      <w:numFmt w:val="bullet"/>
      <w:lvlText w:val=""/>
      <w:lvlJc w:val="left"/>
      <w:pPr>
        <w:ind w:left="7106" w:hanging="360"/>
      </w:pPr>
      <w:rPr>
        <w:rFonts w:ascii="Wingdings" w:hAnsi="Wingdings" w:hint="default"/>
      </w:rPr>
    </w:lvl>
  </w:abstractNum>
  <w:abstractNum w:abstractNumId="14">
    <w:nsid w:val="1FDD09EB"/>
    <w:multiLevelType w:val="multilevel"/>
    <w:tmpl w:val="43E89C6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097279"/>
    <w:multiLevelType w:val="hybridMultilevel"/>
    <w:tmpl w:val="C4186BEA"/>
    <w:lvl w:ilvl="0" w:tplc="04260011">
      <w:start w:val="1"/>
      <w:numFmt w:val="decimal"/>
      <w:lvlText w:val="%1)"/>
      <w:lvlJc w:val="left"/>
      <w:pPr>
        <w:ind w:left="1434" w:hanging="360"/>
      </w:p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16">
    <w:nsid w:val="257B1B40"/>
    <w:multiLevelType w:val="hybridMultilevel"/>
    <w:tmpl w:val="EE5C00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6820EF2"/>
    <w:multiLevelType w:val="hybridMultilevel"/>
    <w:tmpl w:val="382A20CA"/>
    <w:lvl w:ilvl="0" w:tplc="111261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6FD6661"/>
    <w:multiLevelType w:val="hybridMultilevel"/>
    <w:tmpl w:val="D8524B3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80504EB"/>
    <w:multiLevelType w:val="hybridMultilevel"/>
    <w:tmpl w:val="BC407C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80D2418"/>
    <w:multiLevelType w:val="hybridMultilevel"/>
    <w:tmpl w:val="CA026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ADC725D"/>
    <w:multiLevelType w:val="hybridMultilevel"/>
    <w:tmpl w:val="4C3E69DA"/>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2">
    <w:nsid w:val="31EE28FC"/>
    <w:multiLevelType w:val="hybridMultilevel"/>
    <w:tmpl w:val="606682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44E51A6"/>
    <w:multiLevelType w:val="hybridMultilevel"/>
    <w:tmpl w:val="139C8982"/>
    <w:lvl w:ilvl="0" w:tplc="464E93A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572212B"/>
    <w:multiLevelType w:val="hybridMultilevel"/>
    <w:tmpl w:val="36EA25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6FE6822"/>
    <w:multiLevelType w:val="multilevel"/>
    <w:tmpl w:val="144AB428"/>
    <w:lvl w:ilvl="0">
      <w:start w:val="1"/>
      <w:numFmt w:val="decimal"/>
      <w:pStyle w:val="NVPtekstas"/>
      <w:lvlText w:val="%1."/>
      <w:lvlJc w:val="left"/>
      <w:pPr>
        <w:tabs>
          <w:tab w:val="num" w:pos="927"/>
        </w:tabs>
        <w:ind w:left="927" w:hanging="360"/>
      </w:pPr>
      <w:rPr>
        <w:rFonts w:hint="default"/>
        <w:b w:val="0"/>
        <w:i w:val="0"/>
      </w:rPr>
    </w:lvl>
    <w:lvl w:ilvl="1">
      <w:start w:val="1"/>
      <w:numFmt w:val="decimal"/>
      <w:pStyle w:val="NVPpapunkciai"/>
      <w:lvlText w:val="%1.%2."/>
      <w:lvlJc w:val="left"/>
      <w:pPr>
        <w:tabs>
          <w:tab w:val="num" w:pos="1146"/>
        </w:tabs>
        <w:ind w:left="858" w:hanging="432"/>
      </w:pPr>
      <w:rPr>
        <w:rFonts w:hint="default"/>
        <w:b w:val="0"/>
        <w:i w:val="0"/>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2597"/>
        </w:tabs>
        <w:ind w:left="2165" w:hanging="648"/>
      </w:pPr>
      <w:rPr>
        <w:rFonts w:hint="default"/>
      </w:rPr>
    </w:lvl>
    <w:lvl w:ilvl="4">
      <w:start w:val="1"/>
      <w:numFmt w:val="decimal"/>
      <w:lvlText w:val="%1.%2.%3.%4.%5."/>
      <w:lvlJc w:val="left"/>
      <w:pPr>
        <w:tabs>
          <w:tab w:val="num" w:pos="3317"/>
        </w:tabs>
        <w:ind w:left="2669" w:hanging="792"/>
      </w:pPr>
      <w:rPr>
        <w:rFonts w:hint="default"/>
      </w:rPr>
    </w:lvl>
    <w:lvl w:ilvl="5">
      <w:start w:val="1"/>
      <w:numFmt w:val="decimal"/>
      <w:lvlText w:val="%1.%2.%3.%4.%5.%6."/>
      <w:lvlJc w:val="left"/>
      <w:pPr>
        <w:tabs>
          <w:tab w:val="num" w:pos="3677"/>
        </w:tabs>
        <w:ind w:left="3173" w:hanging="936"/>
      </w:pPr>
      <w:rPr>
        <w:rFonts w:hint="default"/>
      </w:rPr>
    </w:lvl>
    <w:lvl w:ilvl="6">
      <w:start w:val="1"/>
      <w:numFmt w:val="decimal"/>
      <w:lvlText w:val="%1.%2.%3.%4.%5.%6.%7."/>
      <w:lvlJc w:val="left"/>
      <w:pPr>
        <w:tabs>
          <w:tab w:val="num" w:pos="4397"/>
        </w:tabs>
        <w:ind w:left="3677" w:hanging="1080"/>
      </w:pPr>
      <w:rPr>
        <w:rFonts w:hint="default"/>
      </w:rPr>
    </w:lvl>
    <w:lvl w:ilvl="7">
      <w:start w:val="1"/>
      <w:numFmt w:val="decimal"/>
      <w:lvlText w:val="%1.%2.%3.%4.%5.%6.%7.%8."/>
      <w:lvlJc w:val="left"/>
      <w:pPr>
        <w:tabs>
          <w:tab w:val="num" w:pos="5117"/>
        </w:tabs>
        <w:ind w:left="4181" w:hanging="1224"/>
      </w:pPr>
      <w:rPr>
        <w:rFonts w:hint="default"/>
      </w:rPr>
    </w:lvl>
    <w:lvl w:ilvl="8">
      <w:start w:val="1"/>
      <w:numFmt w:val="decimal"/>
      <w:lvlText w:val="%1.%2.%3.%4.%5.%6.%7.%8.%9."/>
      <w:lvlJc w:val="left"/>
      <w:pPr>
        <w:tabs>
          <w:tab w:val="num" w:pos="5477"/>
        </w:tabs>
        <w:ind w:left="4757" w:hanging="1440"/>
      </w:pPr>
      <w:rPr>
        <w:rFonts w:hint="default"/>
      </w:rPr>
    </w:lvl>
  </w:abstractNum>
  <w:abstractNum w:abstractNumId="26">
    <w:nsid w:val="3B335964"/>
    <w:multiLevelType w:val="hybridMultilevel"/>
    <w:tmpl w:val="539C05E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CAD7C82"/>
    <w:multiLevelType w:val="multilevel"/>
    <w:tmpl w:val="362CC47E"/>
    <w:lvl w:ilvl="0">
      <w:start w:val="1"/>
      <w:numFmt w:val="bullet"/>
      <w:pStyle w:val="EYBulletedList1"/>
      <w:lvlText w:val="►"/>
      <w:lvlJc w:val="left"/>
      <w:pPr>
        <w:tabs>
          <w:tab w:val="num" w:pos="288"/>
        </w:tabs>
        <w:ind w:left="288" w:hanging="288"/>
      </w:pPr>
      <w:rPr>
        <w:rFonts w:ascii="Arial" w:hAnsi="Arial" w:hint="default"/>
        <w:b w:val="0"/>
        <w:i w:val="0"/>
        <w:color w:val="FFD200"/>
        <w:sz w:val="20"/>
        <w:szCs w:val="20"/>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28">
    <w:nsid w:val="3CE31D75"/>
    <w:multiLevelType w:val="hybridMultilevel"/>
    <w:tmpl w:val="B2CE1D1C"/>
    <w:lvl w:ilvl="0" w:tplc="3D16D234">
      <w:start w:val="1"/>
      <w:numFmt w:val="decimal"/>
      <w:pStyle w:val="Stils2"/>
      <w:lvlText w:val="(%1)"/>
      <w:lvlJc w:val="left"/>
      <w:pPr>
        <w:ind w:left="360" w:hanging="360"/>
      </w:pPr>
      <w:rPr>
        <w:rFonts w:ascii="Times New Roman" w:hAnsi="Times New Roman" w:cs="Times New Roman" w:hint="default"/>
        <w:b w:val="0"/>
        <w:i w:val="0"/>
        <w:strike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CF715F1"/>
    <w:multiLevelType w:val="hybridMultilevel"/>
    <w:tmpl w:val="D64EF50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38E65D9"/>
    <w:multiLevelType w:val="hybridMultilevel"/>
    <w:tmpl w:val="E4FA0146"/>
    <w:lvl w:ilvl="0" w:tplc="F2D8EEEE">
      <w:start w:val="1"/>
      <w:numFmt w:val="decimal"/>
      <w:lvlText w:val="%1."/>
      <w:lvlJc w:val="left"/>
      <w:pPr>
        <w:tabs>
          <w:tab w:val="num" w:pos="540"/>
        </w:tabs>
        <w:ind w:left="540" w:hanging="360"/>
      </w:pPr>
      <w:rPr>
        <w:rFonts w:cs="Times New Roman" w:hint="default"/>
        <w:b/>
      </w:rPr>
    </w:lvl>
    <w:lvl w:ilvl="1" w:tplc="1EC23B5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9F8017D"/>
    <w:multiLevelType w:val="hybridMultilevel"/>
    <w:tmpl w:val="80FCCFF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nsid w:val="4D213E04"/>
    <w:multiLevelType w:val="hybridMultilevel"/>
    <w:tmpl w:val="D30ACEA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F007326"/>
    <w:multiLevelType w:val="hybridMultilevel"/>
    <w:tmpl w:val="9CDE5C7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F7E4C59"/>
    <w:multiLevelType w:val="hybridMultilevel"/>
    <w:tmpl w:val="6B503E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4FEA08EB"/>
    <w:multiLevelType w:val="hybridMultilevel"/>
    <w:tmpl w:val="B93A5A36"/>
    <w:lvl w:ilvl="0" w:tplc="111261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508A0B5C"/>
    <w:multiLevelType w:val="hybridMultilevel"/>
    <w:tmpl w:val="029EA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4E50A65"/>
    <w:multiLevelType w:val="hybridMultilevel"/>
    <w:tmpl w:val="076AECF2"/>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nsid w:val="550E41F1"/>
    <w:multiLevelType w:val="hybridMultilevel"/>
    <w:tmpl w:val="D79AF0E0"/>
    <w:lvl w:ilvl="0" w:tplc="04260011">
      <w:start w:val="1"/>
      <w:numFmt w:val="decimal"/>
      <w:lvlText w:val="%1)"/>
      <w:lvlJc w:val="left"/>
      <w:pPr>
        <w:ind w:left="1440" w:hanging="360"/>
      </w:pPr>
    </w:lvl>
    <w:lvl w:ilvl="1" w:tplc="04260011">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nsid w:val="596678DC"/>
    <w:multiLevelType w:val="multilevel"/>
    <w:tmpl w:val="9A48373C"/>
    <w:lvl w:ilvl="0">
      <w:start w:val="1"/>
      <w:numFmt w:val="decimal"/>
      <w:pStyle w:val="EE-paragrCharChar"/>
      <w:lvlText w:val="%1."/>
      <w:lvlJc w:val="left"/>
      <w:pPr>
        <w:ind w:left="360" w:hanging="360"/>
      </w:pPr>
      <w:rPr>
        <w:b w:val="0"/>
        <w:i w:val="0"/>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0">
    <w:nsid w:val="5C777C86"/>
    <w:multiLevelType w:val="hybridMultilevel"/>
    <w:tmpl w:val="71F8BCBE"/>
    <w:lvl w:ilvl="0" w:tplc="F278866C">
      <w:start w:val="1"/>
      <w:numFmt w:val="decimal"/>
      <w:lvlText w:val="%1."/>
      <w:lvlJc w:val="left"/>
      <w:pPr>
        <w:ind w:left="720" w:hanging="360"/>
      </w:pPr>
      <w:rPr>
        <w:rFonts w:hint="default"/>
        <w:color w:val="00000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5F952F31"/>
    <w:multiLevelType w:val="hybridMultilevel"/>
    <w:tmpl w:val="645A572C"/>
    <w:lvl w:ilvl="0" w:tplc="1112617E">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1D5036B"/>
    <w:multiLevelType w:val="hybridMultilevel"/>
    <w:tmpl w:val="BFAE19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76141D8"/>
    <w:multiLevelType w:val="hybridMultilevel"/>
    <w:tmpl w:val="61325974"/>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nsid w:val="71E937BA"/>
    <w:multiLevelType w:val="hybridMultilevel"/>
    <w:tmpl w:val="80FCCFF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nsid w:val="737E6DB2"/>
    <w:multiLevelType w:val="hybridMultilevel"/>
    <w:tmpl w:val="17F2DC84"/>
    <w:lvl w:ilvl="0" w:tplc="111261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5E24072"/>
    <w:multiLevelType w:val="hybridMultilevel"/>
    <w:tmpl w:val="50A8B194"/>
    <w:lvl w:ilvl="0" w:tplc="049C2780">
      <w:numFmt w:val="bullet"/>
      <w:lvlText w:val="-"/>
      <w:lvlJc w:val="left"/>
      <w:pPr>
        <w:ind w:left="720" w:hanging="360"/>
      </w:pPr>
      <w:rPr>
        <w:rFonts w:ascii="Times New Roman" w:hAnsi="Times New Roman" w:cs="Times New Roman" w:hint="default"/>
        <w:color w:val="auto"/>
        <w:sz w:val="23"/>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77C93405"/>
    <w:multiLevelType w:val="hybridMultilevel"/>
    <w:tmpl w:val="DC6809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786747BA"/>
    <w:multiLevelType w:val="hybridMultilevel"/>
    <w:tmpl w:val="FF029FD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nsid w:val="798F30D8"/>
    <w:multiLevelType w:val="multilevel"/>
    <w:tmpl w:val="1EA4C156"/>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0">
    <w:nsid w:val="7B4B373A"/>
    <w:multiLevelType w:val="hybridMultilevel"/>
    <w:tmpl w:val="1FC89AB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1">
    <w:nsid w:val="7C31375D"/>
    <w:multiLevelType w:val="hybridMultilevel"/>
    <w:tmpl w:val="4946857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9"/>
  </w:num>
  <w:num w:numId="2">
    <w:abstractNumId w:val="27"/>
  </w:num>
  <w:num w:numId="3">
    <w:abstractNumId w:val="28"/>
  </w:num>
  <w:num w:numId="4">
    <w:abstractNumId w:val="10"/>
  </w:num>
  <w:num w:numId="5">
    <w:abstractNumId w:val="25"/>
  </w:num>
  <w:num w:numId="6">
    <w:abstractNumId w:val="21"/>
  </w:num>
  <w:num w:numId="7">
    <w:abstractNumId w:val="39"/>
  </w:num>
  <w:num w:numId="8">
    <w:abstractNumId w:val="8"/>
  </w:num>
  <w:num w:numId="9">
    <w:abstractNumId w:val="18"/>
  </w:num>
  <w:num w:numId="10">
    <w:abstractNumId w:val="31"/>
  </w:num>
  <w:num w:numId="11">
    <w:abstractNumId w:val="44"/>
  </w:num>
  <w:num w:numId="12">
    <w:abstractNumId w:val="37"/>
  </w:num>
  <w:num w:numId="13">
    <w:abstractNumId w:val="5"/>
  </w:num>
  <w:num w:numId="14">
    <w:abstractNumId w:val="40"/>
  </w:num>
  <w:num w:numId="15">
    <w:abstractNumId w:val="43"/>
  </w:num>
  <w:num w:numId="16">
    <w:abstractNumId w:val="38"/>
  </w:num>
  <w:num w:numId="17">
    <w:abstractNumId w:val="32"/>
  </w:num>
  <w:num w:numId="18">
    <w:abstractNumId w:val="13"/>
  </w:num>
  <w:num w:numId="19">
    <w:abstractNumId w:val="33"/>
  </w:num>
  <w:num w:numId="20">
    <w:abstractNumId w:val="22"/>
  </w:num>
  <w:num w:numId="21">
    <w:abstractNumId w:val="24"/>
  </w:num>
  <w:num w:numId="22">
    <w:abstractNumId w:val="15"/>
  </w:num>
  <w:num w:numId="23">
    <w:abstractNumId w:val="26"/>
  </w:num>
  <w:num w:numId="24">
    <w:abstractNumId w:val="29"/>
  </w:num>
  <w:num w:numId="25">
    <w:abstractNumId w:val="30"/>
  </w:num>
  <w:num w:numId="26">
    <w:abstractNumId w:val="17"/>
  </w:num>
  <w:num w:numId="27">
    <w:abstractNumId w:val="35"/>
  </w:num>
  <w:num w:numId="28">
    <w:abstractNumId w:val="6"/>
  </w:num>
  <w:num w:numId="29">
    <w:abstractNumId w:val="41"/>
  </w:num>
  <w:num w:numId="30">
    <w:abstractNumId w:val="3"/>
  </w:num>
  <w:num w:numId="31">
    <w:abstractNumId w:val="19"/>
  </w:num>
  <w:num w:numId="32">
    <w:abstractNumId w:val="36"/>
  </w:num>
  <w:num w:numId="33">
    <w:abstractNumId w:val="46"/>
  </w:num>
  <w:num w:numId="34">
    <w:abstractNumId w:val="9"/>
  </w:num>
  <w:num w:numId="35">
    <w:abstractNumId w:val="48"/>
  </w:num>
  <w:num w:numId="36">
    <w:abstractNumId w:val="34"/>
  </w:num>
  <w:num w:numId="37">
    <w:abstractNumId w:val="11"/>
  </w:num>
  <w:num w:numId="38">
    <w:abstractNumId w:val="14"/>
  </w:num>
  <w:num w:numId="39">
    <w:abstractNumId w:val="12"/>
  </w:num>
  <w:num w:numId="40">
    <w:abstractNumId w:val="2"/>
  </w:num>
  <w:num w:numId="41">
    <w:abstractNumId w:val="23"/>
  </w:num>
  <w:num w:numId="42">
    <w:abstractNumId w:val="51"/>
  </w:num>
  <w:num w:numId="43">
    <w:abstractNumId w:val="45"/>
  </w:num>
  <w:num w:numId="44">
    <w:abstractNumId w:val="20"/>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7"/>
  </w:num>
  <w:num w:numId="48">
    <w:abstractNumId w:val="7"/>
  </w:num>
  <w:num w:numId="49">
    <w:abstractNumId w:val="16"/>
  </w:num>
  <w:num w:numId="50">
    <w:abstractNumId w:val="1"/>
  </w:num>
  <w:num w:numId="51">
    <w:abstractNumId w:val="0"/>
  </w:num>
  <w:num w:numId="52">
    <w:abstractNumId w:val="4"/>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ēsma Abizāre-Vagre">
    <w15:presenceInfo w15:providerId="AD" w15:userId="S-1-5-21-121626174-2435655451-1571499254-16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B567E"/>
    <w:rsid w:val="000003FD"/>
    <w:rsid w:val="00001948"/>
    <w:rsid w:val="000020AE"/>
    <w:rsid w:val="00002D05"/>
    <w:rsid w:val="00003F8C"/>
    <w:rsid w:val="000055B6"/>
    <w:rsid w:val="00005677"/>
    <w:rsid w:val="0000746D"/>
    <w:rsid w:val="000115AD"/>
    <w:rsid w:val="0001165D"/>
    <w:rsid w:val="0001346D"/>
    <w:rsid w:val="00013C49"/>
    <w:rsid w:val="00017912"/>
    <w:rsid w:val="000200F2"/>
    <w:rsid w:val="000201C8"/>
    <w:rsid w:val="0002024B"/>
    <w:rsid w:val="00021348"/>
    <w:rsid w:val="00021CDF"/>
    <w:rsid w:val="000251BE"/>
    <w:rsid w:val="00025CB6"/>
    <w:rsid w:val="000269A7"/>
    <w:rsid w:val="000278B2"/>
    <w:rsid w:val="00030D6D"/>
    <w:rsid w:val="00030FDB"/>
    <w:rsid w:val="000317ED"/>
    <w:rsid w:val="00031F59"/>
    <w:rsid w:val="0003228D"/>
    <w:rsid w:val="0003249B"/>
    <w:rsid w:val="000327F9"/>
    <w:rsid w:val="000356C9"/>
    <w:rsid w:val="000358F3"/>
    <w:rsid w:val="00040CB2"/>
    <w:rsid w:val="00041F8B"/>
    <w:rsid w:val="000423B7"/>
    <w:rsid w:val="00042BB8"/>
    <w:rsid w:val="000451AD"/>
    <w:rsid w:val="00046C16"/>
    <w:rsid w:val="00047639"/>
    <w:rsid w:val="00047BEC"/>
    <w:rsid w:val="00047C8B"/>
    <w:rsid w:val="00050766"/>
    <w:rsid w:val="00051630"/>
    <w:rsid w:val="0005223B"/>
    <w:rsid w:val="0005245B"/>
    <w:rsid w:val="00052FBF"/>
    <w:rsid w:val="000530FF"/>
    <w:rsid w:val="00053AF8"/>
    <w:rsid w:val="000556E2"/>
    <w:rsid w:val="00055864"/>
    <w:rsid w:val="00056507"/>
    <w:rsid w:val="000573B4"/>
    <w:rsid w:val="000579B9"/>
    <w:rsid w:val="00062F94"/>
    <w:rsid w:val="0006370D"/>
    <w:rsid w:val="0006415D"/>
    <w:rsid w:val="000646D0"/>
    <w:rsid w:val="00065896"/>
    <w:rsid w:val="00065C38"/>
    <w:rsid w:val="000660A5"/>
    <w:rsid w:val="00066173"/>
    <w:rsid w:val="0006717C"/>
    <w:rsid w:val="00067AAE"/>
    <w:rsid w:val="000721FF"/>
    <w:rsid w:val="00072C10"/>
    <w:rsid w:val="00073538"/>
    <w:rsid w:val="000752D3"/>
    <w:rsid w:val="00077616"/>
    <w:rsid w:val="000805A3"/>
    <w:rsid w:val="00081DDA"/>
    <w:rsid w:val="0008460D"/>
    <w:rsid w:val="0008469B"/>
    <w:rsid w:val="00085E28"/>
    <w:rsid w:val="000870DA"/>
    <w:rsid w:val="000870F1"/>
    <w:rsid w:val="00087E32"/>
    <w:rsid w:val="0009241C"/>
    <w:rsid w:val="00095178"/>
    <w:rsid w:val="000959D3"/>
    <w:rsid w:val="00097347"/>
    <w:rsid w:val="000A1280"/>
    <w:rsid w:val="000A1528"/>
    <w:rsid w:val="000A1639"/>
    <w:rsid w:val="000A5374"/>
    <w:rsid w:val="000A6D77"/>
    <w:rsid w:val="000A6F52"/>
    <w:rsid w:val="000B145B"/>
    <w:rsid w:val="000B2BE5"/>
    <w:rsid w:val="000B45EB"/>
    <w:rsid w:val="000B4D85"/>
    <w:rsid w:val="000B6EBD"/>
    <w:rsid w:val="000B725C"/>
    <w:rsid w:val="000C0C4F"/>
    <w:rsid w:val="000C1E25"/>
    <w:rsid w:val="000C3FAF"/>
    <w:rsid w:val="000C4653"/>
    <w:rsid w:val="000C46E3"/>
    <w:rsid w:val="000C4FEC"/>
    <w:rsid w:val="000C5388"/>
    <w:rsid w:val="000C7B95"/>
    <w:rsid w:val="000D0237"/>
    <w:rsid w:val="000D2273"/>
    <w:rsid w:val="000D22DF"/>
    <w:rsid w:val="000D465A"/>
    <w:rsid w:val="000D469F"/>
    <w:rsid w:val="000D5FE1"/>
    <w:rsid w:val="000E11B9"/>
    <w:rsid w:val="000E2257"/>
    <w:rsid w:val="000E26EB"/>
    <w:rsid w:val="000E2CFA"/>
    <w:rsid w:val="000E5720"/>
    <w:rsid w:val="000E5BBD"/>
    <w:rsid w:val="000E5E06"/>
    <w:rsid w:val="000E79ED"/>
    <w:rsid w:val="000F2ADB"/>
    <w:rsid w:val="000F3AEC"/>
    <w:rsid w:val="000F6866"/>
    <w:rsid w:val="000F7163"/>
    <w:rsid w:val="000F7B54"/>
    <w:rsid w:val="001004D7"/>
    <w:rsid w:val="00100F93"/>
    <w:rsid w:val="00101251"/>
    <w:rsid w:val="0010166D"/>
    <w:rsid w:val="00101F8D"/>
    <w:rsid w:val="001045D1"/>
    <w:rsid w:val="001046E9"/>
    <w:rsid w:val="00104A24"/>
    <w:rsid w:val="00104EBC"/>
    <w:rsid w:val="00105511"/>
    <w:rsid w:val="00105EEE"/>
    <w:rsid w:val="001064B3"/>
    <w:rsid w:val="00107D5D"/>
    <w:rsid w:val="0011205F"/>
    <w:rsid w:val="001158FB"/>
    <w:rsid w:val="00115E4B"/>
    <w:rsid w:val="00116260"/>
    <w:rsid w:val="0011631D"/>
    <w:rsid w:val="001175BC"/>
    <w:rsid w:val="00117C15"/>
    <w:rsid w:val="00120677"/>
    <w:rsid w:val="00120B11"/>
    <w:rsid w:val="00120BB9"/>
    <w:rsid w:val="00120F49"/>
    <w:rsid w:val="00122511"/>
    <w:rsid w:val="001225A3"/>
    <w:rsid w:val="001244EF"/>
    <w:rsid w:val="00125AB5"/>
    <w:rsid w:val="001269A4"/>
    <w:rsid w:val="00127404"/>
    <w:rsid w:val="0013088E"/>
    <w:rsid w:val="00132352"/>
    <w:rsid w:val="001323F8"/>
    <w:rsid w:val="00132479"/>
    <w:rsid w:val="0013295D"/>
    <w:rsid w:val="00133C7B"/>
    <w:rsid w:val="001350B8"/>
    <w:rsid w:val="0013571B"/>
    <w:rsid w:val="001368A8"/>
    <w:rsid w:val="00136C25"/>
    <w:rsid w:val="0013747D"/>
    <w:rsid w:val="00142583"/>
    <w:rsid w:val="001432B0"/>
    <w:rsid w:val="00143E05"/>
    <w:rsid w:val="00147F31"/>
    <w:rsid w:val="00150BBE"/>
    <w:rsid w:val="001538A5"/>
    <w:rsid w:val="001558BF"/>
    <w:rsid w:val="00160804"/>
    <w:rsid w:val="0016123F"/>
    <w:rsid w:val="001614B4"/>
    <w:rsid w:val="00162292"/>
    <w:rsid w:val="00162FF1"/>
    <w:rsid w:val="001647DA"/>
    <w:rsid w:val="00164887"/>
    <w:rsid w:val="0016513B"/>
    <w:rsid w:val="0016535A"/>
    <w:rsid w:val="00165900"/>
    <w:rsid w:val="00166E9F"/>
    <w:rsid w:val="00166F51"/>
    <w:rsid w:val="00167054"/>
    <w:rsid w:val="0016732B"/>
    <w:rsid w:val="00171695"/>
    <w:rsid w:val="0017216A"/>
    <w:rsid w:val="00172EA3"/>
    <w:rsid w:val="00174E8E"/>
    <w:rsid w:val="0017521F"/>
    <w:rsid w:val="00175F1F"/>
    <w:rsid w:val="00176DD5"/>
    <w:rsid w:val="00181280"/>
    <w:rsid w:val="001817B1"/>
    <w:rsid w:val="001831AA"/>
    <w:rsid w:val="00183BC3"/>
    <w:rsid w:val="00186159"/>
    <w:rsid w:val="00186D1E"/>
    <w:rsid w:val="001873AC"/>
    <w:rsid w:val="00191F17"/>
    <w:rsid w:val="001925D6"/>
    <w:rsid w:val="00193141"/>
    <w:rsid w:val="001933E7"/>
    <w:rsid w:val="00195C15"/>
    <w:rsid w:val="00197B71"/>
    <w:rsid w:val="001A0156"/>
    <w:rsid w:val="001A0EAF"/>
    <w:rsid w:val="001A0EBB"/>
    <w:rsid w:val="001A1BA7"/>
    <w:rsid w:val="001A1F40"/>
    <w:rsid w:val="001A2BB7"/>
    <w:rsid w:val="001A347E"/>
    <w:rsid w:val="001A3EAE"/>
    <w:rsid w:val="001A4E91"/>
    <w:rsid w:val="001A62BB"/>
    <w:rsid w:val="001A66CE"/>
    <w:rsid w:val="001A68C2"/>
    <w:rsid w:val="001A7C59"/>
    <w:rsid w:val="001B2C5A"/>
    <w:rsid w:val="001B35B9"/>
    <w:rsid w:val="001B5784"/>
    <w:rsid w:val="001B7821"/>
    <w:rsid w:val="001C0044"/>
    <w:rsid w:val="001C01ED"/>
    <w:rsid w:val="001C06FF"/>
    <w:rsid w:val="001C23CF"/>
    <w:rsid w:val="001C28EA"/>
    <w:rsid w:val="001C39C9"/>
    <w:rsid w:val="001C55B2"/>
    <w:rsid w:val="001C70D1"/>
    <w:rsid w:val="001C74A6"/>
    <w:rsid w:val="001C7A10"/>
    <w:rsid w:val="001C7F41"/>
    <w:rsid w:val="001D2211"/>
    <w:rsid w:val="001D2669"/>
    <w:rsid w:val="001D2B1F"/>
    <w:rsid w:val="001D35A0"/>
    <w:rsid w:val="001D4721"/>
    <w:rsid w:val="001D4EF3"/>
    <w:rsid w:val="001D51D3"/>
    <w:rsid w:val="001D6EF3"/>
    <w:rsid w:val="001E08EA"/>
    <w:rsid w:val="001E14E9"/>
    <w:rsid w:val="001E16D6"/>
    <w:rsid w:val="001E1CC7"/>
    <w:rsid w:val="001E2FF9"/>
    <w:rsid w:val="001E4540"/>
    <w:rsid w:val="001E5247"/>
    <w:rsid w:val="001F2414"/>
    <w:rsid w:val="001F27A0"/>
    <w:rsid w:val="001F2EF7"/>
    <w:rsid w:val="001F3981"/>
    <w:rsid w:val="001F6DA8"/>
    <w:rsid w:val="002002C7"/>
    <w:rsid w:val="002017D0"/>
    <w:rsid w:val="002018BF"/>
    <w:rsid w:val="00202D81"/>
    <w:rsid w:val="00204617"/>
    <w:rsid w:val="00210467"/>
    <w:rsid w:val="002107AB"/>
    <w:rsid w:val="00211D9F"/>
    <w:rsid w:val="00213958"/>
    <w:rsid w:val="002149F2"/>
    <w:rsid w:val="00220483"/>
    <w:rsid w:val="00220907"/>
    <w:rsid w:val="00220D4C"/>
    <w:rsid w:val="00222E0C"/>
    <w:rsid w:val="00223BA4"/>
    <w:rsid w:val="0022485B"/>
    <w:rsid w:val="0022587D"/>
    <w:rsid w:val="00225DD5"/>
    <w:rsid w:val="00226CE8"/>
    <w:rsid w:val="002303B9"/>
    <w:rsid w:val="00231D10"/>
    <w:rsid w:val="00233378"/>
    <w:rsid w:val="0023492E"/>
    <w:rsid w:val="00235B0A"/>
    <w:rsid w:val="00235B4B"/>
    <w:rsid w:val="00235B7B"/>
    <w:rsid w:val="00235EF5"/>
    <w:rsid w:val="0024017D"/>
    <w:rsid w:val="0024209B"/>
    <w:rsid w:val="00244193"/>
    <w:rsid w:val="00244ABF"/>
    <w:rsid w:val="00245410"/>
    <w:rsid w:val="00253637"/>
    <w:rsid w:val="002549A4"/>
    <w:rsid w:val="002571F6"/>
    <w:rsid w:val="00260133"/>
    <w:rsid w:val="002612B6"/>
    <w:rsid w:val="00261E7F"/>
    <w:rsid w:val="0026400F"/>
    <w:rsid w:val="00264583"/>
    <w:rsid w:val="00264ECD"/>
    <w:rsid w:val="00266C91"/>
    <w:rsid w:val="00270F03"/>
    <w:rsid w:val="00273F13"/>
    <w:rsid w:val="00280AAC"/>
    <w:rsid w:val="00281137"/>
    <w:rsid w:val="00281229"/>
    <w:rsid w:val="00282575"/>
    <w:rsid w:val="002849E7"/>
    <w:rsid w:val="00284E93"/>
    <w:rsid w:val="00285F74"/>
    <w:rsid w:val="0028703F"/>
    <w:rsid w:val="0028705F"/>
    <w:rsid w:val="00287A9D"/>
    <w:rsid w:val="0029244C"/>
    <w:rsid w:val="002938B0"/>
    <w:rsid w:val="00293D46"/>
    <w:rsid w:val="0029544A"/>
    <w:rsid w:val="00295D20"/>
    <w:rsid w:val="0029673C"/>
    <w:rsid w:val="0029730E"/>
    <w:rsid w:val="002A022F"/>
    <w:rsid w:val="002A2084"/>
    <w:rsid w:val="002A2262"/>
    <w:rsid w:val="002A2C1F"/>
    <w:rsid w:val="002A2DDC"/>
    <w:rsid w:val="002A3F00"/>
    <w:rsid w:val="002A4A81"/>
    <w:rsid w:val="002A5574"/>
    <w:rsid w:val="002A5E92"/>
    <w:rsid w:val="002A603F"/>
    <w:rsid w:val="002A60F4"/>
    <w:rsid w:val="002A737F"/>
    <w:rsid w:val="002B0D8D"/>
    <w:rsid w:val="002B1644"/>
    <w:rsid w:val="002B3A01"/>
    <w:rsid w:val="002B567E"/>
    <w:rsid w:val="002B6007"/>
    <w:rsid w:val="002B6373"/>
    <w:rsid w:val="002B683A"/>
    <w:rsid w:val="002B6931"/>
    <w:rsid w:val="002B6D2D"/>
    <w:rsid w:val="002C02F5"/>
    <w:rsid w:val="002C0BB2"/>
    <w:rsid w:val="002C2C24"/>
    <w:rsid w:val="002C39AF"/>
    <w:rsid w:val="002C73AC"/>
    <w:rsid w:val="002D0042"/>
    <w:rsid w:val="002D00DC"/>
    <w:rsid w:val="002D0A8F"/>
    <w:rsid w:val="002D1AE4"/>
    <w:rsid w:val="002D2269"/>
    <w:rsid w:val="002D23B1"/>
    <w:rsid w:val="002D2A33"/>
    <w:rsid w:val="002D365C"/>
    <w:rsid w:val="002D3BC6"/>
    <w:rsid w:val="002D6980"/>
    <w:rsid w:val="002D74E6"/>
    <w:rsid w:val="002D7808"/>
    <w:rsid w:val="002D7CC2"/>
    <w:rsid w:val="002E2C5D"/>
    <w:rsid w:val="002E56ED"/>
    <w:rsid w:val="002E571D"/>
    <w:rsid w:val="002F0419"/>
    <w:rsid w:val="002F043D"/>
    <w:rsid w:val="002F196A"/>
    <w:rsid w:val="002F1C38"/>
    <w:rsid w:val="002F2B3F"/>
    <w:rsid w:val="002F3DEE"/>
    <w:rsid w:val="002F3E66"/>
    <w:rsid w:val="002F45AF"/>
    <w:rsid w:val="002F6545"/>
    <w:rsid w:val="00300656"/>
    <w:rsid w:val="0030141B"/>
    <w:rsid w:val="00305412"/>
    <w:rsid w:val="00306BCC"/>
    <w:rsid w:val="00306ECA"/>
    <w:rsid w:val="00307AB3"/>
    <w:rsid w:val="00310337"/>
    <w:rsid w:val="00310D7B"/>
    <w:rsid w:val="00313640"/>
    <w:rsid w:val="0031543B"/>
    <w:rsid w:val="00316840"/>
    <w:rsid w:val="00320C44"/>
    <w:rsid w:val="003256D4"/>
    <w:rsid w:val="003263CB"/>
    <w:rsid w:val="00326D16"/>
    <w:rsid w:val="00326E0E"/>
    <w:rsid w:val="00327A75"/>
    <w:rsid w:val="00330093"/>
    <w:rsid w:val="00331D42"/>
    <w:rsid w:val="00332032"/>
    <w:rsid w:val="00332F65"/>
    <w:rsid w:val="00335C15"/>
    <w:rsid w:val="003369B9"/>
    <w:rsid w:val="00336E18"/>
    <w:rsid w:val="003418A7"/>
    <w:rsid w:val="00343DEE"/>
    <w:rsid w:val="00345579"/>
    <w:rsid w:val="00345E5E"/>
    <w:rsid w:val="00346380"/>
    <w:rsid w:val="0034743E"/>
    <w:rsid w:val="00350586"/>
    <w:rsid w:val="003508FF"/>
    <w:rsid w:val="00350F6D"/>
    <w:rsid w:val="003525E4"/>
    <w:rsid w:val="00352670"/>
    <w:rsid w:val="003576A0"/>
    <w:rsid w:val="00357719"/>
    <w:rsid w:val="00360508"/>
    <w:rsid w:val="00360A50"/>
    <w:rsid w:val="00361CD3"/>
    <w:rsid w:val="00362BE6"/>
    <w:rsid w:val="00364C82"/>
    <w:rsid w:val="003662B6"/>
    <w:rsid w:val="00366E02"/>
    <w:rsid w:val="0037081D"/>
    <w:rsid w:val="00371FBA"/>
    <w:rsid w:val="00373431"/>
    <w:rsid w:val="003734B1"/>
    <w:rsid w:val="00373A8D"/>
    <w:rsid w:val="00373AC1"/>
    <w:rsid w:val="00377094"/>
    <w:rsid w:val="0037783B"/>
    <w:rsid w:val="00377B67"/>
    <w:rsid w:val="003805A9"/>
    <w:rsid w:val="00381258"/>
    <w:rsid w:val="003812D8"/>
    <w:rsid w:val="00381916"/>
    <w:rsid w:val="00381A48"/>
    <w:rsid w:val="00381D21"/>
    <w:rsid w:val="00383336"/>
    <w:rsid w:val="00384FD6"/>
    <w:rsid w:val="00385318"/>
    <w:rsid w:val="00386D68"/>
    <w:rsid w:val="00391B77"/>
    <w:rsid w:val="00392C59"/>
    <w:rsid w:val="0039492D"/>
    <w:rsid w:val="003969AB"/>
    <w:rsid w:val="00397924"/>
    <w:rsid w:val="00397F10"/>
    <w:rsid w:val="003A041B"/>
    <w:rsid w:val="003A1344"/>
    <w:rsid w:val="003A26C6"/>
    <w:rsid w:val="003A3F4D"/>
    <w:rsid w:val="003A46CF"/>
    <w:rsid w:val="003B0723"/>
    <w:rsid w:val="003B1A1D"/>
    <w:rsid w:val="003B2295"/>
    <w:rsid w:val="003B2B2B"/>
    <w:rsid w:val="003B4C4B"/>
    <w:rsid w:val="003B5DC0"/>
    <w:rsid w:val="003B6AAD"/>
    <w:rsid w:val="003C1549"/>
    <w:rsid w:val="003C32B1"/>
    <w:rsid w:val="003C3D72"/>
    <w:rsid w:val="003C4BF4"/>
    <w:rsid w:val="003C6C7D"/>
    <w:rsid w:val="003D11CD"/>
    <w:rsid w:val="003D1752"/>
    <w:rsid w:val="003D2C5E"/>
    <w:rsid w:val="003D2F5D"/>
    <w:rsid w:val="003D4DD5"/>
    <w:rsid w:val="003D59D6"/>
    <w:rsid w:val="003D5C42"/>
    <w:rsid w:val="003D7256"/>
    <w:rsid w:val="003E1862"/>
    <w:rsid w:val="003E3DE2"/>
    <w:rsid w:val="003E4168"/>
    <w:rsid w:val="003E5EF7"/>
    <w:rsid w:val="003E5F05"/>
    <w:rsid w:val="003E666B"/>
    <w:rsid w:val="003E7131"/>
    <w:rsid w:val="003E7584"/>
    <w:rsid w:val="003F0171"/>
    <w:rsid w:val="003F34D8"/>
    <w:rsid w:val="003F436A"/>
    <w:rsid w:val="003F43D4"/>
    <w:rsid w:val="003F68F7"/>
    <w:rsid w:val="00400396"/>
    <w:rsid w:val="004007C3"/>
    <w:rsid w:val="00400EE4"/>
    <w:rsid w:val="00405487"/>
    <w:rsid w:val="0040644A"/>
    <w:rsid w:val="004069C2"/>
    <w:rsid w:val="00407196"/>
    <w:rsid w:val="004071FA"/>
    <w:rsid w:val="00407E9A"/>
    <w:rsid w:val="00410462"/>
    <w:rsid w:val="004115FB"/>
    <w:rsid w:val="00414528"/>
    <w:rsid w:val="004147B6"/>
    <w:rsid w:val="0041678E"/>
    <w:rsid w:val="00420175"/>
    <w:rsid w:val="00421255"/>
    <w:rsid w:val="00422009"/>
    <w:rsid w:val="00423904"/>
    <w:rsid w:val="0042398F"/>
    <w:rsid w:val="00424BE9"/>
    <w:rsid w:val="00425100"/>
    <w:rsid w:val="00425355"/>
    <w:rsid w:val="00425757"/>
    <w:rsid w:val="0042680E"/>
    <w:rsid w:val="00426B19"/>
    <w:rsid w:val="00430C3D"/>
    <w:rsid w:val="00430CC6"/>
    <w:rsid w:val="00430E88"/>
    <w:rsid w:val="00431D05"/>
    <w:rsid w:val="00432CF9"/>
    <w:rsid w:val="00432D9A"/>
    <w:rsid w:val="00433442"/>
    <w:rsid w:val="00433C58"/>
    <w:rsid w:val="00434240"/>
    <w:rsid w:val="004349F3"/>
    <w:rsid w:val="00434CB2"/>
    <w:rsid w:val="00434FE7"/>
    <w:rsid w:val="00436191"/>
    <w:rsid w:val="004367A0"/>
    <w:rsid w:val="00436933"/>
    <w:rsid w:val="00436E19"/>
    <w:rsid w:val="00437F50"/>
    <w:rsid w:val="00440344"/>
    <w:rsid w:val="00441748"/>
    <w:rsid w:val="00441A0D"/>
    <w:rsid w:val="00442032"/>
    <w:rsid w:val="004420A3"/>
    <w:rsid w:val="00443F85"/>
    <w:rsid w:val="004457ED"/>
    <w:rsid w:val="00445E73"/>
    <w:rsid w:val="00450856"/>
    <w:rsid w:val="00452557"/>
    <w:rsid w:val="00452B99"/>
    <w:rsid w:val="00453591"/>
    <w:rsid w:val="00456F88"/>
    <w:rsid w:val="00457850"/>
    <w:rsid w:val="00461564"/>
    <w:rsid w:val="00462352"/>
    <w:rsid w:val="0046252F"/>
    <w:rsid w:val="004627CA"/>
    <w:rsid w:val="00463069"/>
    <w:rsid w:val="00463308"/>
    <w:rsid w:val="00464C8A"/>
    <w:rsid w:val="00465F93"/>
    <w:rsid w:val="004707F4"/>
    <w:rsid w:val="00472BB3"/>
    <w:rsid w:val="00474B0F"/>
    <w:rsid w:val="00474F5D"/>
    <w:rsid w:val="0047601B"/>
    <w:rsid w:val="004760F1"/>
    <w:rsid w:val="004779F6"/>
    <w:rsid w:val="00480C65"/>
    <w:rsid w:val="00481A95"/>
    <w:rsid w:val="00482455"/>
    <w:rsid w:val="00483674"/>
    <w:rsid w:val="004837FF"/>
    <w:rsid w:val="00484246"/>
    <w:rsid w:val="00485F2D"/>
    <w:rsid w:val="00490A0F"/>
    <w:rsid w:val="0049296A"/>
    <w:rsid w:val="0049640A"/>
    <w:rsid w:val="00496514"/>
    <w:rsid w:val="00496BDF"/>
    <w:rsid w:val="004A0582"/>
    <w:rsid w:val="004A1D92"/>
    <w:rsid w:val="004A442B"/>
    <w:rsid w:val="004A63C2"/>
    <w:rsid w:val="004A6612"/>
    <w:rsid w:val="004A7E9B"/>
    <w:rsid w:val="004B0283"/>
    <w:rsid w:val="004B0EA7"/>
    <w:rsid w:val="004B3794"/>
    <w:rsid w:val="004B4E1C"/>
    <w:rsid w:val="004B5CC5"/>
    <w:rsid w:val="004B5D3E"/>
    <w:rsid w:val="004C085F"/>
    <w:rsid w:val="004C0B7B"/>
    <w:rsid w:val="004C259B"/>
    <w:rsid w:val="004C3E08"/>
    <w:rsid w:val="004C44F7"/>
    <w:rsid w:val="004C6053"/>
    <w:rsid w:val="004C62D6"/>
    <w:rsid w:val="004C6C44"/>
    <w:rsid w:val="004C7B5A"/>
    <w:rsid w:val="004D3A94"/>
    <w:rsid w:val="004D3F88"/>
    <w:rsid w:val="004E076B"/>
    <w:rsid w:val="004E0CBC"/>
    <w:rsid w:val="004E1B89"/>
    <w:rsid w:val="004E272E"/>
    <w:rsid w:val="004E57D5"/>
    <w:rsid w:val="004E66C3"/>
    <w:rsid w:val="004E767E"/>
    <w:rsid w:val="004E7891"/>
    <w:rsid w:val="004F0C21"/>
    <w:rsid w:val="004F2011"/>
    <w:rsid w:val="004F2012"/>
    <w:rsid w:val="004F2F6B"/>
    <w:rsid w:val="004F39CA"/>
    <w:rsid w:val="004F3A84"/>
    <w:rsid w:val="004F521B"/>
    <w:rsid w:val="00500454"/>
    <w:rsid w:val="005011E4"/>
    <w:rsid w:val="00501423"/>
    <w:rsid w:val="005016F0"/>
    <w:rsid w:val="00503B86"/>
    <w:rsid w:val="0050452E"/>
    <w:rsid w:val="00504AA0"/>
    <w:rsid w:val="00505FAE"/>
    <w:rsid w:val="00511A6B"/>
    <w:rsid w:val="005129A8"/>
    <w:rsid w:val="00513772"/>
    <w:rsid w:val="00513BDE"/>
    <w:rsid w:val="005148F1"/>
    <w:rsid w:val="00514EBA"/>
    <w:rsid w:val="00515E58"/>
    <w:rsid w:val="00517BF1"/>
    <w:rsid w:val="005201C2"/>
    <w:rsid w:val="00520797"/>
    <w:rsid w:val="00521498"/>
    <w:rsid w:val="00521C8D"/>
    <w:rsid w:val="00527791"/>
    <w:rsid w:val="0052789D"/>
    <w:rsid w:val="00530651"/>
    <w:rsid w:val="00531920"/>
    <w:rsid w:val="00531AAA"/>
    <w:rsid w:val="00533286"/>
    <w:rsid w:val="0053391E"/>
    <w:rsid w:val="00533B60"/>
    <w:rsid w:val="00534CEC"/>
    <w:rsid w:val="005371C2"/>
    <w:rsid w:val="00541868"/>
    <w:rsid w:val="00541A4B"/>
    <w:rsid w:val="00542221"/>
    <w:rsid w:val="00542525"/>
    <w:rsid w:val="00543F35"/>
    <w:rsid w:val="005453D2"/>
    <w:rsid w:val="005465C8"/>
    <w:rsid w:val="00546FA4"/>
    <w:rsid w:val="005504D3"/>
    <w:rsid w:val="0055175F"/>
    <w:rsid w:val="00551E9D"/>
    <w:rsid w:val="00555241"/>
    <w:rsid w:val="005574E2"/>
    <w:rsid w:val="005614B1"/>
    <w:rsid w:val="005624D5"/>
    <w:rsid w:val="00562C90"/>
    <w:rsid w:val="00563D2C"/>
    <w:rsid w:val="00563F02"/>
    <w:rsid w:val="005672EE"/>
    <w:rsid w:val="00567B0E"/>
    <w:rsid w:val="005704A3"/>
    <w:rsid w:val="00570FCD"/>
    <w:rsid w:val="00572021"/>
    <w:rsid w:val="005735DA"/>
    <w:rsid w:val="005738A3"/>
    <w:rsid w:val="00573C30"/>
    <w:rsid w:val="00575650"/>
    <w:rsid w:val="00576ACD"/>
    <w:rsid w:val="0058077D"/>
    <w:rsid w:val="00581424"/>
    <w:rsid w:val="0058230C"/>
    <w:rsid w:val="005824CA"/>
    <w:rsid w:val="00585B3C"/>
    <w:rsid w:val="00586437"/>
    <w:rsid w:val="005868CC"/>
    <w:rsid w:val="00591574"/>
    <w:rsid w:val="0059466C"/>
    <w:rsid w:val="005948C2"/>
    <w:rsid w:val="00594F0F"/>
    <w:rsid w:val="00595415"/>
    <w:rsid w:val="005A02C7"/>
    <w:rsid w:val="005A0509"/>
    <w:rsid w:val="005A1E8A"/>
    <w:rsid w:val="005A1FC1"/>
    <w:rsid w:val="005A268A"/>
    <w:rsid w:val="005A278F"/>
    <w:rsid w:val="005A30C2"/>
    <w:rsid w:val="005A3FFC"/>
    <w:rsid w:val="005A451B"/>
    <w:rsid w:val="005A46C2"/>
    <w:rsid w:val="005A6AF3"/>
    <w:rsid w:val="005B0A73"/>
    <w:rsid w:val="005B1E7A"/>
    <w:rsid w:val="005B3B1E"/>
    <w:rsid w:val="005B4246"/>
    <w:rsid w:val="005B7CC9"/>
    <w:rsid w:val="005B7D1F"/>
    <w:rsid w:val="005C191A"/>
    <w:rsid w:val="005C3597"/>
    <w:rsid w:val="005C3F13"/>
    <w:rsid w:val="005C4171"/>
    <w:rsid w:val="005C512F"/>
    <w:rsid w:val="005C5B4C"/>
    <w:rsid w:val="005D2459"/>
    <w:rsid w:val="005D4113"/>
    <w:rsid w:val="005D5C78"/>
    <w:rsid w:val="005D656B"/>
    <w:rsid w:val="005D65AC"/>
    <w:rsid w:val="005D6E37"/>
    <w:rsid w:val="005D7256"/>
    <w:rsid w:val="005E03A5"/>
    <w:rsid w:val="005E1DF2"/>
    <w:rsid w:val="005E3CFF"/>
    <w:rsid w:val="005E3D64"/>
    <w:rsid w:val="005E4942"/>
    <w:rsid w:val="005E5675"/>
    <w:rsid w:val="005E61A5"/>
    <w:rsid w:val="005E743B"/>
    <w:rsid w:val="005F020E"/>
    <w:rsid w:val="005F1ECA"/>
    <w:rsid w:val="005F2DFD"/>
    <w:rsid w:val="005F3109"/>
    <w:rsid w:val="005F534B"/>
    <w:rsid w:val="005F5A20"/>
    <w:rsid w:val="005F6143"/>
    <w:rsid w:val="005F621D"/>
    <w:rsid w:val="005F6604"/>
    <w:rsid w:val="005F70CE"/>
    <w:rsid w:val="005F7561"/>
    <w:rsid w:val="005F78DE"/>
    <w:rsid w:val="005F7E0C"/>
    <w:rsid w:val="00600E65"/>
    <w:rsid w:val="00601242"/>
    <w:rsid w:val="0060290C"/>
    <w:rsid w:val="00602991"/>
    <w:rsid w:val="00602CEC"/>
    <w:rsid w:val="0060481D"/>
    <w:rsid w:val="00604929"/>
    <w:rsid w:val="00604953"/>
    <w:rsid w:val="00604B4E"/>
    <w:rsid w:val="00605BE8"/>
    <w:rsid w:val="006060E9"/>
    <w:rsid w:val="006074BB"/>
    <w:rsid w:val="006108BF"/>
    <w:rsid w:val="006116FF"/>
    <w:rsid w:val="00611818"/>
    <w:rsid w:val="00611DFF"/>
    <w:rsid w:val="00613344"/>
    <w:rsid w:val="00613D2D"/>
    <w:rsid w:val="006151D3"/>
    <w:rsid w:val="00615B73"/>
    <w:rsid w:val="00616164"/>
    <w:rsid w:val="006171EB"/>
    <w:rsid w:val="00621D96"/>
    <w:rsid w:val="00622517"/>
    <w:rsid w:val="00622C39"/>
    <w:rsid w:val="00624533"/>
    <w:rsid w:val="00624FC6"/>
    <w:rsid w:val="00627998"/>
    <w:rsid w:val="006279E4"/>
    <w:rsid w:val="00630DB9"/>
    <w:rsid w:val="00631042"/>
    <w:rsid w:val="0063183B"/>
    <w:rsid w:val="006329B8"/>
    <w:rsid w:val="00633839"/>
    <w:rsid w:val="00636966"/>
    <w:rsid w:val="00637224"/>
    <w:rsid w:val="00637BCB"/>
    <w:rsid w:val="00640D88"/>
    <w:rsid w:val="00640F05"/>
    <w:rsid w:val="006426A8"/>
    <w:rsid w:val="0064621E"/>
    <w:rsid w:val="006468CF"/>
    <w:rsid w:val="00647350"/>
    <w:rsid w:val="00647870"/>
    <w:rsid w:val="00647BBA"/>
    <w:rsid w:val="0065254F"/>
    <w:rsid w:val="00652B32"/>
    <w:rsid w:val="00654E27"/>
    <w:rsid w:val="00655278"/>
    <w:rsid w:val="00657622"/>
    <w:rsid w:val="00661AF6"/>
    <w:rsid w:val="00661D10"/>
    <w:rsid w:val="0066237C"/>
    <w:rsid w:val="00663BAF"/>
    <w:rsid w:val="00665337"/>
    <w:rsid w:val="00665676"/>
    <w:rsid w:val="00665830"/>
    <w:rsid w:val="0066599E"/>
    <w:rsid w:val="00665AD1"/>
    <w:rsid w:val="00666419"/>
    <w:rsid w:val="00666A9C"/>
    <w:rsid w:val="006678EB"/>
    <w:rsid w:val="00671705"/>
    <w:rsid w:val="0067200B"/>
    <w:rsid w:val="00672181"/>
    <w:rsid w:val="006723E1"/>
    <w:rsid w:val="00674E1E"/>
    <w:rsid w:val="00676436"/>
    <w:rsid w:val="00676AB3"/>
    <w:rsid w:val="00676C05"/>
    <w:rsid w:val="006851AF"/>
    <w:rsid w:val="006861ED"/>
    <w:rsid w:val="006917B8"/>
    <w:rsid w:val="0069351A"/>
    <w:rsid w:val="00693B93"/>
    <w:rsid w:val="00694805"/>
    <w:rsid w:val="006963A5"/>
    <w:rsid w:val="006967EE"/>
    <w:rsid w:val="006A17B5"/>
    <w:rsid w:val="006A2F68"/>
    <w:rsid w:val="006A4308"/>
    <w:rsid w:val="006A5457"/>
    <w:rsid w:val="006A5B77"/>
    <w:rsid w:val="006A73FB"/>
    <w:rsid w:val="006A79BA"/>
    <w:rsid w:val="006B01D9"/>
    <w:rsid w:val="006B0CA0"/>
    <w:rsid w:val="006B0F56"/>
    <w:rsid w:val="006B1496"/>
    <w:rsid w:val="006B1B0B"/>
    <w:rsid w:val="006B2719"/>
    <w:rsid w:val="006B2A4A"/>
    <w:rsid w:val="006B43D6"/>
    <w:rsid w:val="006B4BCE"/>
    <w:rsid w:val="006B57BB"/>
    <w:rsid w:val="006B73FC"/>
    <w:rsid w:val="006C15B5"/>
    <w:rsid w:val="006C1C98"/>
    <w:rsid w:val="006C208C"/>
    <w:rsid w:val="006C2BD6"/>
    <w:rsid w:val="006C3CDD"/>
    <w:rsid w:val="006C4693"/>
    <w:rsid w:val="006C51CB"/>
    <w:rsid w:val="006C6C3C"/>
    <w:rsid w:val="006C6CA1"/>
    <w:rsid w:val="006D317E"/>
    <w:rsid w:val="006D78BA"/>
    <w:rsid w:val="006E1352"/>
    <w:rsid w:val="006E2BC8"/>
    <w:rsid w:val="006E3ED2"/>
    <w:rsid w:val="006E5673"/>
    <w:rsid w:val="006F00A6"/>
    <w:rsid w:val="006F02B8"/>
    <w:rsid w:val="006F2B50"/>
    <w:rsid w:val="0070047D"/>
    <w:rsid w:val="0070215B"/>
    <w:rsid w:val="00704572"/>
    <w:rsid w:val="00704BED"/>
    <w:rsid w:val="0070677B"/>
    <w:rsid w:val="00706EAA"/>
    <w:rsid w:val="00710B76"/>
    <w:rsid w:val="0071106E"/>
    <w:rsid w:val="007125C6"/>
    <w:rsid w:val="00712F57"/>
    <w:rsid w:val="00713D6C"/>
    <w:rsid w:val="00715B1D"/>
    <w:rsid w:val="00715B21"/>
    <w:rsid w:val="00716328"/>
    <w:rsid w:val="0071747F"/>
    <w:rsid w:val="00717F87"/>
    <w:rsid w:val="00721420"/>
    <w:rsid w:val="00721BAE"/>
    <w:rsid w:val="00721D01"/>
    <w:rsid w:val="00722156"/>
    <w:rsid w:val="0072251B"/>
    <w:rsid w:val="00723D60"/>
    <w:rsid w:val="007244FC"/>
    <w:rsid w:val="00725123"/>
    <w:rsid w:val="007265C5"/>
    <w:rsid w:val="0072792D"/>
    <w:rsid w:val="00732DC0"/>
    <w:rsid w:val="007347F0"/>
    <w:rsid w:val="007348F6"/>
    <w:rsid w:val="00734B28"/>
    <w:rsid w:val="00736276"/>
    <w:rsid w:val="0073781F"/>
    <w:rsid w:val="0074021B"/>
    <w:rsid w:val="007402CB"/>
    <w:rsid w:val="00740445"/>
    <w:rsid w:val="0074163E"/>
    <w:rsid w:val="00746396"/>
    <w:rsid w:val="00746FEE"/>
    <w:rsid w:val="00750C33"/>
    <w:rsid w:val="00752CA6"/>
    <w:rsid w:val="00753DB7"/>
    <w:rsid w:val="007560A0"/>
    <w:rsid w:val="00757319"/>
    <w:rsid w:val="007577A4"/>
    <w:rsid w:val="007616CE"/>
    <w:rsid w:val="00761FB9"/>
    <w:rsid w:val="00762944"/>
    <w:rsid w:val="00763278"/>
    <w:rsid w:val="007643D5"/>
    <w:rsid w:val="0076462A"/>
    <w:rsid w:val="0076652B"/>
    <w:rsid w:val="007666BF"/>
    <w:rsid w:val="0076682D"/>
    <w:rsid w:val="00770D5E"/>
    <w:rsid w:val="0077125C"/>
    <w:rsid w:val="00771A2A"/>
    <w:rsid w:val="0077316F"/>
    <w:rsid w:val="007735E6"/>
    <w:rsid w:val="00774672"/>
    <w:rsid w:val="007747DF"/>
    <w:rsid w:val="00775DED"/>
    <w:rsid w:val="00776CD3"/>
    <w:rsid w:val="00777101"/>
    <w:rsid w:val="00777FAC"/>
    <w:rsid w:val="00780605"/>
    <w:rsid w:val="0078132A"/>
    <w:rsid w:val="00782832"/>
    <w:rsid w:val="00790A53"/>
    <w:rsid w:val="00790EDE"/>
    <w:rsid w:val="0079136B"/>
    <w:rsid w:val="00793669"/>
    <w:rsid w:val="0079655F"/>
    <w:rsid w:val="00797F6F"/>
    <w:rsid w:val="007A020A"/>
    <w:rsid w:val="007A1103"/>
    <w:rsid w:val="007A43B2"/>
    <w:rsid w:val="007A53E6"/>
    <w:rsid w:val="007A69C2"/>
    <w:rsid w:val="007A77C1"/>
    <w:rsid w:val="007B1425"/>
    <w:rsid w:val="007B2E4E"/>
    <w:rsid w:val="007B6550"/>
    <w:rsid w:val="007B66E1"/>
    <w:rsid w:val="007B6E0E"/>
    <w:rsid w:val="007B74CA"/>
    <w:rsid w:val="007B7D6D"/>
    <w:rsid w:val="007C0035"/>
    <w:rsid w:val="007C030C"/>
    <w:rsid w:val="007C0431"/>
    <w:rsid w:val="007C2800"/>
    <w:rsid w:val="007C3D3C"/>
    <w:rsid w:val="007C3E0B"/>
    <w:rsid w:val="007C44FA"/>
    <w:rsid w:val="007C59FC"/>
    <w:rsid w:val="007C6D47"/>
    <w:rsid w:val="007D05CB"/>
    <w:rsid w:val="007D2907"/>
    <w:rsid w:val="007D2946"/>
    <w:rsid w:val="007D44CC"/>
    <w:rsid w:val="007D6925"/>
    <w:rsid w:val="007D6C7C"/>
    <w:rsid w:val="007D7178"/>
    <w:rsid w:val="007D7C4A"/>
    <w:rsid w:val="007E16FC"/>
    <w:rsid w:val="007E1B31"/>
    <w:rsid w:val="007E2481"/>
    <w:rsid w:val="007E4EFE"/>
    <w:rsid w:val="007E7549"/>
    <w:rsid w:val="007E758B"/>
    <w:rsid w:val="007E7BF7"/>
    <w:rsid w:val="007E7FAA"/>
    <w:rsid w:val="007F06E8"/>
    <w:rsid w:val="007F2D89"/>
    <w:rsid w:val="007F3F75"/>
    <w:rsid w:val="007F3FCF"/>
    <w:rsid w:val="007F5827"/>
    <w:rsid w:val="007F5862"/>
    <w:rsid w:val="007F62E3"/>
    <w:rsid w:val="007F6313"/>
    <w:rsid w:val="007F6A64"/>
    <w:rsid w:val="007F763E"/>
    <w:rsid w:val="00801217"/>
    <w:rsid w:val="00801C95"/>
    <w:rsid w:val="0080206C"/>
    <w:rsid w:val="008029F0"/>
    <w:rsid w:val="00802CA8"/>
    <w:rsid w:val="00803D57"/>
    <w:rsid w:val="008071D5"/>
    <w:rsid w:val="008078FA"/>
    <w:rsid w:val="00807B08"/>
    <w:rsid w:val="008101E7"/>
    <w:rsid w:val="00811A98"/>
    <w:rsid w:val="008143D6"/>
    <w:rsid w:val="0081532B"/>
    <w:rsid w:val="00816515"/>
    <w:rsid w:val="008173B2"/>
    <w:rsid w:val="008178E9"/>
    <w:rsid w:val="00820E0A"/>
    <w:rsid w:val="00820F72"/>
    <w:rsid w:val="00821941"/>
    <w:rsid w:val="00821A01"/>
    <w:rsid w:val="008231A8"/>
    <w:rsid w:val="008235EF"/>
    <w:rsid w:val="0082394C"/>
    <w:rsid w:val="00824504"/>
    <w:rsid w:val="00824FF5"/>
    <w:rsid w:val="008316EB"/>
    <w:rsid w:val="008328F3"/>
    <w:rsid w:val="008336E0"/>
    <w:rsid w:val="00834B53"/>
    <w:rsid w:val="0083653D"/>
    <w:rsid w:val="00836C52"/>
    <w:rsid w:val="00837D78"/>
    <w:rsid w:val="008404B0"/>
    <w:rsid w:val="00842CCB"/>
    <w:rsid w:val="00843B5B"/>
    <w:rsid w:val="00843C11"/>
    <w:rsid w:val="00844A86"/>
    <w:rsid w:val="008450CC"/>
    <w:rsid w:val="00846D31"/>
    <w:rsid w:val="00851B00"/>
    <w:rsid w:val="00853630"/>
    <w:rsid w:val="0085397A"/>
    <w:rsid w:val="00853BDA"/>
    <w:rsid w:val="00854861"/>
    <w:rsid w:val="008569C4"/>
    <w:rsid w:val="0086244D"/>
    <w:rsid w:val="008629D1"/>
    <w:rsid w:val="008636C8"/>
    <w:rsid w:val="008675A0"/>
    <w:rsid w:val="00867AC4"/>
    <w:rsid w:val="0087141C"/>
    <w:rsid w:val="00873C8A"/>
    <w:rsid w:val="00873C8D"/>
    <w:rsid w:val="00875A89"/>
    <w:rsid w:val="00877923"/>
    <w:rsid w:val="0088074C"/>
    <w:rsid w:val="008807FF"/>
    <w:rsid w:val="008808CD"/>
    <w:rsid w:val="00880C92"/>
    <w:rsid w:val="00882332"/>
    <w:rsid w:val="00882627"/>
    <w:rsid w:val="00882813"/>
    <w:rsid w:val="0088434D"/>
    <w:rsid w:val="008855FC"/>
    <w:rsid w:val="00890231"/>
    <w:rsid w:val="0089120D"/>
    <w:rsid w:val="00891793"/>
    <w:rsid w:val="0089278F"/>
    <w:rsid w:val="0089582C"/>
    <w:rsid w:val="008A0BB5"/>
    <w:rsid w:val="008A35F0"/>
    <w:rsid w:val="008A5472"/>
    <w:rsid w:val="008B0D0E"/>
    <w:rsid w:val="008B13F3"/>
    <w:rsid w:val="008B2340"/>
    <w:rsid w:val="008B2397"/>
    <w:rsid w:val="008B28A8"/>
    <w:rsid w:val="008B2E8C"/>
    <w:rsid w:val="008B34C6"/>
    <w:rsid w:val="008B3A5E"/>
    <w:rsid w:val="008B5A20"/>
    <w:rsid w:val="008B77DF"/>
    <w:rsid w:val="008C0EB3"/>
    <w:rsid w:val="008C1691"/>
    <w:rsid w:val="008C24D6"/>
    <w:rsid w:val="008C45B4"/>
    <w:rsid w:val="008C4D6F"/>
    <w:rsid w:val="008C56DA"/>
    <w:rsid w:val="008C5807"/>
    <w:rsid w:val="008C7853"/>
    <w:rsid w:val="008D11A9"/>
    <w:rsid w:val="008D1455"/>
    <w:rsid w:val="008D176F"/>
    <w:rsid w:val="008D35F3"/>
    <w:rsid w:val="008D6EA4"/>
    <w:rsid w:val="008D6FCC"/>
    <w:rsid w:val="008D795F"/>
    <w:rsid w:val="008D7B2E"/>
    <w:rsid w:val="008D7D01"/>
    <w:rsid w:val="008E0A57"/>
    <w:rsid w:val="008E30EE"/>
    <w:rsid w:val="008E4710"/>
    <w:rsid w:val="008E714D"/>
    <w:rsid w:val="008E7215"/>
    <w:rsid w:val="008F1977"/>
    <w:rsid w:val="008F1A3C"/>
    <w:rsid w:val="008F31B1"/>
    <w:rsid w:val="008F32F4"/>
    <w:rsid w:val="008F3BB6"/>
    <w:rsid w:val="009009F2"/>
    <w:rsid w:val="0090124D"/>
    <w:rsid w:val="00901E5B"/>
    <w:rsid w:val="00904CF9"/>
    <w:rsid w:val="00905418"/>
    <w:rsid w:val="0090543B"/>
    <w:rsid w:val="00910A8F"/>
    <w:rsid w:val="00911960"/>
    <w:rsid w:val="00913221"/>
    <w:rsid w:val="00913243"/>
    <w:rsid w:val="009136CA"/>
    <w:rsid w:val="0091395E"/>
    <w:rsid w:val="00914EAF"/>
    <w:rsid w:val="00915A59"/>
    <w:rsid w:val="00915F43"/>
    <w:rsid w:val="009172EC"/>
    <w:rsid w:val="009176D7"/>
    <w:rsid w:val="00917A8D"/>
    <w:rsid w:val="00917BE6"/>
    <w:rsid w:val="00917C42"/>
    <w:rsid w:val="009200E7"/>
    <w:rsid w:val="00921FBD"/>
    <w:rsid w:val="00922312"/>
    <w:rsid w:val="009266D1"/>
    <w:rsid w:val="009300F7"/>
    <w:rsid w:val="009327A3"/>
    <w:rsid w:val="00934864"/>
    <w:rsid w:val="00934DB8"/>
    <w:rsid w:val="00935674"/>
    <w:rsid w:val="0093640B"/>
    <w:rsid w:val="00936904"/>
    <w:rsid w:val="0093780B"/>
    <w:rsid w:val="00937EEC"/>
    <w:rsid w:val="00940DD0"/>
    <w:rsid w:val="00941039"/>
    <w:rsid w:val="00941261"/>
    <w:rsid w:val="00941809"/>
    <w:rsid w:val="00942049"/>
    <w:rsid w:val="00942D07"/>
    <w:rsid w:val="00943379"/>
    <w:rsid w:val="00944510"/>
    <w:rsid w:val="0094530D"/>
    <w:rsid w:val="009454D6"/>
    <w:rsid w:val="009478B7"/>
    <w:rsid w:val="00947B72"/>
    <w:rsid w:val="0095033E"/>
    <w:rsid w:val="00950521"/>
    <w:rsid w:val="0095125A"/>
    <w:rsid w:val="009513CA"/>
    <w:rsid w:val="009515D4"/>
    <w:rsid w:val="00951F1A"/>
    <w:rsid w:val="009522A4"/>
    <w:rsid w:val="00952768"/>
    <w:rsid w:val="0095503A"/>
    <w:rsid w:val="00960C60"/>
    <w:rsid w:val="00960C92"/>
    <w:rsid w:val="00960ECD"/>
    <w:rsid w:val="009614EB"/>
    <w:rsid w:val="0096343A"/>
    <w:rsid w:val="00966EF0"/>
    <w:rsid w:val="00967C19"/>
    <w:rsid w:val="00970AAF"/>
    <w:rsid w:val="00970B22"/>
    <w:rsid w:val="00970DD7"/>
    <w:rsid w:val="00972724"/>
    <w:rsid w:val="009741D9"/>
    <w:rsid w:val="00976030"/>
    <w:rsid w:val="009767E2"/>
    <w:rsid w:val="00976D1B"/>
    <w:rsid w:val="00980892"/>
    <w:rsid w:val="009810A2"/>
    <w:rsid w:val="009810E3"/>
    <w:rsid w:val="00983987"/>
    <w:rsid w:val="009846FE"/>
    <w:rsid w:val="00984EBF"/>
    <w:rsid w:val="00985166"/>
    <w:rsid w:val="00985E08"/>
    <w:rsid w:val="00985E60"/>
    <w:rsid w:val="0098650E"/>
    <w:rsid w:val="00987077"/>
    <w:rsid w:val="00991BC9"/>
    <w:rsid w:val="009933AA"/>
    <w:rsid w:val="00993618"/>
    <w:rsid w:val="009948E4"/>
    <w:rsid w:val="00995E5A"/>
    <w:rsid w:val="00996396"/>
    <w:rsid w:val="009A20E5"/>
    <w:rsid w:val="009A5F98"/>
    <w:rsid w:val="009A6331"/>
    <w:rsid w:val="009A7775"/>
    <w:rsid w:val="009B094D"/>
    <w:rsid w:val="009B0D86"/>
    <w:rsid w:val="009B0DD1"/>
    <w:rsid w:val="009B18DF"/>
    <w:rsid w:val="009B1CB3"/>
    <w:rsid w:val="009B31BD"/>
    <w:rsid w:val="009B408D"/>
    <w:rsid w:val="009B467F"/>
    <w:rsid w:val="009B4D3A"/>
    <w:rsid w:val="009C008A"/>
    <w:rsid w:val="009C08A1"/>
    <w:rsid w:val="009C1409"/>
    <w:rsid w:val="009C40FA"/>
    <w:rsid w:val="009C46B0"/>
    <w:rsid w:val="009C5959"/>
    <w:rsid w:val="009C5B7E"/>
    <w:rsid w:val="009C7335"/>
    <w:rsid w:val="009C7434"/>
    <w:rsid w:val="009D0A75"/>
    <w:rsid w:val="009D28A7"/>
    <w:rsid w:val="009E0EA4"/>
    <w:rsid w:val="009E0F7C"/>
    <w:rsid w:val="009E32ED"/>
    <w:rsid w:val="009E4D97"/>
    <w:rsid w:val="009E53C9"/>
    <w:rsid w:val="009E59C1"/>
    <w:rsid w:val="009F189F"/>
    <w:rsid w:val="009F1B4C"/>
    <w:rsid w:val="009F208A"/>
    <w:rsid w:val="009F2948"/>
    <w:rsid w:val="009F4833"/>
    <w:rsid w:val="009F616F"/>
    <w:rsid w:val="009F7F1E"/>
    <w:rsid w:val="00A025F5"/>
    <w:rsid w:val="00A02FDC"/>
    <w:rsid w:val="00A031D5"/>
    <w:rsid w:val="00A03FEA"/>
    <w:rsid w:val="00A047F2"/>
    <w:rsid w:val="00A05FD1"/>
    <w:rsid w:val="00A0607A"/>
    <w:rsid w:val="00A06514"/>
    <w:rsid w:val="00A117B5"/>
    <w:rsid w:val="00A123DC"/>
    <w:rsid w:val="00A1442A"/>
    <w:rsid w:val="00A14DF2"/>
    <w:rsid w:val="00A14E76"/>
    <w:rsid w:val="00A15AB0"/>
    <w:rsid w:val="00A15DD1"/>
    <w:rsid w:val="00A15E33"/>
    <w:rsid w:val="00A164AE"/>
    <w:rsid w:val="00A216A6"/>
    <w:rsid w:val="00A21C2A"/>
    <w:rsid w:val="00A23226"/>
    <w:rsid w:val="00A248A5"/>
    <w:rsid w:val="00A24EAC"/>
    <w:rsid w:val="00A254DF"/>
    <w:rsid w:val="00A30303"/>
    <w:rsid w:val="00A326E5"/>
    <w:rsid w:val="00A40FA3"/>
    <w:rsid w:val="00A41C82"/>
    <w:rsid w:val="00A424F0"/>
    <w:rsid w:val="00A42830"/>
    <w:rsid w:val="00A44146"/>
    <w:rsid w:val="00A46752"/>
    <w:rsid w:val="00A47017"/>
    <w:rsid w:val="00A47518"/>
    <w:rsid w:val="00A479F4"/>
    <w:rsid w:val="00A507AC"/>
    <w:rsid w:val="00A50BC5"/>
    <w:rsid w:val="00A50CEB"/>
    <w:rsid w:val="00A51EBC"/>
    <w:rsid w:val="00A524D3"/>
    <w:rsid w:val="00A530AB"/>
    <w:rsid w:val="00A540F8"/>
    <w:rsid w:val="00A54AA6"/>
    <w:rsid w:val="00A55247"/>
    <w:rsid w:val="00A56FDF"/>
    <w:rsid w:val="00A6296C"/>
    <w:rsid w:val="00A62B45"/>
    <w:rsid w:val="00A637F0"/>
    <w:rsid w:val="00A64CBD"/>
    <w:rsid w:val="00A650A1"/>
    <w:rsid w:val="00A66A55"/>
    <w:rsid w:val="00A7067F"/>
    <w:rsid w:val="00A709F3"/>
    <w:rsid w:val="00A71B34"/>
    <w:rsid w:val="00A71D14"/>
    <w:rsid w:val="00A71FC3"/>
    <w:rsid w:val="00A74834"/>
    <w:rsid w:val="00A74A0F"/>
    <w:rsid w:val="00A77525"/>
    <w:rsid w:val="00A81E68"/>
    <w:rsid w:val="00A82636"/>
    <w:rsid w:val="00A83039"/>
    <w:rsid w:val="00A8422C"/>
    <w:rsid w:val="00A85DC9"/>
    <w:rsid w:val="00A85FF7"/>
    <w:rsid w:val="00A86486"/>
    <w:rsid w:val="00A91562"/>
    <w:rsid w:val="00A91F38"/>
    <w:rsid w:val="00A92B1F"/>
    <w:rsid w:val="00A93790"/>
    <w:rsid w:val="00A94D09"/>
    <w:rsid w:val="00A95489"/>
    <w:rsid w:val="00A9621F"/>
    <w:rsid w:val="00A974FB"/>
    <w:rsid w:val="00AA040F"/>
    <w:rsid w:val="00AA37AA"/>
    <w:rsid w:val="00AA4D5A"/>
    <w:rsid w:val="00AA4D93"/>
    <w:rsid w:val="00AA5370"/>
    <w:rsid w:val="00AA5AA3"/>
    <w:rsid w:val="00AA644D"/>
    <w:rsid w:val="00AB128E"/>
    <w:rsid w:val="00AB1F74"/>
    <w:rsid w:val="00AB35DF"/>
    <w:rsid w:val="00AB4895"/>
    <w:rsid w:val="00AB4ACB"/>
    <w:rsid w:val="00AC1673"/>
    <w:rsid w:val="00AC30BF"/>
    <w:rsid w:val="00AC32E0"/>
    <w:rsid w:val="00AC4ACB"/>
    <w:rsid w:val="00AC4C4A"/>
    <w:rsid w:val="00AC5213"/>
    <w:rsid w:val="00AC5A89"/>
    <w:rsid w:val="00AC6A8F"/>
    <w:rsid w:val="00AC7BA6"/>
    <w:rsid w:val="00AD0703"/>
    <w:rsid w:val="00AD0BF9"/>
    <w:rsid w:val="00AD0CFB"/>
    <w:rsid w:val="00AD2511"/>
    <w:rsid w:val="00AD4C01"/>
    <w:rsid w:val="00AD5B70"/>
    <w:rsid w:val="00AD5CAA"/>
    <w:rsid w:val="00AD64DA"/>
    <w:rsid w:val="00AD715D"/>
    <w:rsid w:val="00AE1436"/>
    <w:rsid w:val="00AE31E8"/>
    <w:rsid w:val="00AE421C"/>
    <w:rsid w:val="00AE5492"/>
    <w:rsid w:val="00AE5F59"/>
    <w:rsid w:val="00AE617F"/>
    <w:rsid w:val="00AE72D2"/>
    <w:rsid w:val="00AE7FDF"/>
    <w:rsid w:val="00AF0BDF"/>
    <w:rsid w:val="00AF0FA4"/>
    <w:rsid w:val="00AF133C"/>
    <w:rsid w:val="00AF4A69"/>
    <w:rsid w:val="00AF5DCE"/>
    <w:rsid w:val="00B01119"/>
    <w:rsid w:val="00B01140"/>
    <w:rsid w:val="00B019A9"/>
    <w:rsid w:val="00B029C4"/>
    <w:rsid w:val="00B034F7"/>
    <w:rsid w:val="00B03774"/>
    <w:rsid w:val="00B04965"/>
    <w:rsid w:val="00B062CD"/>
    <w:rsid w:val="00B06725"/>
    <w:rsid w:val="00B06783"/>
    <w:rsid w:val="00B06C4C"/>
    <w:rsid w:val="00B0785B"/>
    <w:rsid w:val="00B07A38"/>
    <w:rsid w:val="00B10E18"/>
    <w:rsid w:val="00B12888"/>
    <w:rsid w:val="00B15517"/>
    <w:rsid w:val="00B1645A"/>
    <w:rsid w:val="00B20859"/>
    <w:rsid w:val="00B215C3"/>
    <w:rsid w:val="00B23CE9"/>
    <w:rsid w:val="00B23FCD"/>
    <w:rsid w:val="00B24C55"/>
    <w:rsid w:val="00B26570"/>
    <w:rsid w:val="00B27BC8"/>
    <w:rsid w:val="00B32741"/>
    <w:rsid w:val="00B3489D"/>
    <w:rsid w:val="00B351EC"/>
    <w:rsid w:val="00B36164"/>
    <w:rsid w:val="00B4322A"/>
    <w:rsid w:val="00B44686"/>
    <w:rsid w:val="00B45AC0"/>
    <w:rsid w:val="00B45E18"/>
    <w:rsid w:val="00B46D9F"/>
    <w:rsid w:val="00B50160"/>
    <w:rsid w:val="00B505CA"/>
    <w:rsid w:val="00B50A97"/>
    <w:rsid w:val="00B524B2"/>
    <w:rsid w:val="00B5720A"/>
    <w:rsid w:val="00B6261D"/>
    <w:rsid w:val="00B62CCB"/>
    <w:rsid w:val="00B641E3"/>
    <w:rsid w:val="00B66829"/>
    <w:rsid w:val="00B66A15"/>
    <w:rsid w:val="00B676E5"/>
    <w:rsid w:val="00B706EF"/>
    <w:rsid w:val="00B7210B"/>
    <w:rsid w:val="00B722C8"/>
    <w:rsid w:val="00B749CF"/>
    <w:rsid w:val="00B75F32"/>
    <w:rsid w:val="00B760CF"/>
    <w:rsid w:val="00B81DAD"/>
    <w:rsid w:val="00B81F3B"/>
    <w:rsid w:val="00B82931"/>
    <w:rsid w:val="00B82C43"/>
    <w:rsid w:val="00B8396F"/>
    <w:rsid w:val="00B83C53"/>
    <w:rsid w:val="00B846F9"/>
    <w:rsid w:val="00B84BFF"/>
    <w:rsid w:val="00B84EFE"/>
    <w:rsid w:val="00B85F48"/>
    <w:rsid w:val="00B87E3F"/>
    <w:rsid w:val="00B90377"/>
    <w:rsid w:val="00B925AC"/>
    <w:rsid w:val="00B95537"/>
    <w:rsid w:val="00B97D9C"/>
    <w:rsid w:val="00BA222F"/>
    <w:rsid w:val="00BA3978"/>
    <w:rsid w:val="00BA3CB3"/>
    <w:rsid w:val="00BA4399"/>
    <w:rsid w:val="00BA51CE"/>
    <w:rsid w:val="00BA65DB"/>
    <w:rsid w:val="00BA673A"/>
    <w:rsid w:val="00BA771F"/>
    <w:rsid w:val="00BB04D8"/>
    <w:rsid w:val="00BB260E"/>
    <w:rsid w:val="00BB4197"/>
    <w:rsid w:val="00BB705B"/>
    <w:rsid w:val="00BC0006"/>
    <w:rsid w:val="00BC0C5B"/>
    <w:rsid w:val="00BC1D22"/>
    <w:rsid w:val="00BC468F"/>
    <w:rsid w:val="00BC5E09"/>
    <w:rsid w:val="00BD1BAD"/>
    <w:rsid w:val="00BD46DF"/>
    <w:rsid w:val="00BD4F3A"/>
    <w:rsid w:val="00BD4F7D"/>
    <w:rsid w:val="00BD6B98"/>
    <w:rsid w:val="00BD7A41"/>
    <w:rsid w:val="00BE0A88"/>
    <w:rsid w:val="00BE2384"/>
    <w:rsid w:val="00BE243D"/>
    <w:rsid w:val="00BE2D2A"/>
    <w:rsid w:val="00BE332F"/>
    <w:rsid w:val="00BE3D95"/>
    <w:rsid w:val="00BE3FB9"/>
    <w:rsid w:val="00BE41C9"/>
    <w:rsid w:val="00BE4521"/>
    <w:rsid w:val="00BE484E"/>
    <w:rsid w:val="00BE4FD0"/>
    <w:rsid w:val="00BE7151"/>
    <w:rsid w:val="00BF5CE5"/>
    <w:rsid w:val="00BF6377"/>
    <w:rsid w:val="00C00BDF"/>
    <w:rsid w:val="00C02CEA"/>
    <w:rsid w:val="00C0314F"/>
    <w:rsid w:val="00C03727"/>
    <w:rsid w:val="00C06916"/>
    <w:rsid w:val="00C11D3C"/>
    <w:rsid w:val="00C12020"/>
    <w:rsid w:val="00C155E1"/>
    <w:rsid w:val="00C1712D"/>
    <w:rsid w:val="00C17FC4"/>
    <w:rsid w:val="00C20DCC"/>
    <w:rsid w:val="00C2171B"/>
    <w:rsid w:val="00C2248E"/>
    <w:rsid w:val="00C24D83"/>
    <w:rsid w:val="00C26387"/>
    <w:rsid w:val="00C266F0"/>
    <w:rsid w:val="00C27BD8"/>
    <w:rsid w:val="00C30C46"/>
    <w:rsid w:val="00C326FE"/>
    <w:rsid w:val="00C347E2"/>
    <w:rsid w:val="00C34C34"/>
    <w:rsid w:val="00C3594A"/>
    <w:rsid w:val="00C36236"/>
    <w:rsid w:val="00C40A87"/>
    <w:rsid w:val="00C40E1B"/>
    <w:rsid w:val="00C43701"/>
    <w:rsid w:val="00C45269"/>
    <w:rsid w:val="00C50849"/>
    <w:rsid w:val="00C53BA4"/>
    <w:rsid w:val="00C54250"/>
    <w:rsid w:val="00C54BAD"/>
    <w:rsid w:val="00C55782"/>
    <w:rsid w:val="00C5661D"/>
    <w:rsid w:val="00C6029A"/>
    <w:rsid w:val="00C603BA"/>
    <w:rsid w:val="00C60504"/>
    <w:rsid w:val="00C61330"/>
    <w:rsid w:val="00C61E9C"/>
    <w:rsid w:val="00C62BBB"/>
    <w:rsid w:val="00C637FE"/>
    <w:rsid w:val="00C638C8"/>
    <w:rsid w:val="00C63F1C"/>
    <w:rsid w:val="00C6434A"/>
    <w:rsid w:val="00C64DEA"/>
    <w:rsid w:val="00C6522D"/>
    <w:rsid w:val="00C663BA"/>
    <w:rsid w:val="00C665A1"/>
    <w:rsid w:val="00C66A59"/>
    <w:rsid w:val="00C66C90"/>
    <w:rsid w:val="00C67C24"/>
    <w:rsid w:val="00C719A2"/>
    <w:rsid w:val="00C74538"/>
    <w:rsid w:val="00C74676"/>
    <w:rsid w:val="00C74965"/>
    <w:rsid w:val="00C76077"/>
    <w:rsid w:val="00C7682D"/>
    <w:rsid w:val="00C80BD1"/>
    <w:rsid w:val="00C80DEE"/>
    <w:rsid w:val="00C82A74"/>
    <w:rsid w:val="00C82B75"/>
    <w:rsid w:val="00C82DB0"/>
    <w:rsid w:val="00C82EDF"/>
    <w:rsid w:val="00C841B3"/>
    <w:rsid w:val="00C85BDB"/>
    <w:rsid w:val="00C87960"/>
    <w:rsid w:val="00C901A5"/>
    <w:rsid w:val="00C9038C"/>
    <w:rsid w:val="00C9130B"/>
    <w:rsid w:val="00C91D34"/>
    <w:rsid w:val="00C92963"/>
    <w:rsid w:val="00C92EEE"/>
    <w:rsid w:val="00C93E92"/>
    <w:rsid w:val="00C94339"/>
    <w:rsid w:val="00C94B9C"/>
    <w:rsid w:val="00C95A47"/>
    <w:rsid w:val="00CA038A"/>
    <w:rsid w:val="00CA0C87"/>
    <w:rsid w:val="00CA186A"/>
    <w:rsid w:val="00CA1B61"/>
    <w:rsid w:val="00CA1C08"/>
    <w:rsid w:val="00CA21FD"/>
    <w:rsid w:val="00CA263E"/>
    <w:rsid w:val="00CA29C2"/>
    <w:rsid w:val="00CA4CB7"/>
    <w:rsid w:val="00CA4F81"/>
    <w:rsid w:val="00CA59DA"/>
    <w:rsid w:val="00CA62A2"/>
    <w:rsid w:val="00CB1071"/>
    <w:rsid w:val="00CB1359"/>
    <w:rsid w:val="00CB3BA8"/>
    <w:rsid w:val="00CB55CF"/>
    <w:rsid w:val="00CB5648"/>
    <w:rsid w:val="00CB6312"/>
    <w:rsid w:val="00CB68D2"/>
    <w:rsid w:val="00CB69C2"/>
    <w:rsid w:val="00CB6FC9"/>
    <w:rsid w:val="00CB77BA"/>
    <w:rsid w:val="00CC1296"/>
    <w:rsid w:val="00CC154E"/>
    <w:rsid w:val="00CC628C"/>
    <w:rsid w:val="00CC75B4"/>
    <w:rsid w:val="00CD0E2C"/>
    <w:rsid w:val="00CD10F8"/>
    <w:rsid w:val="00CD1CA7"/>
    <w:rsid w:val="00CD39D4"/>
    <w:rsid w:val="00CD3B45"/>
    <w:rsid w:val="00CD47EC"/>
    <w:rsid w:val="00CD5AF1"/>
    <w:rsid w:val="00CD6738"/>
    <w:rsid w:val="00CD683F"/>
    <w:rsid w:val="00CD72C5"/>
    <w:rsid w:val="00CD7815"/>
    <w:rsid w:val="00CE0749"/>
    <w:rsid w:val="00CE1700"/>
    <w:rsid w:val="00CE229B"/>
    <w:rsid w:val="00CE2878"/>
    <w:rsid w:val="00CE41FA"/>
    <w:rsid w:val="00CE4641"/>
    <w:rsid w:val="00CE5DA0"/>
    <w:rsid w:val="00CE743D"/>
    <w:rsid w:val="00CE77EF"/>
    <w:rsid w:val="00CE78AC"/>
    <w:rsid w:val="00CF0282"/>
    <w:rsid w:val="00CF0F0C"/>
    <w:rsid w:val="00CF2614"/>
    <w:rsid w:val="00CF658D"/>
    <w:rsid w:val="00CF7315"/>
    <w:rsid w:val="00CF7B0E"/>
    <w:rsid w:val="00D00A0D"/>
    <w:rsid w:val="00D0300D"/>
    <w:rsid w:val="00D03903"/>
    <w:rsid w:val="00D06ED9"/>
    <w:rsid w:val="00D102C5"/>
    <w:rsid w:val="00D1101C"/>
    <w:rsid w:val="00D11D57"/>
    <w:rsid w:val="00D1224C"/>
    <w:rsid w:val="00D15E86"/>
    <w:rsid w:val="00D16BBB"/>
    <w:rsid w:val="00D2280C"/>
    <w:rsid w:val="00D22901"/>
    <w:rsid w:val="00D22968"/>
    <w:rsid w:val="00D2384C"/>
    <w:rsid w:val="00D23A26"/>
    <w:rsid w:val="00D24235"/>
    <w:rsid w:val="00D24CFE"/>
    <w:rsid w:val="00D24E28"/>
    <w:rsid w:val="00D2566B"/>
    <w:rsid w:val="00D26CE1"/>
    <w:rsid w:val="00D27428"/>
    <w:rsid w:val="00D3058A"/>
    <w:rsid w:val="00D30A7B"/>
    <w:rsid w:val="00D322EE"/>
    <w:rsid w:val="00D32B77"/>
    <w:rsid w:val="00D32FE7"/>
    <w:rsid w:val="00D33D79"/>
    <w:rsid w:val="00D34B97"/>
    <w:rsid w:val="00D35747"/>
    <w:rsid w:val="00D3580A"/>
    <w:rsid w:val="00D3709C"/>
    <w:rsid w:val="00D3797F"/>
    <w:rsid w:val="00D37BB9"/>
    <w:rsid w:val="00D40179"/>
    <w:rsid w:val="00D416C1"/>
    <w:rsid w:val="00D42345"/>
    <w:rsid w:val="00D42476"/>
    <w:rsid w:val="00D42688"/>
    <w:rsid w:val="00D44B9E"/>
    <w:rsid w:val="00D46A94"/>
    <w:rsid w:val="00D47888"/>
    <w:rsid w:val="00D47E0E"/>
    <w:rsid w:val="00D50D6F"/>
    <w:rsid w:val="00D53983"/>
    <w:rsid w:val="00D53E5C"/>
    <w:rsid w:val="00D57246"/>
    <w:rsid w:val="00D573DA"/>
    <w:rsid w:val="00D5797B"/>
    <w:rsid w:val="00D61537"/>
    <w:rsid w:val="00D643EC"/>
    <w:rsid w:val="00D705F8"/>
    <w:rsid w:val="00D70E31"/>
    <w:rsid w:val="00D716A1"/>
    <w:rsid w:val="00D71733"/>
    <w:rsid w:val="00D7283F"/>
    <w:rsid w:val="00D74261"/>
    <w:rsid w:val="00D77D5B"/>
    <w:rsid w:val="00D807D4"/>
    <w:rsid w:val="00D81D79"/>
    <w:rsid w:val="00D83638"/>
    <w:rsid w:val="00D85F8E"/>
    <w:rsid w:val="00D863E2"/>
    <w:rsid w:val="00D868A7"/>
    <w:rsid w:val="00D90AC3"/>
    <w:rsid w:val="00D92155"/>
    <w:rsid w:val="00D92663"/>
    <w:rsid w:val="00D92F79"/>
    <w:rsid w:val="00D9436D"/>
    <w:rsid w:val="00D950C9"/>
    <w:rsid w:val="00D9522C"/>
    <w:rsid w:val="00D95DA0"/>
    <w:rsid w:val="00D962E5"/>
    <w:rsid w:val="00DA17E6"/>
    <w:rsid w:val="00DA25D4"/>
    <w:rsid w:val="00DA2C80"/>
    <w:rsid w:val="00DA31A5"/>
    <w:rsid w:val="00DA33B4"/>
    <w:rsid w:val="00DA5561"/>
    <w:rsid w:val="00DA6C8C"/>
    <w:rsid w:val="00DA741C"/>
    <w:rsid w:val="00DA78AB"/>
    <w:rsid w:val="00DB0404"/>
    <w:rsid w:val="00DB071B"/>
    <w:rsid w:val="00DB0F31"/>
    <w:rsid w:val="00DB1230"/>
    <w:rsid w:val="00DB1FE0"/>
    <w:rsid w:val="00DB33CF"/>
    <w:rsid w:val="00DB4E13"/>
    <w:rsid w:val="00DB7FA6"/>
    <w:rsid w:val="00DC3B6C"/>
    <w:rsid w:val="00DC5651"/>
    <w:rsid w:val="00DC56D6"/>
    <w:rsid w:val="00DC7B74"/>
    <w:rsid w:val="00DC7ECF"/>
    <w:rsid w:val="00DD07F2"/>
    <w:rsid w:val="00DD21C3"/>
    <w:rsid w:val="00DD2477"/>
    <w:rsid w:val="00DD266B"/>
    <w:rsid w:val="00DD41AA"/>
    <w:rsid w:val="00DD6A3D"/>
    <w:rsid w:val="00DD6D83"/>
    <w:rsid w:val="00DE006E"/>
    <w:rsid w:val="00DE066B"/>
    <w:rsid w:val="00DE16BD"/>
    <w:rsid w:val="00DE2A62"/>
    <w:rsid w:val="00DE35A4"/>
    <w:rsid w:val="00DE4DB2"/>
    <w:rsid w:val="00DE60F0"/>
    <w:rsid w:val="00DE7FA6"/>
    <w:rsid w:val="00DF0FB9"/>
    <w:rsid w:val="00DF1115"/>
    <w:rsid w:val="00DF1670"/>
    <w:rsid w:val="00DF2785"/>
    <w:rsid w:val="00DF37A7"/>
    <w:rsid w:val="00DF3DE9"/>
    <w:rsid w:val="00DF5380"/>
    <w:rsid w:val="00DF57C3"/>
    <w:rsid w:val="00DF680E"/>
    <w:rsid w:val="00E00C6A"/>
    <w:rsid w:val="00E01E49"/>
    <w:rsid w:val="00E038F2"/>
    <w:rsid w:val="00E064F8"/>
    <w:rsid w:val="00E06649"/>
    <w:rsid w:val="00E071BB"/>
    <w:rsid w:val="00E07EE3"/>
    <w:rsid w:val="00E102B3"/>
    <w:rsid w:val="00E106EB"/>
    <w:rsid w:val="00E11B5A"/>
    <w:rsid w:val="00E11BCC"/>
    <w:rsid w:val="00E1222F"/>
    <w:rsid w:val="00E14065"/>
    <w:rsid w:val="00E14948"/>
    <w:rsid w:val="00E15619"/>
    <w:rsid w:val="00E156D3"/>
    <w:rsid w:val="00E168C9"/>
    <w:rsid w:val="00E16EAD"/>
    <w:rsid w:val="00E177B1"/>
    <w:rsid w:val="00E2068F"/>
    <w:rsid w:val="00E20DA9"/>
    <w:rsid w:val="00E212A8"/>
    <w:rsid w:val="00E24BC3"/>
    <w:rsid w:val="00E25E62"/>
    <w:rsid w:val="00E262A7"/>
    <w:rsid w:val="00E27194"/>
    <w:rsid w:val="00E30AA3"/>
    <w:rsid w:val="00E30AB6"/>
    <w:rsid w:val="00E310CB"/>
    <w:rsid w:val="00E329EC"/>
    <w:rsid w:val="00E36F8F"/>
    <w:rsid w:val="00E40BE8"/>
    <w:rsid w:val="00E41167"/>
    <w:rsid w:val="00E41B36"/>
    <w:rsid w:val="00E43AE1"/>
    <w:rsid w:val="00E445CE"/>
    <w:rsid w:val="00E4648E"/>
    <w:rsid w:val="00E50BC2"/>
    <w:rsid w:val="00E5164E"/>
    <w:rsid w:val="00E531B5"/>
    <w:rsid w:val="00E56027"/>
    <w:rsid w:val="00E573A8"/>
    <w:rsid w:val="00E57816"/>
    <w:rsid w:val="00E57EA9"/>
    <w:rsid w:val="00E63543"/>
    <w:rsid w:val="00E645C8"/>
    <w:rsid w:val="00E6542D"/>
    <w:rsid w:val="00E6556B"/>
    <w:rsid w:val="00E660D9"/>
    <w:rsid w:val="00E66BB5"/>
    <w:rsid w:val="00E70B3E"/>
    <w:rsid w:val="00E720C8"/>
    <w:rsid w:val="00E73799"/>
    <w:rsid w:val="00E75523"/>
    <w:rsid w:val="00E75795"/>
    <w:rsid w:val="00E76BE7"/>
    <w:rsid w:val="00E76EB7"/>
    <w:rsid w:val="00E7720E"/>
    <w:rsid w:val="00E77238"/>
    <w:rsid w:val="00E80F0C"/>
    <w:rsid w:val="00E81980"/>
    <w:rsid w:val="00E82697"/>
    <w:rsid w:val="00E8383E"/>
    <w:rsid w:val="00E84BA1"/>
    <w:rsid w:val="00E85785"/>
    <w:rsid w:val="00E86562"/>
    <w:rsid w:val="00E90950"/>
    <w:rsid w:val="00E93A2B"/>
    <w:rsid w:val="00E97617"/>
    <w:rsid w:val="00E97B40"/>
    <w:rsid w:val="00EA0C03"/>
    <w:rsid w:val="00EA0E48"/>
    <w:rsid w:val="00EA10B9"/>
    <w:rsid w:val="00EA1362"/>
    <w:rsid w:val="00EA445D"/>
    <w:rsid w:val="00EB125B"/>
    <w:rsid w:val="00EB1420"/>
    <w:rsid w:val="00EB15F2"/>
    <w:rsid w:val="00EB3D70"/>
    <w:rsid w:val="00EB5DF4"/>
    <w:rsid w:val="00EB708D"/>
    <w:rsid w:val="00EC0670"/>
    <w:rsid w:val="00EC10D4"/>
    <w:rsid w:val="00EC2148"/>
    <w:rsid w:val="00EC6770"/>
    <w:rsid w:val="00EC6B90"/>
    <w:rsid w:val="00EC7108"/>
    <w:rsid w:val="00ED32CE"/>
    <w:rsid w:val="00ED3750"/>
    <w:rsid w:val="00ED4BE9"/>
    <w:rsid w:val="00ED4D28"/>
    <w:rsid w:val="00ED65D0"/>
    <w:rsid w:val="00EE2636"/>
    <w:rsid w:val="00EE2D8A"/>
    <w:rsid w:val="00EE46FD"/>
    <w:rsid w:val="00EE54FE"/>
    <w:rsid w:val="00EE5762"/>
    <w:rsid w:val="00EE6071"/>
    <w:rsid w:val="00EE6DA0"/>
    <w:rsid w:val="00EE7E61"/>
    <w:rsid w:val="00EF094A"/>
    <w:rsid w:val="00EF2968"/>
    <w:rsid w:val="00EF2EEA"/>
    <w:rsid w:val="00EF3242"/>
    <w:rsid w:val="00EF36ED"/>
    <w:rsid w:val="00EF5D39"/>
    <w:rsid w:val="00EF6282"/>
    <w:rsid w:val="00EF7EA0"/>
    <w:rsid w:val="00F0047D"/>
    <w:rsid w:val="00F00A0A"/>
    <w:rsid w:val="00F00D3C"/>
    <w:rsid w:val="00F012B0"/>
    <w:rsid w:val="00F013B9"/>
    <w:rsid w:val="00F022AA"/>
    <w:rsid w:val="00F037A7"/>
    <w:rsid w:val="00F037E5"/>
    <w:rsid w:val="00F04B37"/>
    <w:rsid w:val="00F052E7"/>
    <w:rsid w:val="00F0693F"/>
    <w:rsid w:val="00F074DB"/>
    <w:rsid w:val="00F07509"/>
    <w:rsid w:val="00F07A96"/>
    <w:rsid w:val="00F1154C"/>
    <w:rsid w:val="00F139B9"/>
    <w:rsid w:val="00F13F4D"/>
    <w:rsid w:val="00F14A97"/>
    <w:rsid w:val="00F14DBF"/>
    <w:rsid w:val="00F1705C"/>
    <w:rsid w:val="00F17810"/>
    <w:rsid w:val="00F230E8"/>
    <w:rsid w:val="00F2362B"/>
    <w:rsid w:val="00F242CB"/>
    <w:rsid w:val="00F24B57"/>
    <w:rsid w:val="00F260CA"/>
    <w:rsid w:val="00F26FFA"/>
    <w:rsid w:val="00F304CE"/>
    <w:rsid w:val="00F30E84"/>
    <w:rsid w:val="00F315B6"/>
    <w:rsid w:val="00F31770"/>
    <w:rsid w:val="00F34603"/>
    <w:rsid w:val="00F3499A"/>
    <w:rsid w:val="00F34F24"/>
    <w:rsid w:val="00F355D4"/>
    <w:rsid w:val="00F358E2"/>
    <w:rsid w:val="00F36444"/>
    <w:rsid w:val="00F37A3B"/>
    <w:rsid w:val="00F40565"/>
    <w:rsid w:val="00F405BC"/>
    <w:rsid w:val="00F4168F"/>
    <w:rsid w:val="00F4452B"/>
    <w:rsid w:val="00F44820"/>
    <w:rsid w:val="00F44966"/>
    <w:rsid w:val="00F45C6D"/>
    <w:rsid w:val="00F460C6"/>
    <w:rsid w:val="00F462FE"/>
    <w:rsid w:val="00F465CE"/>
    <w:rsid w:val="00F46A90"/>
    <w:rsid w:val="00F4731B"/>
    <w:rsid w:val="00F47B00"/>
    <w:rsid w:val="00F47C40"/>
    <w:rsid w:val="00F51386"/>
    <w:rsid w:val="00F536D8"/>
    <w:rsid w:val="00F56F8F"/>
    <w:rsid w:val="00F57058"/>
    <w:rsid w:val="00F57FF9"/>
    <w:rsid w:val="00F60D95"/>
    <w:rsid w:val="00F62388"/>
    <w:rsid w:val="00F62C21"/>
    <w:rsid w:val="00F64935"/>
    <w:rsid w:val="00F64C63"/>
    <w:rsid w:val="00F703B3"/>
    <w:rsid w:val="00F71286"/>
    <w:rsid w:val="00F72BB4"/>
    <w:rsid w:val="00F7350F"/>
    <w:rsid w:val="00F73B3B"/>
    <w:rsid w:val="00F73F7B"/>
    <w:rsid w:val="00F74432"/>
    <w:rsid w:val="00F74FD7"/>
    <w:rsid w:val="00F75F49"/>
    <w:rsid w:val="00F77C48"/>
    <w:rsid w:val="00F812C6"/>
    <w:rsid w:val="00F82230"/>
    <w:rsid w:val="00F82824"/>
    <w:rsid w:val="00F82922"/>
    <w:rsid w:val="00F82F41"/>
    <w:rsid w:val="00F83678"/>
    <w:rsid w:val="00F837CA"/>
    <w:rsid w:val="00F85C78"/>
    <w:rsid w:val="00F865C8"/>
    <w:rsid w:val="00F910F0"/>
    <w:rsid w:val="00F915C2"/>
    <w:rsid w:val="00F920B5"/>
    <w:rsid w:val="00F95372"/>
    <w:rsid w:val="00F9705B"/>
    <w:rsid w:val="00F97188"/>
    <w:rsid w:val="00F97631"/>
    <w:rsid w:val="00FA3B19"/>
    <w:rsid w:val="00FA63FE"/>
    <w:rsid w:val="00FA687F"/>
    <w:rsid w:val="00FA69B6"/>
    <w:rsid w:val="00FA69BC"/>
    <w:rsid w:val="00FB0F7D"/>
    <w:rsid w:val="00FB1416"/>
    <w:rsid w:val="00FB2BED"/>
    <w:rsid w:val="00FB3E0A"/>
    <w:rsid w:val="00FB3E42"/>
    <w:rsid w:val="00FB600E"/>
    <w:rsid w:val="00FC005B"/>
    <w:rsid w:val="00FC0F51"/>
    <w:rsid w:val="00FC108C"/>
    <w:rsid w:val="00FC22A6"/>
    <w:rsid w:val="00FC3859"/>
    <w:rsid w:val="00FC41F0"/>
    <w:rsid w:val="00FC57D2"/>
    <w:rsid w:val="00FC5DA6"/>
    <w:rsid w:val="00FC7F66"/>
    <w:rsid w:val="00FD07AC"/>
    <w:rsid w:val="00FD1146"/>
    <w:rsid w:val="00FD2A0C"/>
    <w:rsid w:val="00FD48C9"/>
    <w:rsid w:val="00FD49F7"/>
    <w:rsid w:val="00FD4C6C"/>
    <w:rsid w:val="00FD4F64"/>
    <w:rsid w:val="00FD5A4D"/>
    <w:rsid w:val="00FD5E1C"/>
    <w:rsid w:val="00FE13E6"/>
    <w:rsid w:val="00FE4C62"/>
    <w:rsid w:val="00FE5A2E"/>
    <w:rsid w:val="00FE5A54"/>
    <w:rsid w:val="00FF1232"/>
    <w:rsid w:val="00FF1EE0"/>
    <w:rsid w:val="00FF3ED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67E"/>
    <w:pPr>
      <w:jc w:val="both"/>
    </w:pPr>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1D51D3"/>
    <w:pPr>
      <w:keepNext/>
      <w:keepLines/>
      <w:spacing w:before="240" w:line="276" w:lineRule="auto"/>
      <w:jc w:val="left"/>
      <w:outlineLvl w:val="0"/>
    </w:pPr>
    <w:rPr>
      <w:rFonts w:eastAsia="SimSun"/>
      <w:b/>
      <w:color w:val="365F91"/>
      <w:sz w:val="32"/>
      <w:szCs w:val="32"/>
      <w:lang w:eastAsia="zh-TW"/>
    </w:rPr>
  </w:style>
  <w:style w:type="paragraph" w:styleId="Heading2">
    <w:name w:val="heading 2"/>
    <w:basedOn w:val="Normal"/>
    <w:next w:val="Normal"/>
    <w:link w:val="Heading2Char"/>
    <w:autoRedefine/>
    <w:uiPriority w:val="9"/>
    <w:unhideWhenUsed/>
    <w:qFormat/>
    <w:rsid w:val="00295D20"/>
    <w:pPr>
      <w:keepNext/>
      <w:ind w:firstLine="720"/>
      <w:jc w:val="center"/>
      <w:outlineLvl w:val="1"/>
    </w:pPr>
    <w:rPr>
      <w:b/>
      <w:bCs/>
      <w:iCs/>
      <w:color w:val="1F497D" w:themeColor="text2"/>
      <w:sz w:val="28"/>
      <w:szCs w:val="24"/>
    </w:rPr>
  </w:style>
  <w:style w:type="paragraph" w:styleId="Heading3">
    <w:name w:val="heading 3"/>
    <w:basedOn w:val="Normal"/>
    <w:next w:val="Normal"/>
    <w:link w:val="Heading3Char"/>
    <w:uiPriority w:val="9"/>
    <w:unhideWhenUsed/>
    <w:qFormat/>
    <w:rsid w:val="00A94D09"/>
    <w:pPr>
      <w:keepNext/>
      <w:keepLines/>
      <w:spacing w:before="200"/>
      <w:outlineLvl w:val="2"/>
    </w:pPr>
    <w:rPr>
      <w:rFonts w:eastAsiaTheme="majorEastAsia" w:cstheme="majorBidi"/>
      <w:b/>
      <w:b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67E"/>
    <w:pPr>
      <w:tabs>
        <w:tab w:val="center" w:pos="4153"/>
        <w:tab w:val="right" w:pos="8306"/>
      </w:tabs>
    </w:pPr>
    <w:rPr>
      <w:sz w:val="18"/>
    </w:rPr>
  </w:style>
  <w:style w:type="character" w:customStyle="1" w:styleId="HeaderChar">
    <w:name w:val="Header Char"/>
    <w:basedOn w:val="DefaultParagraphFont"/>
    <w:link w:val="Header"/>
    <w:uiPriority w:val="99"/>
    <w:rsid w:val="002B567E"/>
    <w:rPr>
      <w:rFonts w:ascii="Times New Roman" w:eastAsia="Times New Roman" w:hAnsi="Times New Roman" w:cs="Times New Roman"/>
      <w:sz w:val="18"/>
      <w:szCs w:val="20"/>
    </w:rPr>
  </w:style>
  <w:style w:type="paragraph" w:styleId="Footer">
    <w:name w:val="footer"/>
    <w:basedOn w:val="Normal"/>
    <w:link w:val="FooterChar"/>
    <w:uiPriority w:val="99"/>
    <w:rsid w:val="002B567E"/>
    <w:pPr>
      <w:tabs>
        <w:tab w:val="center" w:pos="4153"/>
        <w:tab w:val="right" w:pos="8306"/>
      </w:tabs>
    </w:pPr>
    <w:rPr>
      <w:sz w:val="18"/>
    </w:rPr>
  </w:style>
  <w:style w:type="character" w:customStyle="1" w:styleId="FooterChar">
    <w:name w:val="Footer Char"/>
    <w:basedOn w:val="DefaultParagraphFont"/>
    <w:link w:val="Footer"/>
    <w:uiPriority w:val="99"/>
    <w:rsid w:val="002B567E"/>
    <w:rPr>
      <w:rFonts w:ascii="Times New Roman" w:eastAsia="Times New Roman" w:hAnsi="Times New Roman" w:cs="Times New Roman"/>
      <w:sz w:val="18"/>
      <w:szCs w:val="20"/>
    </w:rPr>
  </w:style>
  <w:style w:type="character" w:styleId="PageNumber">
    <w:name w:val="page number"/>
    <w:rsid w:val="002B567E"/>
    <w:rPr>
      <w:rFonts w:ascii="Times New Roman" w:hAnsi="Times New Roman"/>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rsid w:val="002B567E"/>
    <w:rPr>
      <w:sz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uiPriority w:val="99"/>
    <w:rsid w:val="002B567E"/>
    <w:rPr>
      <w:rFonts w:ascii="Times New Roman" w:eastAsia="Times New Roman" w:hAnsi="Times New Roman" w:cs="Times New Roman"/>
      <w:sz w:val="20"/>
      <w:szCs w:val="20"/>
    </w:rPr>
  </w:style>
  <w:style w:type="character" w:styleId="FootnoteReference">
    <w:name w:val="footnote reference"/>
    <w:aliases w:val="Footnote Reference Number,SUPERS,Footnote symbol,Footnote Refernece,ftref,Footnote Reference Superscript,Vēres atsauce,stylish,BVI fnr,Fußnotenzeichen_Raxen,callout,Odwołanie przypisu,Footnotes refss,Ref,de nota al pie,Times 10 Point"/>
    <w:link w:val="CharCharCharChar"/>
    <w:uiPriority w:val="99"/>
    <w:rsid w:val="002B567E"/>
    <w:rPr>
      <w:rFonts w:ascii="Times New Roman" w:hAnsi="Times New Roman"/>
      <w:vertAlign w:val="superscript"/>
    </w:rPr>
  </w:style>
  <w:style w:type="character" w:styleId="Hyperlink">
    <w:name w:val="Hyperlink"/>
    <w:uiPriority w:val="99"/>
    <w:rsid w:val="002B567E"/>
    <w:rPr>
      <w:color w:val="0000FF"/>
      <w:u w:val="single"/>
    </w:rPr>
  </w:style>
  <w:style w:type="table" w:customStyle="1" w:styleId="TableGrid1">
    <w:name w:val="Table Grid1"/>
    <w:basedOn w:val="TableNormal"/>
    <w:uiPriority w:val="39"/>
    <w:rsid w:val="002B567E"/>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B56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51D3"/>
    <w:rPr>
      <w:rFonts w:ascii="Times New Roman" w:eastAsia="SimSun" w:hAnsi="Times New Roman"/>
      <w:b/>
      <w:color w:val="365F91"/>
      <w:sz w:val="32"/>
      <w:szCs w:val="32"/>
      <w:lang w:eastAsia="zh-TW"/>
    </w:rPr>
  </w:style>
  <w:style w:type="paragraph" w:styleId="NormalWeb">
    <w:name w:val="Normal (Web)"/>
    <w:basedOn w:val="Normal"/>
    <w:uiPriority w:val="99"/>
    <w:unhideWhenUsed/>
    <w:rsid w:val="00CD3B45"/>
    <w:pPr>
      <w:spacing w:before="100" w:beforeAutospacing="1" w:after="100" w:afterAutospacing="1"/>
      <w:jc w:val="left"/>
    </w:pPr>
    <w:rPr>
      <w:szCs w:val="24"/>
      <w:lang w:eastAsia="lv-LV"/>
    </w:rPr>
  </w:style>
  <w:style w:type="character" w:styleId="Strong">
    <w:name w:val="Strong"/>
    <w:basedOn w:val="DefaultParagraphFont"/>
    <w:uiPriority w:val="22"/>
    <w:qFormat/>
    <w:rsid w:val="00CD3B45"/>
    <w:rPr>
      <w:b/>
      <w:bCs/>
    </w:rPr>
  </w:style>
  <w:style w:type="paragraph" w:customStyle="1" w:styleId="Default">
    <w:name w:val="Default"/>
    <w:rsid w:val="00ED4BE9"/>
    <w:pPr>
      <w:autoSpaceDE w:val="0"/>
      <w:autoSpaceDN w:val="0"/>
      <w:adjustRightInd w:val="0"/>
    </w:pPr>
    <w:rPr>
      <w:rFonts w:ascii="Times New Roman" w:hAnsi="Times New Roman"/>
      <w:color w:val="000000"/>
      <w:sz w:val="24"/>
      <w:szCs w:val="24"/>
    </w:rPr>
  </w:style>
  <w:style w:type="paragraph" w:customStyle="1" w:styleId="EYBodytextwithparaspace">
    <w:name w:val="EY Body text (with para space)"/>
    <w:basedOn w:val="Normal"/>
    <w:link w:val="EYBodytextwithparaspaceChar"/>
    <w:rsid w:val="00A254DF"/>
    <w:pPr>
      <w:numPr>
        <w:ilvl w:val="4"/>
        <w:numId w:val="1"/>
      </w:numPr>
      <w:spacing w:after="240"/>
      <w:jc w:val="left"/>
    </w:pPr>
    <w:rPr>
      <w:rFonts w:ascii="EYInterstate Light" w:hAnsi="EYInterstate Light"/>
      <w:kern w:val="12"/>
      <w:sz w:val="20"/>
      <w:szCs w:val="24"/>
    </w:rPr>
  </w:style>
  <w:style w:type="character" w:customStyle="1" w:styleId="EYBodytextwithparaspaceChar">
    <w:name w:val="EY Body text (with para space) Char"/>
    <w:basedOn w:val="DefaultParagraphFont"/>
    <w:link w:val="EYBodytextwithparaspace"/>
    <w:rsid w:val="00A254DF"/>
    <w:rPr>
      <w:rFonts w:ascii="EYInterstate Light" w:eastAsia="Times New Roman" w:hAnsi="EYInterstate Light"/>
      <w:kern w:val="12"/>
      <w:szCs w:val="24"/>
      <w:lang w:eastAsia="en-US"/>
    </w:rPr>
  </w:style>
  <w:style w:type="character" w:customStyle="1" w:styleId="Heading2Char">
    <w:name w:val="Heading 2 Char"/>
    <w:basedOn w:val="DefaultParagraphFont"/>
    <w:link w:val="Heading2"/>
    <w:uiPriority w:val="9"/>
    <w:rsid w:val="00295D20"/>
    <w:rPr>
      <w:rFonts w:ascii="Times New Roman" w:eastAsia="Times New Roman" w:hAnsi="Times New Roman"/>
      <w:b/>
      <w:bCs/>
      <w:iCs/>
      <w:color w:val="1F497D" w:themeColor="text2"/>
      <w:sz w:val="28"/>
      <w:szCs w:val="24"/>
      <w:lang w:eastAsia="en-US"/>
    </w:rPr>
  </w:style>
  <w:style w:type="paragraph" w:customStyle="1" w:styleId="EYBulletedList1">
    <w:name w:val="EY Bulleted List 1"/>
    <w:rsid w:val="00A524D3"/>
    <w:pPr>
      <w:numPr>
        <w:numId w:val="2"/>
      </w:numPr>
    </w:pPr>
    <w:rPr>
      <w:rFonts w:ascii="EYInterstate Light" w:eastAsia="Times New Roman" w:hAnsi="EYInterstate Light"/>
      <w:kern w:val="12"/>
      <w:szCs w:val="24"/>
      <w:lang w:eastAsia="en-US"/>
    </w:rPr>
  </w:style>
  <w:style w:type="paragraph" w:customStyle="1" w:styleId="EYBulletedList2">
    <w:name w:val="EY Bulleted List 2"/>
    <w:rsid w:val="00A524D3"/>
    <w:pPr>
      <w:numPr>
        <w:ilvl w:val="1"/>
        <w:numId w:val="2"/>
      </w:numPr>
    </w:pPr>
    <w:rPr>
      <w:rFonts w:ascii="EYInterstate Light" w:eastAsia="Times New Roman" w:hAnsi="EYInterstate Light"/>
      <w:kern w:val="12"/>
      <w:szCs w:val="24"/>
      <w:lang w:eastAsia="en-US"/>
    </w:rPr>
  </w:style>
  <w:style w:type="paragraph" w:customStyle="1" w:styleId="EYBulletedList3">
    <w:name w:val="EY Bulleted List 3"/>
    <w:rsid w:val="00A524D3"/>
    <w:pPr>
      <w:numPr>
        <w:ilvl w:val="2"/>
        <w:numId w:val="2"/>
      </w:numPr>
    </w:pPr>
    <w:rPr>
      <w:rFonts w:ascii="EYInterstate Light" w:eastAsia="Times New Roman" w:hAnsi="EYInterstate Light"/>
      <w:kern w:val="12"/>
      <w:szCs w:val="24"/>
      <w:lang w:eastAsia="en-US"/>
    </w:rPr>
  </w:style>
  <w:style w:type="paragraph" w:customStyle="1" w:styleId="EYBodyText">
    <w:name w:val="EY Body Text"/>
    <w:basedOn w:val="Header"/>
    <w:link w:val="EYBodyTextChar"/>
    <w:qFormat/>
    <w:rsid w:val="00A524D3"/>
    <w:pPr>
      <w:tabs>
        <w:tab w:val="clear" w:pos="4153"/>
        <w:tab w:val="clear" w:pos="8306"/>
      </w:tabs>
      <w:spacing w:before="120" w:after="120"/>
      <w:jc w:val="left"/>
    </w:pPr>
    <w:rPr>
      <w:rFonts w:ascii="EYInterstate Light" w:hAnsi="EYInterstate Light"/>
      <w:sz w:val="20"/>
      <w:szCs w:val="24"/>
      <w:lang w:eastAsia="lv-LV"/>
    </w:rPr>
  </w:style>
  <w:style w:type="character" w:customStyle="1" w:styleId="EYBodyTextChar">
    <w:name w:val="EY Body Text Char"/>
    <w:basedOn w:val="DefaultParagraphFont"/>
    <w:link w:val="EYBodyText"/>
    <w:rsid w:val="00A524D3"/>
    <w:rPr>
      <w:rFonts w:ascii="EYInterstate Light" w:eastAsia="Times New Roman" w:hAnsi="EYInterstate Light"/>
      <w:szCs w:val="24"/>
    </w:rPr>
  </w:style>
  <w:style w:type="paragraph" w:styleId="BodyText">
    <w:name w:val="Body Text"/>
    <w:basedOn w:val="Normal"/>
    <w:link w:val="BodyTextChar"/>
    <w:unhideWhenUsed/>
    <w:rsid w:val="00A524D3"/>
    <w:pPr>
      <w:spacing w:after="120"/>
    </w:pPr>
  </w:style>
  <w:style w:type="character" w:customStyle="1" w:styleId="BodyTextChar">
    <w:name w:val="Body Text Char"/>
    <w:basedOn w:val="DefaultParagraphFont"/>
    <w:link w:val="BodyText"/>
    <w:rsid w:val="00A524D3"/>
    <w:rPr>
      <w:rFonts w:ascii="Times New Roman" w:eastAsia="Times New Roman" w:hAnsi="Times New Roman"/>
      <w:sz w:val="24"/>
      <w:lang w:eastAsia="en-US"/>
    </w:rPr>
  </w:style>
  <w:style w:type="paragraph" w:styleId="ListParagraph">
    <w:name w:val="List Paragraph"/>
    <w:aliases w:val="2,Strip,H&amp;P List Paragraph,Colorful List - Accent 12"/>
    <w:basedOn w:val="Normal"/>
    <w:link w:val="ListParagraphChar"/>
    <w:uiPriority w:val="34"/>
    <w:qFormat/>
    <w:rsid w:val="00A93790"/>
    <w:pPr>
      <w:ind w:left="720"/>
    </w:pPr>
  </w:style>
  <w:style w:type="paragraph" w:customStyle="1" w:styleId="tv2131">
    <w:name w:val="tv2131"/>
    <w:basedOn w:val="Normal"/>
    <w:rsid w:val="00B10E18"/>
    <w:pPr>
      <w:spacing w:line="360" w:lineRule="auto"/>
      <w:ind w:firstLine="300"/>
      <w:jc w:val="left"/>
    </w:pPr>
    <w:rPr>
      <w:color w:val="414142"/>
      <w:sz w:val="20"/>
      <w:lang w:eastAsia="lv-LV"/>
    </w:rPr>
  </w:style>
  <w:style w:type="paragraph" w:styleId="TOCHeading">
    <w:name w:val="TOC Heading"/>
    <w:basedOn w:val="Heading1"/>
    <w:next w:val="Normal"/>
    <w:uiPriority w:val="39"/>
    <w:semiHidden/>
    <w:unhideWhenUsed/>
    <w:qFormat/>
    <w:rsid w:val="00132479"/>
    <w:pPr>
      <w:spacing w:before="480"/>
      <w:outlineLvl w:val="9"/>
    </w:pPr>
    <w:rPr>
      <w:rFonts w:eastAsia="Times New Roman"/>
      <w:bCs/>
      <w:sz w:val="28"/>
      <w:szCs w:val="28"/>
      <w:lang w:val="en-US" w:eastAsia="en-US"/>
    </w:rPr>
  </w:style>
  <w:style w:type="paragraph" w:styleId="TOC2">
    <w:name w:val="toc 2"/>
    <w:basedOn w:val="Normal"/>
    <w:next w:val="Normal"/>
    <w:autoRedefine/>
    <w:uiPriority w:val="39"/>
    <w:unhideWhenUsed/>
    <w:qFormat/>
    <w:rsid w:val="00132479"/>
    <w:pPr>
      <w:spacing w:after="100" w:line="276" w:lineRule="auto"/>
      <w:ind w:left="220"/>
      <w:jc w:val="left"/>
    </w:pPr>
    <w:rPr>
      <w:rFonts w:ascii="Calibri" w:hAnsi="Calibri"/>
      <w:sz w:val="22"/>
      <w:szCs w:val="22"/>
      <w:lang w:val="en-US"/>
    </w:rPr>
  </w:style>
  <w:style w:type="paragraph" w:styleId="TOC1">
    <w:name w:val="toc 1"/>
    <w:basedOn w:val="Normal"/>
    <w:next w:val="Normal"/>
    <w:autoRedefine/>
    <w:uiPriority w:val="39"/>
    <w:unhideWhenUsed/>
    <w:qFormat/>
    <w:rsid w:val="004115FB"/>
    <w:pPr>
      <w:tabs>
        <w:tab w:val="left" w:pos="440"/>
        <w:tab w:val="right" w:leader="dot" w:pos="8637"/>
      </w:tabs>
      <w:spacing w:after="100" w:line="276" w:lineRule="auto"/>
      <w:jc w:val="left"/>
    </w:pPr>
    <w:rPr>
      <w:noProof/>
      <w:szCs w:val="24"/>
    </w:rPr>
  </w:style>
  <w:style w:type="paragraph" w:styleId="TOC3">
    <w:name w:val="toc 3"/>
    <w:basedOn w:val="Normal"/>
    <w:next w:val="Normal"/>
    <w:autoRedefine/>
    <w:uiPriority w:val="39"/>
    <w:unhideWhenUsed/>
    <w:qFormat/>
    <w:rsid w:val="00132479"/>
    <w:pPr>
      <w:spacing w:after="100" w:line="276" w:lineRule="auto"/>
      <w:ind w:left="440"/>
      <w:jc w:val="left"/>
    </w:pPr>
    <w:rPr>
      <w:rFonts w:ascii="Calibri" w:hAnsi="Calibri"/>
      <w:sz w:val="22"/>
      <w:szCs w:val="22"/>
      <w:lang w:val="en-US"/>
    </w:rPr>
  </w:style>
  <w:style w:type="paragraph" w:styleId="BalloonText">
    <w:name w:val="Balloon Text"/>
    <w:basedOn w:val="Normal"/>
    <w:link w:val="BalloonTextChar"/>
    <w:uiPriority w:val="99"/>
    <w:semiHidden/>
    <w:unhideWhenUsed/>
    <w:rsid w:val="00132479"/>
    <w:rPr>
      <w:rFonts w:ascii="Tahoma" w:hAnsi="Tahoma" w:cs="Tahoma"/>
      <w:sz w:val="16"/>
      <w:szCs w:val="16"/>
    </w:rPr>
  </w:style>
  <w:style w:type="character" w:customStyle="1" w:styleId="BalloonTextChar">
    <w:name w:val="Balloon Text Char"/>
    <w:basedOn w:val="DefaultParagraphFont"/>
    <w:link w:val="BalloonText"/>
    <w:uiPriority w:val="99"/>
    <w:semiHidden/>
    <w:rsid w:val="00132479"/>
    <w:rPr>
      <w:rFonts w:ascii="Tahoma" w:eastAsia="Times New Roman" w:hAnsi="Tahoma" w:cs="Tahoma"/>
      <w:sz w:val="16"/>
      <w:szCs w:val="16"/>
      <w:lang w:eastAsia="en-US"/>
    </w:rPr>
  </w:style>
  <w:style w:type="paragraph" w:styleId="NoSpacing">
    <w:name w:val="No Spacing"/>
    <w:uiPriority w:val="99"/>
    <w:qFormat/>
    <w:rsid w:val="00132479"/>
    <w:pPr>
      <w:jc w:val="both"/>
    </w:pPr>
    <w:rPr>
      <w:rFonts w:ascii="Times New Roman" w:eastAsia="Times New Roman" w:hAnsi="Times New Roman"/>
      <w:sz w:val="24"/>
      <w:lang w:eastAsia="en-US"/>
    </w:rPr>
  </w:style>
  <w:style w:type="paragraph" w:customStyle="1" w:styleId="Bullet1">
    <w:name w:val="Bullet1"/>
    <w:basedOn w:val="ListBullet"/>
    <w:qFormat/>
    <w:rsid w:val="002D23B1"/>
    <w:pPr>
      <w:tabs>
        <w:tab w:val="left" w:pos="840"/>
      </w:tabs>
      <w:spacing w:before="60" w:after="60"/>
      <w:ind w:left="840" w:right="-29" w:hanging="420"/>
      <w:contextualSpacing w:val="0"/>
    </w:pPr>
    <w:rPr>
      <w:sz w:val="28"/>
      <w:szCs w:val="28"/>
      <w:lang w:eastAsia="lv-LV"/>
    </w:rPr>
  </w:style>
  <w:style w:type="paragraph" w:customStyle="1" w:styleId="abbreviationslist">
    <w:name w:val="abbreviations list"/>
    <w:basedOn w:val="Normal"/>
    <w:qFormat/>
    <w:rsid w:val="002D23B1"/>
    <w:pPr>
      <w:spacing w:before="60" w:after="60"/>
      <w:ind w:right="-29"/>
    </w:pPr>
    <w:rPr>
      <w:sz w:val="26"/>
      <w:szCs w:val="26"/>
      <w:lang w:eastAsia="lv-LV"/>
    </w:rPr>
  </w:style>
  <w:style w:type="paragraph" w:customStyle="1" w:styleId="Bullet11">
    <w:name w:val="Bullet 11"/>
    <w:basedOn w:val="Bullet1"/>
    <w:rsid w:val="002D23B1"/>
    <w:pPr>
      <w:ind w:left="780" w:hanging="360"/>
    </w:pPr>
  </w:style>
  <w:style w:type="paragraph" w:styleId="ListBullet">
    <w:name w:val="List Bullet"/>
    <w:basedOn w:val="Normal"/>
    <w:uiPriority w:val="99"/>
    <w:semiHidden/>
    <w:unhideWhenUsed/>
    <w:rsid w:val="002D23B1"/>
    <w:pPr>
      <w:ind w:left="780" w:hanging="360"/>
      <w:contextualSpacing/>
    </w:pPr>
  </w:style>
  <w:style w:type="paragraph" w:customStyle="1" w:styleId="tv213">
    <w:name w:val="tv213"/>
    <w:basedOn w:val="Normal"/>
    <w:rsid w:val="00320C44"/>
    <w:pPr>
      <w:spacing w:before="100" w:beforeAutospacing="1" w:after="100" w:afterAutospacing="1"/>
      <w:jc w:val="left"/>
    </w:pPr>
    <w:rPr>
      <w:szCs w:val="24"/>
      <w:lang w:eastAsia="lv-LV"/>
    </w:rPr>
  </w:style>
  <w:style w:type="character" w:customStyle="1" w:styleId="FooterChar1">
    <w:name w:val="Footer Char1"/>
    <w:uiPriority w:val="99"/>
    <w:semiHidden/>
    <w:locked/>
    <w:rsid w:val="00890231"/>
    <w:rPr>
      <w:rFonts w:ascii="Calibri" w:hAnsi="Calibri" w:cs="Times New Roman"/>
      <w:sz w:val="22"/>
      <w:szCs w:val="22"/>
      <w:lang w:val="lv-LV" w:eastAsia="en-US" w:bidi="ar-SA"/>
    </w:rPr>
  </w:style>
  <w:style w:type="character" w:styleId="CommentReference">
    <w:name w:val="annotation reference"/>
    <w:basedOn w:val="DefaultParagraphFont"/>
    <w:uiPriority w:val="99"/>
    <w:semiHidden/>
    <w:unhideWhenUsed/>
    <w:rsid w:val="00ED3750"/>
    <w:rPr>
      <w:sz w:val="16"/>
      <w:szCs w:val="16"/>
    </w:rPr>
  </w:style>
  <w:style w:type="paragraph" w:styleId="CommentText">
    <w:name w:val="annotation text"/>
    <w:basedOn w:val="Normal"/>
    <w:link w:val="CommentTextChar"/>
    <w:uiPriority w:val="99"/>
    <w:unhideWhenUsed/>
    <w:rsid w:val="00ED3750"/>
    <w:rPr>
      <w:sz w:val="20"/>
    </w:rPr>
  </w:style>
  <w:style w:type="character" w:customStyle="1" w:styleId="CommentTextChar">
    <w:name w:val="Comment Text Char"/>
    <w:basedOn w:val="DefaultParagraphFont"/>
    <w:link w:val="CommentText"/>
    <w:uiPriority w:val="99"/>
    <w:rsid w:val="00ED3750"/>
    <w:rPr>
      <w:rFonts w:ascii="Times New Roman" w:eastAsia="Times New Roman" w:hAnsi="Times New Roman"/>
      <w:lang w:eastAsia="en-US"/>
    </w:rPr>
  </w:style>
  <w:style w:type="paragraph" w:styleId="CommentSubject">
    <w:name w:val="annotation subject"/>
    <w:basedOn w:val="CommentText"/>
    <w:next w:val="CommentText"/>
    <w:link w:val="CommentSubjectChar"/>
    <w:unhideWhenUsed/>
    <w:rsid w:val="00ED3750"/>
    <w:rPr>
      <w:b/>
      <w:bCs/>
    </w:rPr>
  </w:style>
  <w:style w:type="character" w:customStyle="1" w:styleId="CommentSubjectChar">
    <w:name w:val="Comment Subject Char"/>
    <w:basedOn w:val="CommentTextChar"/>
    <w:link w:val="CommentSubject"/>
    <w:rsid w:val="00ED3750"/>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4F521B"/>
    <w:rPr>
      <w:color w:val="800080"/>
      <w:u w:val="single"/>
    </w:rPr>
  </w:style>
  <w:style w:type="paragraph" w:customStyle="1" w:styleId="Normal1">
    <w:name w:val="Normal1"/>
    <w:rsid w:val="00055864"/>
    <w:rPr>
      <w:rFonts w:eastAsia="Times New Roman" w:cs="Calibri"/>
      <w:color w:val="000000"/>
      <w:sz w:val="22"/>
      <w:szCs w:val="22"/>
    </w:rPr>
  </w:style>
  <w:style w:type="paragraph" w:customStyle="1" w:styleId="Stils2">
    <w:name w:val="Stils2"/>
    <w:basedOn w:val="Normal"/>
    <w:autoRedefine/>
    <w:rsid w:val="00122511"/>
    <w:pPr>
      <w:numPr>
        <w:numId w:val="3"/>
      </w:numPr>
    </w:pPr>
    <w:rPr>
      <w:snapToGrid w:val="0"/>
      <w:szCs w:val="24"/>
      <w:lang w:eastAsia="lv-LV"/>
    </w:rPr>
  </w:style>
  <w:style w:type="paragraph" w:customStyle="1" w:styleId="tv2132">
    <w:name w:val="tv2132"/>
    <w:basedOn w:val="Normal"/>
    <w:rsid w:val="00210467"/>
    <w:pPr>
      <w:spacing w:line="360" w:lineRule="auto"/>
      <w:ind w:firstLine="250"/>
      <w:jc w:val="left"/>
    </w:pPr>
    <w:rPr>
      <w:color w:val="414142"/>
      <w:sz w:val="16"/>
      <w:szCs w:val="16"/>
      <w:lang w:eastAsia="lv-LV"/>
    </w:rPr>
  </w:style>
  <w:style w:type="character" w:styleId="Emphasis">
    <w:name w:val="Emphasis"/>
    <w:basedOn w:val="DefaultParagraphFont"/>
    <w:uiPriority w:val="20"/>
    <w:qFormat/>
    <w:rsid w:val="00E27194"/>
    <w:rPr>
      <w:i/>
      <w:iCs/>
    </w:rPr>
  </w:style>
  <w:style w:type="paragraph" w:customStyle="1" w:styleId="NVPtekstas">
    <w:name w:val="NVP tekstas"/>
    <w:rsid w:val="00400EE4"/>
    <w:pPr>
      <w:numPr>
        <w:numId w:val="5"/>
      </w:numPr>
      <w:jc w:val="both"/>
    </w:pPr>
    <w:rPr>
      <w:rFonts w:ascii="Times New Roman" w:eastAsia="Times New Roman" w:hAnsi="Times New Roman"/>
      <w:sz w:val="22"/>
      <w:szCs w:val="22"/>
      <w:lang w:val="lt-LT" w:eastAsia="en-US"/>
    </w:rPr>
  </w:style>
  <w:style w:type="paragraph" w:customStyle="1" w:styleId="NVPpapunkciai">
    <w:name w:val="NVP papunkciai"/>
    <w:basedOn w:val="NVPtekstas"/>
    <w:rsid w:val="00400EE4"/>
    <w:pPr>
      <w:numPr>
        <w:ilvl w:val="1"/>
      </w:numPr>
    </w:pPr>
  </w:style>
  <w:style w:type="character" w:customStyle="1" w:styleId="st">
    <w:name w:val="st"/>
    <w:basedOn w:val="DefaultParagraphFont"/>
    <w:rsid w:val="00DA78AB"/>
  </w:style>
  <w:style w:type="character" w:customStyle="1" w:styleId="EE-paragrCharCharChar1">
    <w:name w:val="EE-paragr Char Char Char1"/>
    <w:link w:val="EE-paragrCharChar"/>
    <w:locked/>
    <w:rsid w:val="003D2C5E"/>
    <w:rPr>
      <w:bCs/>
      <w:sz w:val="24"/>
      <w:szCs w:val="24"/>
    </w:rPr>
  </w:style>
  <w:style w:type="paragraph" w:customStyle="1" w:styleId="EE-paragrCharChar">
    <w:name w:val="EE-paragr Char Char"/>
    <w:basedOn w:val="Normal"/>
    <w:link w:val="EE-paragrCharCharChar1"/>
    <w:autoRedefine/>
    <w:rsid w:val="003D2C5E"/>
    <w:pPr>
      <w:numPr>
        <w:numId w:val="7"/>
      </w:numPr>
      <w:tabs>
        <w:tab w:val="left" w:pos="284"/>
      </w:tabs>
      <w:spacing w:before="120" w:after="120"/>
      <w:ind w:left="284" w:hanging="568"/>
    </w:pPr>
    <w:rPr>
      <w:rFonts w:ascii="Calibri" w:eastAsia="Calibri" w:hAnsi="Calibri"/>
      <w:bCs/>
      <w:szCs w:val="24"/>
      <w:lang w:eastAsia="lv-LV"/>
    </w:rPr>
  </w:style>
  <w:style w:type="paragraph" w:customStyle="1" w:styleId="naiskr">
    <w:name w:val="naiskr"/>
    <w:basedOn w:val="Normal"/>
    <w:rsid w:val="00AA644D"/>
    <w:pPr>
      <w:spacing w:before="100" w:beforeAutospacing="1" w:after="100" w:afterAutospacing="1"/>
      <w:jc w:val="left"/>
    </w:pPr>
    <w:rPr>
      <w:szCs w:val="24"/>
      <w:lang w:eastAsia="lv-LV"/>
    </w:rPr>
  </w:style>
  <w:style w:type="character" w:customStyle="1" w:styleId="Heading3Char">
    <w:name w:val="Heading 3 Char"/>
    <w:basedOn w:val="DefaultParagraphFont"/>
    <w:link w:val="Heading3"/>
    <w:uiPriority w:val="9"/>
    <w:rsid w:val="00A94D09"/>
    <w:rPr>
      <w:rFonts w:ascii="Times New Roman" w:eastAsiaTheme="majorEastAsia" w:hAnsi="Times New Roman" w:cstheme="majorBidi"/>
      <w:b/>
      <w:bCs/>
      <w:color w:val="1F497D" w:themeColor="text2"/>
      <w:sz w:val="24"/>
      <w:lang w:eastAsia="en-US"/>
    </w:rPr>
  </w:style>
  <w:style w:type="paragraph" w:customStyle="1" w:styleId="EE-normls">
    <w:name w:val="EE-normāls"/>
    <w:basedOn w:val="Normal"/>
    <w:link w:val="EE-normlsChar"/>
    <w:autoRedefine/>
    <w:rsid w:val="00A77525"/>
    <w:pPr>
      <w:ind w:firstLine="720"/>
    </w:pPr>
    <w:rPr>
      <w:rFonts w:ascii="Times New Roman Bold" w:hAnsi="Times New Roman Bold"/>
      <w:b/>
      <w:bCs/>
      <w:noProof/>
      <w:szCs w:val="24"/>
      <w:lang w:eastAsia="lv-LV"/>
    </w:rPr>
  </w:style>
  <w:style w:type="character" w:customStyle="1" w:styleId="EE-normlsChar">
    <w:name w:val="EE-normāls Char"/>
    <w:link w:val="EE-normls"/>
    <w:locked/>
    <w:rsid w:val="00A77525"/>
    <w:rPr>
      <w:rFonts w:ascii="Times New Roman Bold" w:eastAsia="Times New Roman" w:hAnsi="Times New Roman Bold"/>
      <w:b/>
      <w:bCs/>
      <w:noProof/>
      <w:sz w:val="24"/>
      <w:szCs w:val="24"/>
    </w:rPr>
  </w:style>
  <w:style w:type="paragraph" w:customStyle="1" w:styleId="9pirmstab3">
    <w:name w:val="9_pirms_tab_3"/>
    <w:basedOn w:val="Normal"/>
    <w:rsid w:val="003B2B2B"/>
    <w:pPr>
      <w:tabs>
        <w:tab w:val="left" w:pos="3259"/>
        <w:tab w:val="left" w:pos="4200"/>
        <w:tab w:val="left" w:pos="5141"/>
        <w:tab w:val="left" w:pos="6082"/>
        <w:tab w:val="left" w:pos="7022"/>
        <w:tab w:val="left" w:pos="7963"/>
        <w:tab w:val="left" w:pos="8870"/>
        <w:tab w:val="left" w:pos="9794"/>
        <w:tab w:val="left" w:pos="10718"/>
        <w:tab w:val="left" w:pos="11659"/>
        <w:tab w:val="left" w:pos="13171"/>
      </w:tabs>
      <w:spacing w:after="60"/>
      <w:jc w:val="center"/>
    </w:pPr>
    <w:rPr>
      <w:color w:val="000000"/>
      <w:sz w:val="18"/>
    </w:rPr>
  </w:style>
  <w:style w:type="paragraph" w:customStyle="1" w:styleId="Taksts11">
    <w:name w:val="Taksts_11"/>
    <w:basedOn w:val="Normal"/>
    <w:rsid w:val="003B2B2B"/>
    <w:pPr>
      <w:ind w:firstLine="567"/>
    </w:pPr>
    <w:rPr>
      <w:lang w:val="en-US"/>
    </w:rPr>
  </w:style>
  <w:style w:type="table" w:customStyle="1" w:styleId="GridTable5Dark-Accent31">
    <w:name w:val="Grid Table 5 Dark - Accent 31"/>
    <w:basedOn w:val="TableNormal"/>
    <w:uiPriority w:val="50"/>
    <w:rsid w:val="003B2B2B"/>
    <w:rPr>
      <w:rFonts w:ascii="Times New Roman" w:eastAsiaTheme="minorHAnsi" w:hAnsi="Times New Roman" w:cstheme="minorBidi"/>
      <w:sz w:val="28"/>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contact-street">
    <w:name w:val="contact-street"/>
    <w:basedOn w:val="DefaultParagraphFont"/>
    <w:rsid w:val="003B2B2B"/>
  </w:style>
  <w:style w:type="character" w:customStyle="1" w:styleId="ListParagraphChar">
    <w:name w:val="List Paragraph Char"/>
    <w:aliases w:val="2 Char,Strip Char,H&amp;P List Paragraph Char,Colorful List - Accent 12 Char"/>
    <w:link w:val="ListParagraph"/>
    <w:uiPriority w:val="34"/>
    <w:qFormat/>
    <w:rsid w:val="003B2B2B"/>
    <w:rPr>
      <w:rFonts w:ascii="Times New Roman" w:eastAsia="Times New Roman" w:hAnsi="Times New Roman"/>
      <w:sz w:val="24"/>
      <w:lang w:eastAsia="en-US"/>
    </w:rPr>
  </w:style>
  <w:style w:type="paragraph" w:styleId="EnvelopeReturn">
    <w:name w:val="envelope return"/>
    <w:basedOn w:val="Normal"/>
    <w:uiPriority w:val="99"/>
    <w:unhideWhenUsed/>
    <w:rsid w:val="003B2B2B"/>
    <w:pPr>
      <w:jc w:val="left"/>
    </w:pPr>
    <w:rPr>
      <w:rFonts w:ascii="Cambria" w:hAnsi="Cambria"/>
      <w:sz w:val="20"/>
      <w:lang w:eastAsia="lv-LV"/>
    </w:rPr>
  </w:style>
  <w:style w:type="paragraph" w:customStyle="1" w:styleId="CharCharCharChar">
    <w:name w:val="Char Char Char Char"/>
    <w:aliases w:val="Char2"/>
    <w:basedOn w:val="Normal"/>
    <w:next w:val="Normal"/>
    <w:link w:val="FootnoteReference"/>
    <w:uiPriority w:val="99"/>
    <w:rsid w:val="00BA3CB3"/>
    <w:pPr>
      <w:spacing w:after="160" w:line="240" w:lineRule="exact"/>
      <w:textAlignment w:val="baseline"/>
    </w:pPr>
    <w:rPr>
      <w:rFonts w:eastAsia="Calibri"/>
      <w:sz w:val="20"/>
      <w:vertAlign w:val="superscript"/>
      <w:lang w:eastAsia="lv-LV"/>
    </w:rPr>
  </w:style>
  <w:style w:type="character" w:customStyle="1" w:styleId="ms-rtefontsize-1">
    <w:name w:val="ms-rtefontsize-1"/>
    <w:basedOn w:val="DefaultParagraphFont"/>
    <w:rsid w:val="00D42476"/>
  </w:style>
  <w:style w:type="paragraph" w:customStyle="1" w:styleId="naisf">
    <w:name w:val="naisf"/>
    <w:basedOn w:val="Normal"/>
    <w:rsid w:val="00C06916"/>
    <w:pPr>
      <w:spacing w:before="75" w:after="75"/>
      <w:ind w:firstLine="375"/>
    </w:pPr>
    <w:rPr>
      <w:szCs w:val="24"/>
      <w:lang w:eastAsia="lv-LV"/>
    </w:rPr>
  </w:style>
  <w:style w:type="paragraph" w:styleId="EndnoteText">
    <w:name w:val="endnote text"/>
    <w:basedOn w:val="Normal"/>
    <w:link w:val="EndnoteTextChar"/>
    <w:uiPriority w:val="99"/>
    <w:semiHidden/>
    <w:unhideWhenUsed/>
    <w:rsid w:val="005A30C2"/>
    <w:rPr>
      <w:sz w:val="20"/>
    </w:rPr>
  </w:style>
  <w:style w:type="character" w:customStyle="1" w:styleId="EndnoteTextChar">
    <w:name w:val="Endnote Text Char"/>
    <w:basedOn w:val="DefaultParagraphFont"/>
    <w:link w:val="EndnoteText"/>
    <w:uiPriority w:val="99"/>
    <w:semiHidden/>
    <w:rsid w:val="005A30C2"/>
    <w:rPr>
      <w:rFonts w:ascii="Times New Roman" w:eastAsia="Times New Roman" w:hAnsi="Times New Roman"/>
      <w:lang w:eastAsia="en-US"/>
    </w:rPr>
  </w:style>
  <w:style w:type="character" w:styleId="EndnoteReference">
    <w:name w:val="endnote reference"/>
    <w:basedOn w:val="DefaultParagraphFont"/>
    <w:uiPriority w:val="99"/>
    <w:semiHidden/>
    <w:unhideWhenUsed/>
    <w:rsid w:val="005A30C2"/>
    <w:rPr>
      <w:vertAlign w:val="superscript"/>
    </w:rPr>
  </w:style>
  <w:style w:type="paragraph" w:styleId="Revision">
    <w:name w:val="Revision"/>
    <w:hidden/>
    <w:uiPriority w:val="99"/>
    <w:semiHidden/>
    <w:rsid w:val="006C4693"/>
    <w:rPr>
      <w:rFonts w:ascii="Times New Roman" w:eastAsia="Times New Roman" w:hAnsi="Times New Roman"/>
      <w:sz w:val="24"/>
      <w:lang w:eastAsia="en-US"/>
    </w:rPr>
  </w:style>
  <w:style w:type="paragraph" w:styleId="Subtitle">
    <w:name w:val="Subtitle"/>
    <w:basedOn w:val="Normal"/>
    <w:next w:val="Normal"/>
    <w:link w:val="SubtitleChar"/>
    <w:qFormat/>
    <w:rsid w:val="00836C52"/>
    <w:pPr>
      <w:keepNext/>
      <w:keepLines/>
      <w:widowControl w:val="0"/>
      <w:suppressAutoHyphens/>
      <w:spacing w:before="600" w:after="600"/>
      <w:ind w:right="4820"/>
      <w:jc w:val="left"/>
    </w:pPr>
    <w:rPr>
      <w:b/>
      <w:sz w:val="26"/>
    </w:rPr>
  </w:style>
  <w:style w:type="character" w:customStyle="1" w:styleId="SubtitleChar">
    <w:name w:val="Subtitle Char"/>
    <w:basedOn w:val="DefaultParagraphFont"/>
    <w:link w:val="Subtitle"/>
    <w:rsid w:val="00836C52"/>
    <w:rPr>
      <w:rFonts w:ascii="Times New Roman" w:eastAsia="Times New Roman" w:hAnsi="Times New Roman"/>
      <w:b/>
      <w:sz w:val="26"/>
      <w:lang w:eastAsia="en-US"/>
    </w:rPr>
  </w:style>
  <w:style w:type="paragraph" w:customStyle="1" w:styleId="naisc">
    <w:name w:val="naisc"/>
    <w:basedOn w:val="Normal"/>
    <w:rsid w:val="00836C52"/>
    <w:pPr>
      <w:spacing w:before="75" w:after="75"/>
      <w:jc w:val="center"/>
    </w:pPr>
    <w:rPr>
      <w:szCs w:val="24"/>
      <w:lang w:eastAsia="lv-LV"/>
    </w:rPr>
  </w:style>
</w:styles>
</file>

<file path=word/webSettings.xml><?xml version="1.0" encoding="utf-8"?>
<w:webSettings xmlns:r="http://schemas.openxmlformats.org/officeDocument/2006/relationships" xmlns:w="http://schemas.openxmlformats.org/wordprocessingml/2006/main">
  <w:divs>
    <w:div w:id="34698426">
      <w:bodyDiv w:val="1"/>
      <w:marLeft w:val="0"/>
      <w:marRight w:val="0"/>
      <w:marTop w:val="0"/>
      <w:marBottom w:val="0"/>
      <w:divBdr>
        <w:top w:val="none" w:sz="0" w:space="0" w:color="auto"/>
        <w:left w:val="none" w:sz="0" w:space="0" w:color="auto"/>
        <w:bottom w:val="none" w:sz="0" w:space="0" w:color="auto"/>
        <w:right w:val="none" w:sz="0" w:space="0" w:color="auto"/>
      </w:divBdr>
    </w:div>
    <w:div w:id="71198637">
      <w:bodyDiv w:val="1"/>
      <w:marLeft w:val="0"/>
      <w:marRight w:val="0"/>
      <w:marTop w:val="0"/>
      <w:marBottom w:val="0"/>
      <w:divBdr>
        <w:top w:val="none" w:sz="0" w:space="0" w:color="auto"/>
        <w:left w:val="none" w:sz="0" w:space="0" w:color="auto"/>
        <w:bottom w:val="none" w:sz="0" w:space="0" w:color="auto"/>
        <w:right w:val="none" w:sz="0" w:space="0" w:color="auto"/>
      </w:divBdr>
      <w:divsChild>
        <w:div w:id="398677982">
          <w:marLeft w:val="0"/>
          <w:marRight w:val="0"/>
          <w:marTop w:val="0"/>
          <w:marBottom w:val="0"/>
          <w:divBdr>
            <w:top w:val="none" w:sz="0" w:space="0" w:color="auto"/>
            <w:left w:val="none" w:sz="0" w:space="0" w:color="auto"/>
            <w:bottom w:val="none" w:sz="0" w:space="0" w:color="auto"/>
            <w:right w:val="none" w:sz="0" w:space="0" w:color="auto"/>
          </w:divBdr>
        </w:div>
      </w:divsChild>
    </w:div>
    <w:div w:id="164831959">
      <w:bodyDiv w:val="1"/>
      <w:marLeft w:val="0"/>
      <w:marRight w:val="0"/>
      <w:marTop w:val="0"/>
      <w:marBottom w:val="0"/>
      <w:divBdr>
        <w:top w:val="none" w:sz="0" w:space="0" w:color="auto"/>
        <w:left w:val="none" w:sz="0" w:space="0" w:color="auto"/>
        <w:bottom w:val="none" w:sz="0" w:space="0" w:color="auto"/>
        <w:right w:val="none" w:sz="0" w:space="0" w:color="auto"/>
      </w:divBdr>
    </w:div>
    <w:div w:id="165873984">
      <w:bodyDiv w:val="1"/>
      <w:marLeft w:val="0"/>
      <w:marRight w:val="0"/>
      <w:marTop w:val="0"/>
      <w:marBottom w:val="0"/>
      <w:divBdr>
        <w:top w:val="none" w:sz="0" w:space="0" w:color="auto"/>
        <w:left w:val="none" w:sz="0" w:space="0" w:color="auto"/>
        <w:bottom w:val="none" w:sz="0" w:space="0" w:color="auto"/>
        <w:right w:val="none" w:sz="0" w:space="0" w:color="auto"/>
      </w:divBdr>
      <w:divsChild>
        <w:div w:id="1481263099">
          <w:marLeft w:val="0"/>
          <w:marRight w:val="0"/>
          <w:marTop w:val="0"/>
          <w:marBottom w:val="0"/>
          <w:divBdr>
            <w:top w:val="none" w:sz="0" w:space="0" w:color="auto"/>
            <w:left w:val="none" w:sz="0" w:space="0" w:color="auto"/>
            <w:bottom w:val="none" w:sz="0" w:space="0" w:color="auto"/>
            <w:right w:val="none" w:sz="0" w:space="0" w:color="auto"/>
          </w:divBdr>
          <w:divsChild>
            <w:div w:id="116878806">
              <w:marLeft w:val="0"/>
              <w:marRight w:val="0"/>
              <w:marTop w:val="0"/>
              <w:marBottom w:val="0"/>
              <w:divBdr>
                <w:top w:val="none" w:sz="0" w:space="0" w:color="auto"/>
                <w:left w:val="none" w:sz="0" w:space="0" w:color="auto"/>
                <w:bottom w:val="none" w:sz="0" w:space="0" w:color="auto"/>
                <w:right w:val="none" w:sz="0" w:space="0" w:color="auto"/>
              </w:divBdr>
              <w:divsChild>
                <w:div w:id="1220630854">
                  <w:marLeft w:val="0"/>
                  <w:marRight w:val="0"/>
                  <w:marTop w:val="0"/>
                  <w:marBottom w:val="0"/>
                  <w:divBdr>
                    <w:top w:val="none" w:sz="0" w:space="0" w:color="auto"/>
                    <w:left w:val="none" w:sz="0" w:space="0" w:color="auto"/>
                    <w:bottom w:val="none" w:sz="0" w:space="0" w:color="auto"/>
                    <w:right w:val="none" w:sz="0" w:space="0" w:color="auto"/>
                  </w:divBdr>
                  <w:divsChild>
                    <w:div w:id="2087993163">
                      <w:marLeft w:val="0"/>
                      <w:marRight w:val="0"/>
                      <w:marTop w:val="0"/>
                      <w:marBottom w:val="0"/>
                      <w:divBdr>
                        <w:top w:val="none" w:sz="0" w:space="0" w:color="auto"/>
                        <w:left w:val="none" w:sz="0" w:space="0" w:color="auto"/>
                        <w:bottom w:val="none" w:sz="0" w:space="0" w:color="auto"/>
                        <w:right w:val="none" w:sz="0" w:space="0" w:color="auto"/>
                      </w:divBdr>
                      <w:divsChild>
                        <w:div w:id="1029648194">
                          <w:marLeft w:val="0"/>
                          <w:marRight w:val="0"/>
                          <w:marTop w:val="0"/>
                          <w:marBottom w:val="0"/>
                          <w:divBdr>
                            <w:top w:val="none" w:sz="0" w:space="0" w:color="auto"/>
                            <w:left w:val="none" w:sz="0" w:space="0" w:color="auto"/>
                            <w:bottom w:val="none" w:sz="0" w:space="0" w:color="auto"/>
                            <w:right w:val="none" w:sz="0" w:space="0" w:color="auto"/>
                          </w:divBdr>
                          <w:divsChild>
                            <w:div w:id="17629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7808">
      <w:bodyDiv w:val="1"/>
      <w:marLeft w:val="0"/>
      <w:marRight w:val="0"/>
      <w:marTop w:val="0"/>
      <w:marBottom w:val="0"/>
      <w:divBdr>
        <w:top w:val="none" w:sz="0" w:space="0" w:color="auto"/>
        <w:left w:val="none" w:sz="0" w:space="0" w:color="auto"/>
        <w:bottom w:val="none" w:sz="0" w:space="0" w:color="auto"/>
        <w:right w:val="none" w:sz="0" w:space="0" w:color="auto"/>
      </w:divBdr>
      <w:divsChild>
        <w:div w:id="269776254">
          <w:marLeft w:val="0"/>
          <w:marRight w:val="0"/>
          <w:marTop w:val="0"/>
          <w:marBottom w:val="0"/>
          <w:divBdr>
            <w:top w:val="none" w:sz="0" w:space="0" w:color="auto"/>
            <w:left w:val="none" w:sz="0" w:space="0" w:color="auto"/>
            <w:bottom w:val="none" w:sz="0" w:space="0" w:color="auto"/>
            <w:right w:val="none" w:sz="0" w:space="0" w:color="auto"/>
          </w:divBdr>
          <w:divsChild>
            <w:div w:id="1586188000">
              <w:marLeft w:val="0"/>
              <w:marRight w:val="0"/>
              <w:marTop w:val="0"/>
              <w:marBottom w:val="0"/>
              <w:divBdr>
                <w:top w:val="none" w:sz="0" w:space="0" w:color="auto"/>
                <w:left w:val="none" w:sz="0" w:space="0" w:color="auto"/>
                <w:bottom w:val="none" w:sz="0" w:space="0" w:color="auto"/>
                <w:right w:val="none" w:sz="0" w:space="0" w:color="auto"/>
              </w:divBdr>
              <w:divsChild>
                <w:div w:id="1545368066">
                  <w:marLeft w:val="0"/>
                  <w:marRight w:val="0"/>
                  <w:marTop w:val="0"/>
                  <w:marBottom w:val="0"/>
                  <w:divBdr>
                    <w:top w:val="none" w:sz="0" w:space="0" w:color="auto"/>
                    <w:left w:val="none" w:sz="0" w:space="0" w:color="auto"/>
                    <w:bottom w:val="none" w:sz="0" w:space="0" w:color="auto"/>
                    <w:right w:val="none" w:sz="0" w:space="0" w:color="auto"/>
                  </w:divBdr>
                  <w:divsChild>
                    <w:div w:id="1784763030">
                      <w:marLeft w:val="0"/>
                      <w:marRight w:val="0"/>
                      <w:marTop w:val="0"/>
                      <w:marBottom w:val="0"/>
                      <w:divBdr>
                        <w:top w:val="none" w:sz="0" w:space="0" w:color="auto"/>
                        <w:left w:val="none" w:sz="0" w:space="0" w:color="auto"/>
                        <w:bottom w:val="none" w:sz="0" w:space="0" w:color="auto"/>
                        <w:right w:val="none" w:sz="0" w:space="0" w:color="auto"/>
                      </w:divBdr>
                      <w:divsChild>
                        <w:div w:id="996687569">
                          <w:marLeft w:val="0"/>
                          <w:marRight w:val="0"/>
                          <w:marTop w:val="0"/>
                          <w:marBottom w:val="0"/>
                          <w:divBdr>
                            <w:top w:val="none" w:sz="0" w:space="0" w:color="auto"/>
                            <w:left w:val="none" w:sz="0" w:space="0" w:color="auto"/>
                            <w:bottom w:val="none" w:sz="0" w:space="0" w:color="auto"/>
                            <w:right w:val="none" w:sz="0" w:space="0" w:color="auto"/>
                          </w:divBdr>
                          <w:divsChild>
                            <w:div w:id="3050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968535">
      <w:bodyDiv w:val="1"/>
      <w:marLeft w:val="0"/>
      <w:marRight w:val="0"/>
      <w:marTop w:val="0"/>
      <w:marBottom w:val="0"/>
      <w:divBdr>
        <w:top w:val="none" w:sz="0" w:space="0" w:color="auto"/>
        <w:left w:val="none" w:sz="0" w:space="0" w:color="auto"/>
        <w:bottom w:val="none" w:sz="0" w:space="0" w:color="auto"/>
        <w:right w:val="none" w:sz="0" w:space="0" w:color="auto"/>
      </w:divBdr>
    </w:div>
    <w:div w:id="231895943">
      <w:bodyDiv w:val="1"/>
      <w:marLeft w:val="0"/>
      <w:marRight w:val="0"/>
      <w:marTop w:val="0"/>
      <w:marBottom w:val="0"/>
      <w:divBdr>
        <w:top w:val="none" w:sz="0" w:space="0" w:color="auto"/>
        <w:left w:val="none" w:sz="0" w:space="0" w:color="auto"/>
        <w:bottom w:val="none" w:sz="0" w:space="0" w:color="auto"/>
        <w:right w:val="none" w:sz="0" w:space="0" w:color="auto"/>
      </w:divBdr>
    </w:div>
    <w:div w:id="233204463">
      <w:bodyDiv w:val="1"/>
      <w:marLeft w:val="0"/>
      <w:marRight w:val="0"/>
      <w:marTop w:val="0"/>
      <w:marBottom w:val="0"/>
      <w:divBdr>
        <w:top w:val="none" w:sz="0" w:space="0" w:color="auto"/>
        <w:left w:val="none" w:sz="0" w:space="0" w:color="auto"/>
        <w:bottom w:val="none" w:sz="0" w:space="0" w:color="auto"/>
        <w:right w:val="none" w:sz="0" w:space="0" w:color="auto"/>
      </w:divBdr>
      <w:divsChild>
        <w:div w:id="553275204">
          <w:marLeft w:val="0"/>
          <w:marRight w:val="0"/>
          <w:marTop w:val="0"/>
          <w:marBottom w:val="0"/>
          <w:divBdr>
            <w:top w:val="none" w:sz="0" w:space="0" w:color="auto"/>
            <w:left w:val="none" w:sz="0" w:space="0" w:color="auto"/>
            <w:bottom w:val="none" w:sz="0" w:space="0" w:color="auto"/>
            <w:right w:val="none" w:sz="0" w:space="0" w:color="auto"/>
          </w:divBdr>
          <w:divsChild>
            <w:div w:id="1711955712">
              <w:marLeft w:val="0"/>
              <w:marRight w:val="0"/>
              <w:marTop w:val="0"/>
              <w:marBottom w:val="0"/>
              <w:divBdr>
                <w:top w:val="none" w:sz="0" w:space="0" w:color="auto"/>
                <w:left w:val="none" w:sz="0" w:space="0" w:color="auto"/>
                <w:bottom w:val="none" w:sz="0" w:space="0" w:color="auto"/>
                <w:right w:val="none" w:sz="0" w:space="0" w:color="auto"/>
              </w:divBdr>
              <w:divsChild>
                <w:div w:id="1536843625">
                  <w:marLeft w:val="0"/>
                  <w:marRight w:val="0"/>
                  <w:marTop w:val="0"/>
                  <w:marBottom w:val="0"/>
                  <w:divBdr>
                    <w:top w:val="none" w:sz="0" w:space="0" w:color="auto"/>
                    <w:left w:val="none" w:sz="0" w:space="0" w:color="auto"/>
                    <w:bottom w:val="none" w:sz="0" w:space="0" w:color="auto"/>
                    <w:right w:val="none" w:sz="0" w:space="0" w:color="auto"/>
                  </w:divBdr>
                  <w:divsChild>
                    <w:div w:id="1245072715">
                      <w:marLeft w:val="0"/>
                      <w:marRight w:val="0"/>
                      <w:marTop w:val="0"/>
                      <w:marBottom w:val="0"/>
                      <w:divBdr>
                        <w:top w:val="none" w:sz="0" w:space="0" w:color="auto"/>
                        <w:left w:val="none" w:sz="0" w:space="0" w:color="auto"/>
                        <w:bottom w:val="none" w:sz="0" w:space="0" w:color="auto"/>
                        <w:right w:val="none" w:sz="0" w:space="0" w:color="auto"/>
                      </w:divBdr>
                      <w:divsChild>
                        <w:div w:id="758134209">
                          <w:marLeft w:val="0"/>
                          <w:marRight w:val="0"/>
                          <w:marTop w:val="0"/>
                          <w:marBottom w:val="0"/>
                          <w:divBdr>
                            <w:top w:val="none" w:sz="0" w:space="0" w:color="auto"/>
                            <w:left w:val="none" w:sz="0" w:space="0" w:color="auto"/>
                            <w:bottom w:val="none" w:sz="0" w:space="0" w:color="auto"/>
                            <w:right w:val="none" w:sz="0" w:space="0" w:color="auto"/>
                          </w:divBdr>
                          <w:divsChild>
                            <w:div w:id="15570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53121">
      <w:bodyDiv w:val="1"/>
      <w:marLeft w:val="0"/>
      <w:marRight w:val="0"/>
      <w:marTop w:val="0"/>
      <w:marBottom w:val="0"/>
      <w:divBdr>
        <w:top w:val="none" w:sz="0" w:space="0" w:color="auto"/>
        <w:left w:val="none" w:sz="0" w:space="0" w:color="auto"/>
        <w:bottom w:val="none" w:sz="0" w:space="0" w:color="auto"/>
        <w:right w:val="none" w:sz="0" w:space="0" w:color="auto"/>
      </w:divBdr>
    </w:div>
    <w:div w:id="250696500">
      <w:bodyDiv w:val="1"/>
      <w:marLeft w:val="0"/>
      <w:marRight w:val="0"/>
      <w:marTop w:val="0"/>
      <w:marBottom w:val="0"/>
      <w:divBdr>
        <w:top w:val="none" w:sz="0" w:space="0" w:color="auto"/>
        <w:left w:val="none" w:sz="0" w:space="0" w:color="auto"/>
        <w:bottom w:val="none" w:sz="0" w:space="0" w:color="auto"/>
        <w:right w:val="none" w:sz="0" w:space="0" w:color="auto"/>
      </w:divBdr>
      <w:divsChild>
        <w:div w:id="1717781332">
          <w:marLeft w:val="0"/>
          <w:marRight w:val="0"/>
          <w:marTop w:val="525"/>
          <w:marBottom w:val="0"/>
          <w:divBdr>
            <w:top w:val="none" w:sz="0" w:space="0" w:color="auto"/>
            <w:left w:val="none" w:sz="0" w:space="0" w:color="auto"/>
            <w:bottom w:val="none" w:sz="0" w:space="0" w:color="auto"/>
            <w:right w:val="none" w:sz="0" w:space="0" w:color="auto"/>
          </w:divBdr>
          <w:divsChild>
            <w:div w:id="16035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1576">
      <w:bodyDiv w:val="1"/>
      <w:marLeft w:val="0"/>
      <w:marRight w:val="0"/>
      <w:marTop w:val="0"/>
      <w:marBottom w:val="0"/>
      <w:divBdr>
        <w:top w:val="none" w:sz="0" w:space="0" w:color="auto"/>
        <w:left w:val="none" w:sz="0" w:space="0" w:color="auto"/>
        <w:bottom w:val="none" w:sz="0" w:space="0" w:color="auto"/>
        <w:right w:val="none" w:sz="0" w:space="0" w:color="auto"/>
      </w:divBdr>
      <w:divsChild>
        <w:div w:id="1191339085">
          <w:marLeft w:val="0"/>
          <w:marRight w:val="0"/>
          <w:marTop w:val="0"/>
          <w:marBottom w:val="0"/>
          <w:divBdr>
            <w:top w:val="none" w:sz="0" w:space="0" w:color="auto"/>
            <w:left w:val="none" w:sz="0" w:space="0" w:color="auto"/>
            <w:bottom w:val="none" w:sz="0" w:space="0" w:color="auto"/>
            <w:right w:val="none" w:sz="0" w:space="0" w:color="auto"/>
          </w:divBdr>
          <w:divsChild>
            <w:div w:id="49378596">
              <w:marLeft w:val="0"/>
              <w:marRight w:val="0"/>
              <w:marTop w:val="0"/>
              <w:marBottom w:val="0"/>
              <w:divBdr>
                <w:top w:val="none" w:sz="0" w:space="0" w:color="auto"/>
                <w:left w:val="none" w:sz="0" w:space="0" w:color="auto"/>
                <w:bottom w:val="none" w:sz="0" w:space="0" w:color="auto"/>
                <w:right w:val="none" w:sz="0" w:space="0" w:color="auto"/>
              </w:divBdr>
            </w:div>
            <w:div w:id="60715106">
              <w:marLeft w:val="0"/>
              <w:marRight w:val="0"/>
              <w:marTop w:val="0"/>
              <w:marBottom w:val="0"/>
              <w:divBdr>
                <w:top w:val="none" w:sz="0" w:space="0" w:color="auto"/>
                <w:left w:val="none" w:sz="0" w:space="0" w:color="auto"/>
                <w:bottom w:val="none" w:sz="0" w:space="0" w:color="auto"/>
                <w:right w:val="none" w:sz="0" w:space="0" w:color="auto"/>
              </w:divBdr>
            </w:div>
            <w:div w:id="71391244">
              <w:marLeft w:val="0"/>
              <w:marRight w:val="0"/>
              <w:marTop w:val="0"/>
              <w:marBottom w:val="0"/>
              <w:divBdr>
                <w:top w:val="none" w:sz="0" w:space="0" w:color="auto"/>
                <w:left w:val="none" w:sz="0" w:space="0" w:color="auto"/>
                <w:bottom w:val="none" w:sz="0" w:space="0" w:color="auto"/>
                <w:right w:val="none" w:sz="0" w:space="0" w:color="auto"/>
              </w:divBdr>
            </w:div>
            <w:div w:id="77026156">
              <w:marLeft w:val="0"/>
              <w:marRight w:val="0"/>
              <w:marTop w:val="0"/>
              <w:marBottom w:val="0"/>
              <w:divBdr>
                <w:top w:val="none" w:sz="0" w:space="0" w:color="auto"/>
                <w:left w:val="none" w:sz="0" w:space="0" w:color="auto"/>
                <w:bottom w:val="none" w:sz="0" w:space="0" w:color="auto"/>
                <w:right w:val="none" w:sz="0" w:space="0" w:color="auto"/>
              </w:divBdr>
            </w:div>
            <w:div w:id="77792563">
              <w:marLeft w:val="0"/>
              <w:marRight w:val="0"/>
              <w:marTop w:val="0"/>
              <w:marBottom w:val="0"/>
              <w:divBdr>
                <w:top w:val="none" w:sz="0" w:space="0" w:color="auto"/>
                <w:left w:val="none" w:sz="0" w:space="0" w:color="auto"/>
                <w:bottom w:val="none" w:sz="0" w:space="0" w:color="auto"/>
                <w:right w:val="none" w:sz="0" w:space="0" w:color="auto"/>
              </w:divBdr>
            </w:div>
            <w:div w:id="80219050">
              <w:marLeft w:val="0"/>
              <w:marRight w:val="0"/>
              <w:marTop w:val="0"/>
              <w:marBottom w:val="0"/>
              <w:divBdr>
                <w:top w:val="none" w:sz="0" w:space="0" w:color="auto"/>
                <w:left w:val="none" w:sz="0" w:space="0" w:color="auto"/>
                <w:bottom w:val="none" w:sz="0" w:space="0" w:color="auto"/>
                <w:right w:val="none" w:sz="0" w:space="0" w:color="auto"/>
              </w:divBdr>
            </w:div>
            <w:div w:id="100809496">
              <w:marLeft w:val="0"/>
              <w:marRight w:val="0"/>
              <w:marTop w:val="0"/>
              <w:marBottom w:val="0"/>
              <w:divBdr>
                <w:top w:val="none" w:sz="0" w:space="0" w:color="auto"/>
                <w:left w:val="none" w:sz="0" w:space="0" w:color="auto"/>
                <w:bottom w:val="none" w:sz="0" w:space="0" w:color="auto"/>
                <w:right w:val="none" w:sz="0" w:space="0" w:color="auto"/>
              </w:divBdr>
            </w:div>
            <w:div w:id="110248853">
              <w:marLeft w:val="0"/>
              <w:marRight w:val="0"/>
              <w:marTop w:val="0"/>
              <w:marBottom w:val="0"/>
              <w:divBdr>
                <w:top w:val="none" w:sz="0" w:space="0" w:color="auto"/>
                <w:left w:val="none" w:sz="0" w:space="0" w:color="auto"/>
                <w:bottom w:val="none" w:sz="0" w:space="0" w:color="auto"/>
                <w:right w:val="none" w:sz="0" w:space="0" w:color="auto"/>
              </w:divBdr>
            </w:div>
            <w:div w:id="121965912">
              <w:marLeft w:val="0"/>
              <w:marRight w:val="0"/>
              <w:marTop w:val="0"/>
              <w:marBottom w:val="0"/>
              <w:divBdr>
                <w:top w:val="none" w:sz="0" w:space="0" w:color="auto"/>
                <w:left w:val="none" w:sz="0" w:space="0" w:color="auto"/>
                <w:bottom w:val="none" w:sz="0" w:space="0" w:color="auto"/>
                <w:right w:val="none" w:sz="0" w:space="0" w:color="auto"/>
              </w:divBdr>
            </w:div>
            <w:div w:id="145366931">
              <w:marLeft w:val="0"/>
              <w:marRight w:val="0"/>
              <w:marTop w:val="0"/>
              <w:marBottom w:val="0"/>
              <w:divBdr>
                <w:top w:val="none" w:sz="0" w:space="0" w:color="auto"/>
                <w:left w:val="none" w:sz="0" w:space="0" w:color="auto"/>
                <w:bottom w:val="none" w:sz="0" w:space="0" w:color="auto"/>
                <w:right w:val="none" w:sz="0" w:space="0" w:color="auto"/>
              </w:divBdr>
            </w:div>
            <w:div w:id="158229035">
              <w:marLeft w:val="0"/>
              <w:marRight w:val="0"/>
              <w:marTop w:val="0"/>
              <w:marBottom w:val="0"/>
              <w:divBdr>
                <w:top w:val="none" w:sz="0" w:space="0" w:color="auto"/>
                <w:left w:val="none" w:sz="0" w:space="0" w:color="auto"/>
                <w:bottom w:val="none" w:sz="0" w:space="0" w:color="auto"/>
                <w:right w:val="none" w:sz="0" w:space="0" w:color="auto"/>
              </w:divBdr>
            </w:div>
            <w:div w:id="163935431">
              <w:marLeft w:val="0"/>
              <w:marRight w:val="0"/>
              <w:marTop w:val="0"/>
              <w:marBottom w:val="0"/>
              <w:divBdr>
                <w:top w:val="none" w:sz="0" w:space="0" w:color="auto"/>
                <w:left w:val="none" w:sz="0" w:space="0" w:color="auto"/>
                <w:bottom w:val="none" w:sz="0" w:space="0" w:color="auto"/>
                <w:right w:val="none" w:sz="0" w:space="0" w:color="auto"/>
              </w:divBdr>
            </w:div>
            <w:div w:id="201483336">
              <w:marLeft w:val="0"/>
              <w:marRight w:val="0"/>
              <w:marTop w:val="0"/>
              <w:marBottom w:val="0"/>
              <w:divBdr>
                <w:top w:val="none" w:sz="0" w:space="0" w:color="auto"/>
                <w:left w:val="none" w:sz="0" w:space="0" w:color="auto"/>
                <w:bottom w:val="none" w:sz="0" w:space="0" w:color="auto"/>
                <w:right w:val="none" w:sz="0" w:space="0" w:color="auto"/>
              </w:divBdr>
            </w:div>
            <w:div w:id="205987605">
              <w:marLeft w:val="0"/>
              <w:marRight w:val="0"/>
              <w:marTop w:val="0"/>
              <w:marBottom w:val="0"/>
              <w:divBdr>
                <w:top w:val="none" w:sz="0" w:space="0" w:color="auto"/>
                <w:left w:val="none" w:sz="0" w:space="0" w:color="auto"/>
                <w:bottom w:val="none" w:sz="0" w:space="0" w:color="auto"/>
                <w:right w:val="none" w:sz="0" w:space="0" w:color="auto"/>
              </w:divBdr>
            </w:div>
            <w:div w:id="233398141">
              <w:marLeft w:val="0"/>
              <w:marRight w:val="0"/>
              <w:marTop w:val="0"/>
              <w:marBottom w:val="0"/>
              <w:divBdr>
                <w:top w:val="none" w:sz="0" w:space="0" w:color="auto"/>
                <w:left w:val="none" w:sz="0" w:space="0" w:color="auto"/>
                <w:bottom w:val="none" w:sz="0" w:space="0" w:color="auto"/>
                <w:right w:val="none" w:sz="0" w:space="0" w:color="auto"/>
              </w:divBdr>
            </w:div>
            <w:div w:id="240986071">
              <w:marLeft w:val="0"/>
              <w:marRight w:val="0"/>
              <w:marTop w:val="0"/>
              <w:marBottom w:val="0"/>
              <w:divBdr>
                <w:top w:val="none" w:sz="0" w:space="0" w:color="auto"/>
                <w:left w:val="none" w:sz="0" w:space="0" w:color="auto"/>
                <w:bottom w:val="none" w:sz="0" w:space="0" w:color="auto"/>
                <w:right w:val="none" w:sz="0" w:space="0" w:color="auto"/>
              </w:divBdr>
            </w:div>
            <w:div w:id="251820066">
              <w:marLeft w:val="0"/>
              <w:marRight w:val="0"/>
              <w:marTop w:val="0"/>
              <w:marBottom w:val="0"/>
              <w:divBdr>
                <w:top w:val="none" w:sz="0" w:space="0" w:color="auto"/>
                <w:left w:val="none" w:sz="0" w:space="0" w:color="auto"/>
                <w:bottom w:val="none" w:sz="0" w:space="0" w:color="auto"/>
                <w:right w:val="none" w:sz="0" w:space="0" w:color="auto"/>
              </w:divBdr>
            </w:div>
            <w:div w:id="252904985">
              <w:marLeft w:val="0"/>
              <w:marRight w:val="0"/>
              <w:marTop w:val="0"/>
              <w:marBottom w:val="0"/>
              <w:divBdr>
                <w:top w:val="none" w:sz="0" w:space="0" w:color="auto"/>
                <w:left w:val="none" w:sz="0" w:space="0" w:color="auto"/>
                <w:bottom w:val="none" w:sz="0" w:space="0" w:color="auto"/>
                <w:right w:val="none" w:sz="0" w:space="0" w:color="auto"/>
              </w:divBdr>
            </w:div>
            <w:div w:id="254290933">
              <w:marLeft w:val="0"/>
              <w:marRight w:val="0"/>
              <w:marTop w:val="0"/>
              <w:marBottom w:val="0"/>
              <w:divBdr>
                <w:top w:val="none" w:sz="0" w:space="0" w:color="auto"/>
                <w:left w:val="none" w:sz="0" w:space="0" w:color="auto"/>
                <w:bottom w:val="none" w:sz="0" w:space="0" w:color="auto"/>
                <w:right w:val="none" w:sz="0" w:space="0" w:color="auto"/>
              </w:divBdr>
            </w:div>
            <w:div w:id="258216042">
              <w:marLeft w:val="0"/>
              <w:marRight w:val="0"/>
              <w:marTop w:val="0"/>
              <w:marBottom w:val="0"/>
              <w:divBdr>
                <w:top w:val="none" w:sz="0" w:space="0" w:color="auto"/>
                <w:left w:val="none" w:sz="0" w:space="0" w:color="auto"/>
                <w:bottom w:val="none" w:sz="0" w:space="0" w:color="auto"/>
                <w:right w:val="none" w:sz="0" w:space="0" w:color="auto"/>
              </w:divBdr>
            </w:div>
            <w:div w:id="318075482">
              <w:marLeft w:val="0"/>
              <w:marRight w:val="0"/>
              <w:marTop w:val="0"/>
              <w:marBottom w:val="0"/>
              <w:divBdr>
                <w:top w:val="none" w:sz="0" w:space="0" w:color="auto"/>
                <w:left w:val="none" w:sz="0" w:space="0" w:color="auto"/>
                <w:bottom w:val="none" w:sz="0" w:space="0" w:color="auto"/>
                <w:right w:val="none" w:sz="0" w:space="0" w:color="auto"/>
              </w:divBdr>
            </w:div>
            <w:div w:id="322512478">
              <w:marLeft w:val="0"/>
              <w:marRight w:val="0"/>
              <w:marTop w:val="0"/>
              <w:marBottom w:val="0"/>
              <w:divBdr>
                <w:top w:val="none" w:sz="0" w:space="0" w:color="auto"/>
                <w:left w:val="none" w:sz="0" w:space="0" w:color="auto"/>
                <w:bottom w:val="none" w:sz="0" w:space="0" w:color="auto"/>
                <w:right w:val="none" w:sz="0" w:space="0" w:color="auto"/>
              </w:divBdr>
            </w:div>
            <w:div w:id="334379045">
              <w:marLeft w:val="0"/>
              <w:marRight w:val="0"/>
              <w:marTop w:val="0"/>
              <w:marBottom w:val="0"/>
              <w:divBdr>
                <w:top w:val="none" w:sz="0" w:space="0" w:color="auto"/>
                <w:left w:val="none" w:sz="0" w:space="0" w:color="auto"/>
                <w:bottom w:val="none" w:sz="0" w:space="0" w:color="auto"/>
                <w:right w:val="none" w:sz="0" w:space="0" w:color="auto"/>
              </w:divBdr>
            </w:div>
            <w:div w:id="342316590">
              <w:marLeft w:val="0"/>
              <w:marRight w:val="0"/>
              <w:marTop w:val="0"/>
              <w:marBottom w:val="0"/>
              <w:divBdr>
                <w:top w:val="none" w:sz="0" w:space="0" w:color="auto"/>
                <w:left w:val="none" w:sz="0" w:space="0" w:color="auto"/>
                <w:bottom w:val="none" w:sz="0" w:space="0" w:color="auto"/>
                <w:right w:val="none" w:sz="0" w:space="0" w:color="auto"/>
              </w:divBdr>
            </w:div>
            <w:div w:id="367798311">
              <w:marLeft w:val="0"/>
              <w:marRight w:val="0"/>
              <w:marTop w:val="0"/>
              <w:marBottom w:val="0"/>
              <w:divBdr>
                <w:top w:val="none" w:sz="0" w:space="0" w:color="auto"/>
                <w:left w:val="none" w:sz="0" w:space="0" w:color="auto"/>
                <w:bottom w:val="none" w:sz="0" w:space="0" w:color="auto"/>
                <w:right w:val="none" w:sz="0" w:space="0" w:color="auto"/>
              </w:divBdr>
            </w:div>
            <w:div w:id="383408970">
              <w:marLeft w:val="0"/>
              <w:marRight w:val="0"/>
              <w:marTop w:val="0"/>
              <w:marBottom w:val="0"/>
              <w:divBdr>
                <w:top w:val="none" w:sz="0" w:space="0" w:color="auto"/>
                <w:left w:val="none" w:sz="0" w:space="0" w:color="auto"/>
                <w:bottom w:val="none" w:sz="0" w:space="0" w:color="auto"/>
                <w:right w:val="none" w:sz="0" w:space="0" w:color="auto"/>
              </w:divBdr>
            </w:div>
            <w:div w:id="390076457">
              <w:marLeft w:val="0"/>
              <w:marRight w:val="0"/>
              <w:marTop w:val="0"/>
              <w:marBottom w:val="0"/>
              <w:divBdr>
                <w:top w:val="none" w:sz="0" w:space="0" w:color="auto"/>
                <w:left w:val="none" w:sz="0" w:space="0" w:color="auto"/>
                <w:bottom w:val="none" w:sz="0" w:space="0" w:color="auto"/>
                <w:right w:val="none" w:sz="0" w:space="0" w:color="auto"/>
              </w:divBdr>
            </w:div>
            <w:div w:id="398789545">
              <w:marLeft w:val="0"/>
              <w:marRight w:val="0"/>
              <w:marTop w:val="0"/>
              <w:marBottom w:val="0"/>
              <w:divBdr>
                <w:top w:val="none" w:sz="0" w:space="0" w:color="auto"/>
                <w:left w:val="none" w:sz="0" w:space="0" w:color="auto"/>
                <w:bottom w:val="none" w:sz="0" w:space="0" w:color="auto"/>
                <w:right w:val="none" w:sz="0" w:space="0" w:color="auto"/>
              </w:divBdr>
            </w:div>
            <w:div w:id="432894707">
              <w:marLeft w:val="0"/>
              <w:marRight w:val="0"/>
              <w:marTop w:val="0"/>
              <w:marBottom w:val="0"/>
              <w:divBdr>
                <w:top w:val="none" w:sz="0" w:space="0" w:color="auto"/>
                <w:left w:val="none" w:sz="0" w:space="0" w:color="auto"/>
                <w:bottom w:val="none" w:sz="0" w:space="0" w:color="auto"/>
                <w:right w:val="none" w:sz="0" w:space="0" w:color="auto"/>
              </w:divBdr>
            </w:div>
            <w:div w:id="476607560">
              <w:marLeft w:val="0"/>
              <w:marRight w:val="0"/>
              <w:marTop w:val="0"/>
              <w:marBottom w:val="0"/>
              <w:divBdr>
                <w:top w:val="none" w:sz="0" w:space="0" w:color="auto"/>
                <w:left w:val="none" w:sz="0" w:space="0" w:color="auto"/>
                <w:bottom w:val="none" w:sz="0" w:space="0" w:color="auto"/>
                <w:right w:val="none" w:sz="0" w:space="0" w:color="auto"/>
              </w:divBdr>
            </w:div>
            <w:div w:id="552159653">
              <w:marLeft w:val="0"/>
              <w:marRight w:val="0"/>
              <w:marTop w:val="0"/>
              <w:marBottom w:val="0"/>
              <w:divBdr>
                <w:top w:val="none" w:sz="0" w:space="0" w:color="auto"/>
                <w:left w:val="none" w:sz="0" w:space="0" w:color="auto"/>
                <w:bottom w:val="none" w:sz="0" w:space="0" w:color="auto"/>
                <w:right w:val="none" w:sz="0" w:space="0" w:color="auto"/>
              </w:divBdr>
            </w:div>
            <w:div w:id="565259518">
              <w:marLeft w:val="0"/>
              <w:marRight w:val="0"/>
              <w:marTop w:val="0"/>
              <w:marBottom w:val="0"/>
              <w:divBdr>
                <w:top w:val="none" w:sz="0" w:space="0" w:color="auto"/>
                <w:left w:val="none" w:sz="0" w:space="0" w:color="auto"/>
                <w:bottom w:val="none" w:sz="0" w:space="0" w:color="auto"/>
                <w:right w:val="none" w:sz="0" w:space="0" w:color="auto"/>
              </w:divBdr>
            </w:div>
            <w:div w:id="609511710">
              <w:marLeft w:val="0"/>
              <w:marRight w:val="0"/>
              <w:marTop w:val="0"/>
              <w:marBottom w:val="0"/>
              <w:divBdr>
                <w:top w:val="none" w:sz="0" w:space="0" w:color="auto"/>
                <w:left w:val="none" w:sz="0" w:space="0" w:color="auto"/>
                <w:bottom w:val="none" w:sz="0" w:space="0" w:color="auto"/>
                <w:right w:val="none" w:sz="0" w:space="0" w:color="auto"/>
              </w:divBdr>
            </w:div>
            <w:div w:id="611283799">
              <w:marLeft w:val="0"/>
              <w:marRight w:val="0"/>
              <w:marTop w:val="0"/>
              <w:marBottom w:val="0"/>
              <w:divBdr>
                <w:top w:val="none" w:sz="0" w:space="0" w:color="auto"/>
                <w:left w:val="none" w:sz="0" w:space="0" w:color="auto"/>
                <w:bottom w:val="none" w:sz="0" w:space="0" w:color="auto"/>
                <w:right w:val="none" w:sz="0" w:space="0" w:color="auto"/>
              </w:divBdr>
            </w:div>
            <w:div w:id="617101764">
              <w:marLeft w:val="0"/>
              <w:marRight w:val="0"/>
              <w:marTop w:val="0"/>
              <w:marBottom w:val="0"/>
              <w:divBdr>
                <w:top w:val="none" w:sz="0" w:space="0" w:color="auto"/>
                <w:left w:val="none" w:sz="0" w:space="0" w:color="auto"/>
                <w:bottom w:val="none" w:sz="0" w:space="0" w:color="auto"/>
                <w:right w:val="none" w:sz="0" w:space="0" w:color="auto"/>
              </w:divBdr>
            </w:div>
            <w:div w:id="625428797">
              <w:marLeft w:val="0"/>
              <w:marRight w:val="0"/>
              <w:marTop w:val="0"/>
              <w:marBottom w:val="0"/>
              <w:divBdr>
                <w:top w:val="none" w:sz="0" w:space="0" w:color="auto"/>
                <w:left w:val="none" w:sz="0" w:space="0" w:color="auto"/>
                <w:bottom w:val="none" w:sz="0" w:space="0" w:color="auto"/>
                <w:right w:val="none" w:sz="0" w:space="0" w:color="auto"/>
              </w:divBdr>
            </w:div>
            <w:div w:id="644313963">
              <w:marLeft w:val="0"/>
              <w:marRight w:val="0"/>
              <w:marTop w:val="0"/>
              <w:marBottom w:val="0"/>
              <w:divBdr>
                <w:top w:val="none" w:sz="0" w:space="0" w:color="auto"/>
                <w:left w:val="none" w:sz="0" w:space="0" w:color="auto"/>
                <w:bottom w:val="none" w:sz="0" w:space="0" w:color="auto"/>
                <w:right w:val="none" w:sz="0" w:space="0" w:color="auto"/>
              </w:divBdr>
            </w:div>
            <w:div w:id="656805755">
              <w:marLeft w:val="0"/>
              <w:marRight w:val="0"/>
              <w:marTop w:val="0"/>
              <w:marBottom w:val="0"/>
              <w:divBdr>
                <w:top w:val="none" w:sz="0" w:space="0" w:color="auto"/>
                <w:left w:val="none" w:sz="0" w:space="0" w:color="auto"/>
                <w:bottom w:val="none" w:sz="0" w:space="0" w:color="auto"/>
                <w:right w:val="none" w:sz="0" w:space="0" w:color="auto"/>
              </w:divBdr>
            </w:div>
            <w:div w:id="688675580">
              <w:marLeft w:val="0"/>
              <w:marRight w:val="0"/>
              <w:marTop w:val="0"/>
              <w:marBottom w:val="0"/>
              <w:divBdr>
                <w:top w:val="none" w:sz="0" w:space="0" w:color="auto"/>
                <w:left w:val="none" w:sz="0" w:space="0" w:color="auto"/>
                <w:bottom w:val="none" w:sz="0" w:space="0" w:color="auto"/>
                <w:right w:val="none" w:sz="0" w:space="0" w:color="auto"/>
              </w:divBdr>
            </w:div>
            <w:div w:id="695471399">
              <w:marLeft w:val="0"/>
              <w:marRight w:val="0"/>
              <w:marTop w:val="0"/>
              <w:marBottom w:val="0"/>
              <w:divBdr>
                <w:top w:val="none" w:sz="0" w:space="0" w:color="auto"/>
                <w:left w:val="none" w:sz="0" w:space="0" w:color="auto"/>
                <w:bottom w:val="none" w:sz="0" w:space="0" w:color="auto"/>
                <w:right w:val="none" w:sz="0" w:space="0" w:color="auto"/>
              </w:divBdr>
            </w:div>
            <w:div w:id="735318885">
              <w:marLeft w:val="0"/>
              <w:marRight w:val="0"/>
              <w:marTop w:val="0"/>
              <w:marBottom w:val="0"/>
              <w:divBdr>
                <w:top w:val="none" w:sz="0" w:space="0" w:color="auto"/>
                <w:left w:val="none" w:sz="0" w:space="0" w:color="auto"/>
                <w:bottom w:val="none" w:sz="0" w:space="0" w:color="auto"/>
                <w:right w:val="none" w:sz="0" w:space="0" w:color="auto"/>
              </w:divBdr>
            </w:div>
            <w:div w:id="780149925">
              <w:marLeft w:val="0"/>
              <w:marRight w:val="0"/>
              <w:marTop w:val="0"/>
              <w:marBottom w:val="0"/>
              <w:divBdr>
                <w:top w:val="none" w:sz="0" w:space="0" w:color="auto"/>
                <w:left w:val="none" w:sz="0" w:space="0" w:color="auto"/>
                <w:bottom w:val="none" w:sz="0" w:space="0" w:color="auto"/>
                <w:right w:val="none" w:sz="0" w:space="0" w:color="auto"/>
              </w:divBdr>
            </w:div>
            <w:div w:id="782849718">
              <w:marLeft w:val="0"/>
              <w:marRight w:val="0"/>
              <w:marTop w:val="0"/>
              <w:marBottom w:val="0"/>
              <w:divBdr>
                <w:top w:val="none" w:sz="0" w:space="0" w:color="auto"/>
                <w:left w:val="none" w:sz="0" w:space="0" w:color="auto"/>
                <w:bottom w:val="none" w:sz="0" w:space="0" w:color="auto"/>
                <w:right w:val="none" w:sz="0" w:space="0" w:color="auto"/>
              </w:divBdr>
            </w:div>
            <w:div w:id="794711553">
              <w:marLeft w:val="0"/>
              <w:marRight w:val="0"/>
              <w:marTop w:val="0"/>
              <w:marBottom w:val="0"/>
              <w:divBdr>
                <w:top w:val="none" w:sz="0" w:space="0" w:color="auto"/>
                <w:left w:val="none" w:sz="0" w:space="0" w:color="auto"/>
                <w:bottom w:val="none" w:sz="0" w:space="0" w:color="auto"/>
                <w:right w:val="none" w:sz="0" w:space="0" w:color="auto"/>
              </w:divBdr>
            </w:div>
            <w:div w:id="836073296">
              <w:marLeft w:val="0"/>
              <w:marRight w:val="0"/>
              <w:marTop w:val="0"/>
              <w:marBottom w:val="0"/>
              <w:divBdr>
                <w:top w:val="none" w:sz="0" w:space="0" w:color="auto"/>
                <w:left w:val="none" w:sz="0" w:space="0" w:color="auto"/>
                <w:bottom w:val="none" w:sz="0" w:space="0" w:color="auto"/>
                <w:right w:val="none" w:sz="0" w:space="0" w:color="auto"/>
              </w:divBdr>
            </w:div>
            <w:div w:id="886573068">
              <w:marLeft w:val="0"/>
              <w:marRight w:val="0"/>
              <w:marTop w:val="0"/>
              <w:marBottom w:val="0"/>
              <w:divBdr>
                <w:top w:val="none" w:sz="0" w:space="0" w:color="auto"/>
                <w:left w:val="none" w:sz="0" w:space="0" w:color="auto"/>
                <w:bottom w:val="none" w:sz="0" w:space="0" w:color="auto"/>
                <w:right w:val="none" w:sz="0" w:space="0" w:color="auto"/>
              </w:divBdr>
            </w:div>
            <w:div w:id="894924823">
              <w:marLeft w:val="0"/>
              <w:marRight w:val="0"/>
              <w:marTop w:val="0"/>
              <w:marBottom w:val="0"/>
              <w:divBdr>
                <w:top w:val="none" w:sz="0" w:space="0" w:color="auto"/>
                <w:left w:val="none" w:sz="0" w:space="0" w:color="auto"/>
                <w:bottom w:val="none" w:sz="0" w:space="0" w:color="auto"/>
                <w:right w:val="none" w:sz="0" w:space="0" w:color="auto"/>
              </w:divBdr>
            </w:div>
            <w:div w:id="896361454">
              <w:marLeft w:val="0"/>
              <w:marRight w:val="0"/>
              <w:marTop w:val="0"/>
              <w:marBottom w:val="0"/>
              <w:divBdr>
                <w:top w:val="none" w:sz="0" w:space="0" w:color="auto"/>
                <w:left w:val="none" w:sz="0" w:space="0" w:color="auto"/>
                <w:bottom w:val="none" w:sz="0" w:space="0" w:color="auto"/>
                <w:right w:val="none" w:sz="0" w:space="0" w:color="auto"/>
              </w:divBdr>
            </w:div>
            <w:div w:id="896890014">
              <w:marLeft w:val="0"/>
              <w:marRight w:val="0"/>
              <w:marTop w:val="0"/>
              <w:marBottom w:val="0"/>
              <w:divBdr>
                <w:top w:val="none" w:sz="0" w:space="0" w:color="auto"/>
                <w:left w:val="none" w:sz="0" w:space="0" w:color="auto"/>
                <w:bottom w:val="none" w:sz="0" w:space="0" w:color="auto"/>
                <w:right w:val="none" w:sz="0" w:space="0" w:color="auto"/>
              </w:divBdr>
            </w:div>
            <w:div w:id="912282062">
              <w:marLeft w:val="0"/>
              <w:marRight w:val="0"/>
              <w:marTop w:val="0"/>
              <w:marBottom w:val="0"/>
              <w:divBdr>
                <w:top w:val="none" w:sz="0" w:space="0" w:color="auto"/>
                <w:left w:val="none" w:sz="0" w:space="0" w:color="auto"/>
                <w:bottom w:val="none" w:sz="0" w:space="0" w:color="auto"/>
                <w:right w:val="none" w:sz="0" w:space="0" w:color="auto"/>
              </w:divBdr>
            </w:div>
            <w:div w:id="928778636">
              <w:marLeft w:val="0"/>
              <w:marRight w:val="0"/>
              <w:marTop w:val="0"/>
              <w:marBottom w:val="0"/>
              <w:divBdr>
                <w:top w:val="none" w:sz="0" w:space="0" w:color="auto"/>
                <w:left w:val="none" w:sz="0" w:space="0" w:color="auto"/>
                <w:bottom w:val="none" w:sz="0" w:space="0" w:color="auto"/>
                <w:right w:val="none" w:sz="0" w:space="0" w:color="auto"/>
              </w:divBdr>
            </w:div>
            <w:div w:id="943270479">
              <w:marLeft w:val="0"/>
              <w:marRight w:val="0"/>
              <w:marTop w:val="0"/>
              <w:marBottom w:val="0"/>
              <w:divBdr>
                <w:top w:val="none" w:sz="0" w:space="0" w:color="auto"/>
                <w:left w:val="none" w:sz="0" w:space="0" w:color="auto"/>
                <w:bottom w:val="none" w:sz="0" w:space="0" w:color="auto"/>
                <w:right w:val="none" w:sz="0" w:space="0" w:color="auto"/>
              </w:divBdr>
            </w:div>
            <w:div w:id="989674269">
              <w:marLeft w:val="0"/>
              <w:marRight w:val="0"/>
              <w:marTop w:val="0"/>
              <w:marBottom w:val="0"/>
              <w:divBdr>
                <w:top w:val="none" w:sz="0" w:space="0" w:color="auto"/>
                <w:left w:val="none" w:sz="0" w:space="0" w:color="auto"/>
                <w:bottom w:val="none" w:sz="0" w:space="0" w:color="auto"/>
                <w:right w:val="none" w:sz="0" w:space="0" w:color="auto"/>
              </w:divBdr>
            </w:div>
            <w:div w:id="990140035">
              <w:marLeft w:val="0"/>
              <w:marRight w:val="0"/>
              <w:marTop w:val="0"/>
              <w:marBottom w:val="0"/>
              <w:divBdr>
                <w:top w:val="none" w:sz="0" w:space="0" w:color="auto"/>
                <w:left w:val="none" w:sz="0" w:space="0" w:color="auto"/>
                <w:bottom w:val="none" w:sz="0" w:space="0" w:color="auto"/>
                <w:right w:val="none" w:sz="0" w:space="0" w:color="auto"/>
              </w:divBdr>
            </w:div>
            <w:div w:id="993488635">
              <w:marLeft w:val="0"/>
              <w:marRight w:val="0"/>
              <w:marTop w:val="0"/>
              <w:marBottom w:val="0"/>
              <w:divBdr>
                <w:top w:val="none" w:sz="0" w:space="0" w:color="auto"/>
                <w:left w:val="none" w:sz="0" w:space="0" w:color="auto"/>
                <w:bottom w:val="none" w:sz="0" w:space="0" w:color="auto"/>
                <w:right w:val="none" w:sz="0" w:space="0" w:color="auto"/>
              </w:divBdr>
            </w:div>
            <w:div w:id="1007949104">
              <w:marLeft w:val="0"/>
              <w:marRight w:val="0"/>
              <w:marTop w:val="0"/>
              <w:marBottom w:val="0"/>
              <w:divBdr>
                <w:top w:val="none" w:sz="0" w:space="0" w:color="auto"/>
                <w:left w:val="none" w:sz="0" w:space="0" w:color="auto"/>
                <w:bottom w:val="none" w:sz="0" w:space="0" w:color="auto"/>
                <w:right w:val="none" w:sz="0" w:space="0" w:color="auto"/>
              </w:divBdr>
            </w:div>
            <w:div w:id="1021199653">
              <w:marLeft w:val="0"/>
              <w:marRight w:val="0"/>
              <w:marTop w:val="0"/>
              <w:marBottom w:val="0"/>
              <w:divBdr>
                <w:top w:val="none" w:sz="0" w:space="0" w:color="auto"/>
                <w:left w:val="none" w:sz="0" w:space="0" w:color="auto"/>
                <w:bottom w:val="none" w:sz="0" w:space="0" w:color="auto"/>
                <w:right w:val="none" w:sz="0" w:space="0" w:color="auto"/>
              </w:divBdr>
            </w:div>
            <w:div w:id="1029529169">
              <w:marLeft w:val="0"/>
              <w:marRight w:val="0"/>
              <w:marTop w:val="0"/>
              <w:marBottom w:val="0"/>
              <w:divBdr>
                <w:top w:val="none" w:sz="0" w:space="0" w:color="auto"/>
                <w:left w:val="none" w:sz="0" w:space="0" w:color="auto"/>
                <w:bottom w:val="none" w:sz="0" w:space="0" w:color="auto"/>
                <w:right w:val="none" w:sz="0" w:space="0" w:color="auto"/>
              </w:divBdr>
            </w:div>
            <w:div w:id="1041397130">
              <w:marLeft w:val="0"/>
              <w:marRight w:val="0"/>
              <w:marTop w:val="0"/>
              <w:marBottom w:val="0"/>
              <w:divBdr>
                <w:top w:val="none" w:sz="0" w:space="0" w:color="auto"/>
                <w:left w:val="none" w:sz="0" w:space="0" w:color="auto"/>
                <w:bottom w:val="none" w:sz="0" w:space="0" w:color="auto"/>
                <w:right w:val="none" w:sz="0" w:space="0" w:color="auto"/>
              </w:divBdr>
            </w:div>
            <w:div w:id="1089155804">
              <w:marLeft w:val="0"/>
              <w:marRight w:val="0"/>
              <w:marTop w:val="0"/>
              <w:marBottom w:val="0"/>
              <w:divBdr>
                <w:top w:val="none" w:sz="0" w:space="0" w:color="auto"/>
                <w:left w:val="none" w:sz="0" w:space="0" w:color="auto"/>
                <w:bottom w:val="none" w:sz="0" w:space="0" w:color="auto"/>
                <w:right w:val="none" w:sz="0" w:space="0" w:color="auto"/>
              </w:divBdr>
            </w:div>
            <w:div w:id="1093430550">
              <w:marLeft w:val="0"/>
              <w:marRight w:val="0"/>
              <w:marTop w:val="0"/>
              <w:marBottom w:val="0"/>
              <w:divBdr>
                <w:top w:val="none" w:sz="0" w:space="0" w:color="auto"/>
                <w:left w:val="none" w:sz="0" w:space="0" w:color="auto"/>
                <w:bottom w:val="none" w:sz="0" w:space="0" w:color="auto"/>
                <w:right w:val="none" w:sz="0" w:space="0" w:color="auto"/>
              </w:divBdr>
            </w:div>
            <w:div w:id="1169833343">
              <w:marLeft w:val="0"/>
              <w:marRight w:val="0"/>
              <w:marTop w:val="0"/>
              <w:marBottom w:val="0"/>
              <w:divBdr>
                <w:top w:val="none" w:sz="0" w:space="0" w:color="auto"/>
                <w:left w:val="none" w:sz="0" w:space="0" w:color="auto"/>
                <w:bottom w:val="none" w:sz="0" w:space="0" w:color="auto"/>
                <w:right w:val="none" w:sz="0" w:space="0" w:color="auto"/>
              </w:divBdr>
            </w:div>
            <w:div w:id="1179588689">
              <w:marLeft w:val="0"/>
              <w:marRight w:val="0"/>
              <w:marTop w:val="0"/>
              <w:marBottom w:val="0"/>
              <w:divBdr>
                <w:top w:val="none" w:sz="0" w:space="0" w:color="auto"/>
                <w:left w:val="none" w:sz="0" w:space="0" w:color="auto"/>
                <w:bottom w:val="none" w:sz="0" w:space="0" w:color="auto"/>
                <w:right w:val="none" w:sz="0" w:space="0" w:color="auto"/>
              </w:divBdr>
            </w:div>
            <w:div w:id="1191332583">
              <w:marLeft w:val="0"/>
              <w:marRight w:val="0"/>
              <w:marTop w:val="0"/>
              <w:marBottom w:val="0"/>
              <w:divBdr>
                <w:top w:val="none" w:sz="0" w:space="0" w:color="auto"/>
                <w:left w:val="none" w:sz="0" w:space="0" w:color="auto"/>
                <w:bottom w:val="none" w:sz="0" w:space="0" w:color="auto"/>
                <w:right w:val="none" w:sz="0" w:space="0" w:color="auto"/>
              </w:divBdr>
            </w:div>
            <w:div w:id="1222516447">
              <w:marLeft w:val="0"/>
              <w:marRight w:val="0"/>
              <w:marTop w:val="0"/>
              <w:marBottom w:val="0"/>
              <w:divBdr>
                <w:top w:val="none" w:sz="0" w:space="0" w:color="auto"/>
                <w:left w:val="none" w:sz="0" w:space="0" w:color="auto"/>
                <w:bottom w:val="none" w:sz="0" w:space="0" w:color="auto"/>
                <w:right w:val="none" w:sz="0" w:space="0" w:color="auto"/>
              </w:divBdr>
            </w:div>
            <w:div w:id="1245719336">
              <w:marLeft w:val="0"/>
              <w:marRight w:val="0"/>
              <w:marTop w:val="0"/>
              <w:marBottom w:val="0"/>
              <w:divBdr>
                <w:top w:val="none" w:sz="0" w:space="0" w:color="auto"/>
                <w:left w:val="none" w:sz="0" w:space="0" w:color="auto"/>
                <w:bottom w:val="none" w:sz="0" w:space="0" w:color="auto"/>
                <w:right w:val="none" w:sz="0" w:space="0" w:color="auto"/>
              </w:divBdr>
            </w:div>
            <w:div w:id="1248536158">
              <w:marLeft w:val="0"/>
              <w:marRight w:val="0"/>
              <w:marTop w:val="0"/>
              <w:marBottom w:val="0"/>
              <w:divBdr>
                <w:top w:val="none" w:sz="0" w:space="0" w:color="auto"/>
                <w:left w:val="none" w:sz="0" w:space="0" w:color="auto"/>
                <w:bottom w:val="none" w:sz="0" w:space="0" w:color="auto"/>
                <w:right w:val="none" w:sz="0" w:space="0" w:color="auto"/>
              </w:divBdr>
            </w:div>
            <w:div w:id="1248808008">
              <w:marLeft w:val="0"/>
              <w:marRight w:val="0"/>
              <w:marTop w:val="0"/>
              <w:marBottom w:val="0"/>
              <w:divBdr>
                <w:top w:val="none" w:sz="0" w:space="0" w:color="auto"/>
                <w:left w:val="none" w:sz="0" w:space="0" w:color="auto"/>
                <w:bottom w:val="none" w:sz="0" w:space="0" w:color="auto"/>
                <w:right w:val="none" w:sz="0" w:space="0" w:color="auto"/>
              </w:divBdr>
            </w:div>
            <w:div w:id="1254775797">
              <w:marLeft w:val="0"/>
              <w:marRight w:val="0"/>
              <w:marTop w:val="0"/>
              <w:marBottom w:val="0"/>
              <w:divBdr>
                <w:top w:val="none" w:sz="0" w:space="0" w:color="auto"/>
                <w:left w:val="none" w:sz="0" w:space="0" w:color="auto"/>
                <w:bottom w:val="none" w:sz="0" w:space="0" w:color="auto"/>
                <w:right w:val="none" w:sz="0" w:space="0" w:color="auto"/>
              </w:divBdr>
            </w:div>
            <w:div w:id="1261526436">
              <w:marLeft w:val="0"/>
              <w:marRight w:val="0"/>
              <w:marTop w:val="0"/>
              <w:marBottom w:val="0"/>
              <w:divBdr>
                <w:top w:val="none" w:sz="0" w:space="0" w:color="auto"/>
                <w:left w:val="none" w:sz="0" w:space="0" w:color="auto"/>
                <w:bottom w:val="none" w:sz="0" w:space="0" w:color="auto"/>
                <w:right w:val="none" w:sz="0" w:space="0" w:color="auto"/>
              </w:divBdr>
            </w:div>
            <w:div w:id="1263757193">
              <w:marLeft w:val="0"/>
              <w:marRight w:val="0"/>
              <w:marTop w:val="0"/>
              <w:marBottom w:val="0"/>
              <w:divBdr>
                <w:top w:val="none" w:sz="0" w:space="0" w:color="auto"/>
                <w:left w:val="none" w:sz="0" w:space="0" w:color="auto"/>
                <w:bottom w:val="none" w:sz="0" w:space="0" w:color="auto"/>
                <w:right w:val="none" w:sz="0" w:space="0" w:color="auto"/>
              </w:divBdr>
            </w:div>
            <w:div w:id="1270507314">
              <w:marLeft w:val="0"/>
              <w:marRight w:val="0"/>
              <w:marTop w:val="0"/>
              <w:marBottom w:val="0"/>
              <w:divBdr>
                <w:top w:val="none" w:sz="0" w:space="0" w:color="auto"/>
                <w:left w:val="none" w:sz="0" w:space="0" w:color="auto"/>
                <w:bottom w:val="none" w:sz="0" w:space="0" w:color="auto"/>
                <w:right w:val="none" w:sz="0" w:space="0" w:color="auto"/>
              </w:divBdr>
            </w:div>
            <w:div w:id="1279022743">
              <w:marLeft w:val="0"/>
              <w:marRight w:val="0"/>
              <w:marTop w:val="0"/>
              <w:marBottom w:val="0"/>
              <w:divBdr>
                <w:top w:val="none" w:sz="0" w:space="0" w:color="auto"/>
                <w:left w:val="none" w:sz="0" w:space="0" w:color="auto"/>
                <w:bottom w:val="none" w:sz="0" w:space="0" w:color="auto"/>
                <w:right w:val="none" w:sz="0" w:space="0" w:color="auto"/>
              </w:divBdr>
            </w:div>
            <w:div w:id="1288316030">
              <w:marLeft w:val="0"/>
              <w:marRight w:val="0"/>
              <w:marTop w:val="0"/>
              <w:marBottom w:val="0"/>
              <w:divBdr>
                <w:top w:val="none" w:sz="0" w:space="0" w:color="auto"/>
                <w:left w:val="none" w:sz="0" w:space="0" w:color="auto"/>
                <w:bottom w:val="none" w:sz="0" w:space="0" w:color="auto"/>
                <w:right w:val="none" w:sz="0" w:space="0" w:color="auto"/>
              </w:divBdr>
            </w:div>
            <w:div w:id="1288897410">
              <w:marLeft w:val="0"/>
              <w:marRight w:val="0"/>
              <w:marTop w:val="0"/>
              <w:marBottom w:val="0"/>
              <w:divBdr>
                <w:top w:val="none" w:sz="0" w:space="0" w:color="auto"/>
                <w:left w:val="none" w:sz="0" w:space="0" w:color="auto"/>
                <w:bottom w:val="none" w:sz="0" w:space="0" w:color="auto"/>
                <w:right w:val="none" w:sz="0" w:space="0" w:color="auto"/>
              </w:divBdr>
            </w:div>
            <w:div w:id="1305819795">
              <w:marLeft w:val="0"/>
              <w:marRight w:val="0"/>
              <w:marTop w:val="0"/>
              <w:marBottom w:val="0"/>
              <w:divBdr>
                <w:top w:val="none" w:sz="0" w:space="0" w:color="auto"/>
                <w:left w:val="none" w:sz="0" w:space="0" w:color="auto"/>
                <w:bottom w:val="none" w:sz="0" w:space="0" w:color="auto"/>
                <w:right w:val="none" w:sz="0" w:space="0" w:color="auto"/>
              </w:divBdr>
            </w:div>
            <w:div w:id="1348872333">
              <w:marLeft w:val="0"/>
              <w:marRight w:val="0"/>
              <w:marTop w:val="0"/>
              <w:marBottom w:val="0"/>
              <w:divBdr>
                <w:top w:val="none" w:sz="0" w:space="0" w:color="auto"/>
                <w:left w:val="none" w:sz="0" w:space="0" w:color="auto"/>
                <w:bottom w:val="none" w:sz="0" w:space="0" w:color="auto"/>
                <w:right w:val="none" w:sz="0" w:space="0" w:color="auto"/>
              </w:divBdr>
            </w:div>
            <w:div w:id="1357845666">
              <w:marLeft w:val="0"/>
              <w:marRight w:val="0"/>
              <w:marTop w:val="0"/>
              <w:marBottom w:val="0"/>
              <w:divBdr>
                <w:top w:val="none" w:sz="0" w:space="0" w:color="auto"/>
                <w:left w:val="none" w:sz="0" w:space="0" w:color="auto"/>
                <w:bottom w:val="none" w:sz="0" w:space="0" w:color="auto"/>
                <w:right w:val="none" w:sz="0" w:space="0" w:color="auto"/>
              </w:divBdr>
            </w:div>
            <w:div w:id="1377508332">
              <w:marLeft w:val="0"/>
              <w:marRight w:val="0"/>
              <w:marTop w:val="0"/>
              <w:marBottom w:val="0"/>
              <w:divBdr>
                <w:top w:val="none" w:sz="0" w:space="0" w:color="auto"/>
                <w:left w:val="none" w:sz="0" w:space="0" w:color="auto"/>
                <w:bottom w:val="none" w:sz="0" w:space="0" w:color="auto"/>
                <w:right w:val="none" w:sz="0" w:space="0" w:color="auto"/>
              </w:divBdr>
            </w:div>
            <w:div w:id="1386488616">
              <w:marLeft w:val="0"/>
              <w:marRight w:val="0"/>
              <w:marTop w:val="0"/>
              <w:marBottom w:val="0"/>
              <w:divBdr>
                <w:top w:val="none" w:sz="0" w:space="0" w:color="auto"/>
                <w:left w:val="none" w:sz="0" w:space="0" w:color="auto"/>
                <w:bottom w:val="none" w:sz="0" w:space="0" w:color="auto"/>
                <w:right w:val="none" w:sz="0" w:space="0" w:color="auto"/>
              </w:divBdr>
            </w:div>
            <w:div w:id="1396508137">
              <w:marLeft w:val="0"/>
              <w:marRight w:val="0"/>
              <w:marTop w:val="0"/>
              <w:marBottom w:val="0"/>
              <w:divBdr>
                <w:top w:val="none" w:sz="0" w:space="0" w:color="auto"/>
                <w:left w:val="none" w:sz="0" w:space="0" w:color="auto"/>
                <w:bottom w:val="none" w:sz="0" w:space="0" w:color="auto"/>
                <w:right w:val="none" w:sz="0" w:space="0" w:color="auto"/>
              </w:divBdr>
            </w:div>
            <w:div w:id="1425804619">
              <w:marLeft w:val="0"/>
              <w:marRight w:val="0"/>
              <w:marTop w:val="0"/>
              <w:marBottom w:val="0"/>
              <w:divBdr>
                <w:top w:val="none" w:sz="0" w:space="0" w:color="auto"/>
                <w:left w:val="none" w:sz="0" w:space="0" w:color="auto"/>
                <w:bottom w:val="none" w:sz="0" w:space="0" w:color="auto"/>
                <w:right w:val="none" w:sz="0" w:space="0" w:color="auto"/>
              </w:divBdr>
            </w:div>
            <w:div w:id="1444035002">
              <w:marLeft w:val="0"/>
              <w:marRight w:val="0"/>
              <w:marTop w:val="0"/>
              <w:marBottom w:val="0"/>
              <w:divBdr>
                <w:top w:val="none" w:sz="0" w:space="0" w:color="auto"/>
                <w:left w:val="none" w:sz="0" w:space="0" w:color="auto"/>
                <w:bottom w:val="none" w:sz="0" w:space="0" w:color="auto"/>
                <w:right w:val="none" w:sz="0" w:space="0" w:color="auto"/>
              </w:divBdr>
            </w:div>
            <w:div w:id="1446995116">
              <w:marLeft w:val="0"/>
              <w:marRight w:val="0"/>
              <w:marTop w:val="0"/>
              <w:marBottom w:val="0"/>
              <w:divBdr>
                <w:top w:val="none" w:sz="0" w:space="0" w:color="auto"/>
                <w:left w:val="none" w:sz="0" w:space="0" w:color="auto"/>
                <w:bottom w:val="none" w:sz="0" w:space="0" w:color="auto"/>
                <w:right w:val="none" w:sz="0" w:space="0" w:color="auto"/>
              </w:divBdr>
            </w:div>
            <w:div w:id="1525361287">
              <w:marLeft w:val="0"/>
              <w:marRight w:val="0"/>
              <w:marTop w:val="0"/>
              <w:marBottom w:val="0"/>
              <w:divBdr>
                <w:top w:val="none" w:sz="0" w:space="0" w:color="auto"/>
                <w:left w:val="none" w:sz="0" w:space="0" w:color="auto"/>
                <w:bottom w:val="none" w:sz="0" w:space="0" w:color="auto"/>
                <w:right w:val="none" w:sz="0" w:space="0" w:color="auto"/>
              </w:divBdr>
            </w:div>
            <w:div w:id="1532567290">
              <w:marLeft w:val="0"/>
              <w:marRight w:val="0"/>
              <w:marTop w:val="0"/>
              <w:marBottom w:val="0"/>
              <w:divBdr>
                <w:top w:val="none" w:sz="0" w:space="0" w:color="auto"/>
                <w:left w:val="none" w:sz="0" w:space="0" w:color="auto"/>
                <w:bottom w:val="none" w:sz="0" w:space="0" w:color="auto"/>
                <w:right w:val="none" w:sz="0" w:space="0" w:color="auto"/>
              </w:divBdr>
            </w:div>
            <w:div w:id="1537741118">
              <w:marLeft w:val="0"/>
              <w:marRight w:val="0"/>
              <w:marTop w:val="0"/>
              <w:marBottom w:val="0"/>
              <w:divBdr>
                <w:top w:val="none" w:sz="0" w:space="0" w:color="auto"/>
                <w:left w:val="none" w:sz="0" w:space="0" w:color="auto"/>
                <w:bottom w:val="none" w:sz="0" w:space="0" w:color="auto"/>
                <w:right w:val="none" w:sz="0" w:space="0" w:color="auto"/>
              </w:divBdr>
            </w:div>
            <w:div w:id="1546333178">
              <w:marLeft w:val="0"/>
              <w:marRight w:val="0"/>
              <w:marTop w:val="0"/>
              <w:marBottom w:val="0"/>
              <w:divBdr>
                <w:top w:val="none" w:sz="0" w:space="0" w:color="auto"/>
                <w:left w:val="none" w:sz="0" w:space="0" w:color="auto"/>
                <w:bottom w:val="none" w:sz="0" w:space="0" w:color="auto"/>
                <w:right w:val="none" w:sz="0" w:space="0" w:color="auto"/>
              </w:divBdr>
            </w:div>
            <w:div w:id="1549218769">
              <w:marLeft w:val="0"/>
              <w:marRight w:val="0"/>
              <w:marTop w:val="0"/>
              <w:marBottom w:val="0"/>
              <w:divBdr>
                <w:top w:val="none" w:sz="0" w:space="0" w:color="auto"/>
                <w:left w:val="none" w:sz="0" w:space="0" w:color="auto"/>
                <w:bottom w:val="none" w:sz="0" w:space="0" w:color="auto"/>
                <w:right w:val="none" w:sz="0" w:space="0" w:color="auto"/>
              </w:divBdr>
            </w:div>
            <w:div w:id="1551764458">
              <w:marLeft w:val="0"/>
              <w:marRight w:val="0"/>
              <w:marTop w:val="0"/>
              <w:marBottom w:val="0"/>
              <w:divBdr>
                <w:top w:val="none" w:sz="0" w:space="0" w:color="auto"/>
                <w:left w:val="none" w:sz="0" w:space="0" w:color="auto"/>
                <w:bottom w:val="none" w:sz="0" w:space="0" w:color="auto"/>
                <w:right w:val="none" w:sz="0" w:space="0" w:color="auto"/>
              </w:divBdr>
            </w:div>
            <w:div w:id="1603802942">
              <w:marLeft w:val="0"/>
              <w:marRight w:val="0"/>
              <w:marTop w:val="0"/>
              <w:marBottom w:val="0"/>
              <w:divBdr>
                <w:top w:val="none" w:sz="0" w:space="0" w:color="auto"/>
                <w:left w:val="none" w:sz="0" w:space="0" w:color="auto"/>
                <w:bottom w:val="none" w:sz="0" w:space="0" w:color="auto"/>
                <w:right w:val="none" w:sz="0" w:space="0" w:color="auto"/>
              </w:divBdr>
            </w:div>
            <w:div w:id="1607081474">
              <w:marLeft w:val="0"/>
              <w:marRight w:val="0"/>
              <w:marTop w:val="0"/>
              <w:marBottom w:val="0"/>
              <w:divBdr>
                <w:top w:val="none" w:sz="0" w:space="0" w:color="auto"/>
                <w:left w:val="none" w:sz="0" w:space="0" w:color="auto"/>
                <w:bottom w:val="none" w:sz="0" w:space="0" w:color="auto"/>
                <w:right w:val="none" w:sz="0" w:space="0" w:color="auto"/>
              </w:divBdr>
            </w:div>
            <w:div w:id="1612543409">
              <w:marLeft w:val="0"/>
              <w:marRight w:val="0"/>
              <w:marTop w:val="0"/>
              <w:marBottom w:val="0"/>
              <w:divBdr>
                <w:top w:val="none" w:sz="0" w:space="0" w:color="auto"/>
                <w:left w:val="none" w:sz="0" w:space="0" w:color="auto"/>
                <w:bottom w:val="none" w:sz="0" w:space="0" w:color="auto"/>
                <w:right w:val="none" w:sz="0" w:space="0" w:color="auto"/>
              </w:divBdr>
            </w:div>
            <w:div w:id="1640303999">
              <w:marLeft w:val="0"/>
              <w:marRight w:val="0"/>
              <w:marTop w:val="0"/>
              <w:marBottom w:val="0"/>
              <w:divBdr>
                <w:top w:val="none" w:sz="0" w:space="0" w:color="auto"/>
                <w:left w:val="none" w:sz="0" w:space="0" w:color="auto"/>
                <w:bottom w:val="none" w:sz="0" w:space="0" w:color="auto"/>
                <w:right w:val="none" w:sz="0" w:space="0" w:color="auto"/>
              </w:divBdr>
            </w:div>
            <w:div w:id="1648776288">
              <w:marLeft w:val="0"/>
              <w:marRight w:val="0"/>
              <w:marTop w:val="0"/>
              <w:marBottom w:val="0"/>
              <w:divBdr>
                <w:top w:val="none" w:sz="0" w:space="0" w:color="auto"/>
                <w:left w:val="none" w:sz="0" w:space="0" w:color="auto"/>
                <w:bottom w:val="none" w:sz="0" w:space="0" w:color="auto"/>
                <w:right w:val="none" w:sz="0" w:space="0" w:color="auto"/>
              </w:divBdr>
            </w:div>
            <w:div w:id="1649824311">
              <w:marLeft w:val="0"/>
              <w:marRight w:val="0"/>
              <w:marTop w:val="0"/>
              <w:marBottom w:val="0"/>
              <w:divBdr>
                <w:top w:val="none" w:sz="0" w:space="0" w:color="auto"/>
                <w:left w:val="none" w:sz="0" w:space="0" w:color="auto"/>
                <w:bottom w:val="none" w:sz="0" w:space="0" w:color="auto"/>
                <w:right w:val="none" w:sz="0" w:space="0" w:color="auto"/>
              </w:divBdr>
            </w:div>
            <w:div w:id="1657879502">
              <w:marLeft w:val="0"/>
              <w:marRight w:val="0"/>
              <w:marTop w:val="0"/>
              <w:marBottom w:val="0"/>
              <w:divBdr>
                <w:top w:val="none" w:sz="0" w:space="0" w:color="auto"/>
                <w:left w:val="none" w:sz="0" w:space="0" w:color="auto"/>
                <w:bottom w:val="none" w:sz="0" w:space="0" w:color="auto"/>
                <w:right w:val="none" w:sz="0" w:space="0" w:color="auto"/>
              </w:divBdr>
            </w:div>
            <w:div w:id="1667399015">
              <w:marLeft w:val="0"/>
              <w:marRight w:val="0"/>
              <w:marTop w:val="0"/>
              <w:marBottom w:val="0"/>
              <w:divBdr>
                <w:top w:val="none" w:sz="0" w:space="0" w:color="auto"/>
                <w:left w:val="none" w:sz="0" w:space="0" w:color="auto"/>
                <w:bottom w:val="none" w:sz="0" w:space="0" w:color="auto"/>
                <w:right w:val="none" w:sz="0" w:space="0" w:color="auto"/>
              </w:divBdr>
            </w:div>
            <w:div w:id="1681004278">
              <w:marLeft w:val="0"/>
              <w:marRight w:val="0"/>
              <w:marTop w:val="0"/>
              <w:marBottom w:val="0"/>
              <w:divBdr>
                <w:top w:val="none" w:sz="0" w:space="0" w:color="auto"/>
                <w:left w:val="none" w:sz="0" w:space="0" w:color="auto"/>
                <w:bottom w:val="none" w:sz="0" w:space="0" w:color="auto"/>
                <w:right w:val="none" w:sz="0" w:space="0" w:color="auto"/>
              </w:divBdr>
            </w:div>
            <w:div w:id="1686326426">
              <w:marLeft w:val="0"/>
              <w:marRight w:val="0"/>
              <w:marTop w:val="0"/>
              <w:marBottom w:val="0"/>
              <w:divBdr>
                <w:top w:val="none" w:sz="0" w:space="0" w:color="auto"/>
                <w:left w:val="none" w:sz="0" w:space="0" w:color="auto"/>
                <w:bottom w:val="none" w:sz="0" w:space="0" w:color="auto"/>
                <w:right w:val="none" w:sz="0" w:space="0" w:color="auto"/>
              </w:divBdr>
            </w:div>
            <w:div w:id="1716730049">
              <w:marLeft w:val="0"/>
              <w:marRight w:val="0"/>
              <w:marTop w:val="0"/>
              <w:marBottom w:val="0"/>
              <w:divBdr>
                <w:top w:val="none" w:sz="0" w:space="0" w:color="auto"/>
                <w:left w:val="none" w:sz="0" w:space="0" w:color="auto"/>
                <w:bottom w:val="none" w:sz="0" w:space="0" w:color="auto"/>
                <w:right w:val="none" w:sz="0" w:space="0" w:color="auto"/>
              </w:divBdr>
            </w:div>
            <w:div w:id="1776056943">
              <w:marLeft w:val="0"/>
              <w:marRight w:val="0"/>
              <w:marTop w:val="0"/>
              <w:marBottom w:val="0"/>
              <w:divBdr>
                <w:top w:val="none" w:sz="0" w:space="0" w:color="auto"/>
                <w:left w:val="none" w:sz="0" w:space="0" w:color="auto"/>
                <w:bottom w:val="none" w:sz="0" w:space="0" w:color="auto"/>
                <w:right w:val="none" w:sz="0" w:space="0" w:color="auto"/>
              </w:divBdr>
            </w:div>
            <w:div w:id="1782457343">
              <w:marLeft w:val="0"/>
              <w:marRight w:val="0"/>
              <w:marTop w:val="0"/>
              <w:marBottom w:val="0"/>
              <w:divBdr>
                <w:top w:val="none" w:sz="0" w:space="0" w:color="auto"/>
                <w:left w:val="none" w:sz="0" w:space="0" w:color="auto"/>
                <w:bottom w:val="none" w:sz="0" w:space="0" w:color="auto"/>
                <w:right w:val="none" w:sz="0" w:space="0" w:color="auto"/>
              </w:divBdr>
            </w:div>
            <w:div w:id="1793205605">
              <w:marLeft w:val="0"/>
              <w:marRight w:val="0"/>
              <w:marTop w:val="0"/>
              <w:marBottom w:val="0"/>
              <w:divBdr>
                <w:top w:val="none" w:sz="0" w:space="0" w:color="auto"/>
                <w:left w:val="none" w:sz="0" w:space="0" w:color="auto"/>
                <w:bottom w:val="none" w:sz="0" w:space="0" w:color="auto"/>
                <w:right w:val="none" w:sz="0" w:space="0" w:color="auto"/>
              </w:divBdr>
            </w:div>
            <w:div w:id="1813058412">
              <w:marLeft w:val="0"/>
              <w:marRight w:val="0"/>
              <w:marTop w:val="0"/>
              <w:marBottom w:val="0"/>
              <w:divBdr>
                <w:top w:val="none" w:sz="0" w:space="0" w:color="auto"/>
                <w:left w:val="none" w:sz="0" w:space="0" w:color="auto"/>
                <w:bottom w:val="none" w:sz="0" w:space="0" w:color="auto"/>
                <w:right w:val="none" w:sz="0" w:space="0" w:color="auto"/>
              </w:divBdr>
            </w:div>
            <w:div w:id="1821077257">
              <w:marLeft w:val="0"/>
              <w:marRight w:val="0"/>
              <w:marTop w:val="0"/>
              <w:marBottom w:val="0"/>
              <w:divBdr>
                <w:top w:val="none" w:sz="0" w:space="0" w:color="auto"/>
                <w:left w:val="none" w:sz="0" w:space="0" w:color="auto"/>
                <w:bottom w:val="none" w:sz="0" w:space="0" w:color="auto"/>
                <w:right w:val="none" w:sz="0" w:space="0" w:color="auto"/>
              </w:divBdr>
            </w:div>
            <w:div w:id="1824077947">
              <w:marLeft w:val="0"/>
              <w:marRight w:val="0"/>
              <w:marTop w:val="0"/>
              <w:marBottom w:val="0"/>
              <w:divBdr>
                <w:top w:val="none" w:sz="0" w:space="0" w:color="auto"/>
                <w:left w:val="none" w:sz="0" w:space="0" w:color="auto"/>
                <w:bottom w:val="none" w:sz="0" w:space="0" w:color="auto"/>
                <w:right w:val="none" w:sz="0" w:space="0" w:color="auto"/>
              </w:divBdr>
            </w:div>
            <w:div w:id="1864829922">
              <w:marLeft w:val="0"/>
              <w:marRight w:val="0"/>
              <w:marTop w:val="0"/>
              <w:marBottom w:val="0"/>
              <w:divBdr>
                <w:top w:val="none" w:sz="0" w:space="0" w:color="auto"/>
                <w:left w:val="none" w:sz="0" w:space="0" w:color="auto"/>
                <w:bottom w:val="none" w:sz="0" w:space="0" w:color="auto"/>
                <w:right w:val="none" w:sz="0" w:space="0" w:color="auto"/>
              </w:divBdr>
            </w:div>
            <w:div w:id="1878424825">
              <w:marLeft w:val="0"/>
              <w:marRight w:val="0"/>
              <w:marTop w:val="0"/>
              <w:marBottom w:val="0"/>
              <w:divBdr>
                <w:top w:val="none" w:sz="0" w:space="0" w:color="auto"/>
                <w:left w:val="none" w:sz="0" w:space="0" w:color="auto"/>
                <w:bottom w:val="none" w:sz="0" w:space="0" w:color="auto"/>
                <w:right w:val="none" w:sz="0" w:space="0" w:color="auto"/>
              </w:divBdr>
            </w:div>
            <w:div w:id="1909605195">
              <w:marLeft w:val="0"/>
              <w:marRight w:val="0"/>
              <w:marTop w:val="0"/>
              <w:marBottom w:val="0"/>
              <w:divBdr>
                <w:top w:val="none" w:sz="0" w:space="0" w:color="auto"/>
                <w:left w:val="none" w:sz="0" w:space="0" w:color="auto"/>
                <w:bottom w:val="none" w:sz="0" w:space="0" w:color="auto"/>
                <w:right w:val="none" w:sz="0" w:space="0" w:color="auto"/>
              </w:divBdr>
            </w:div>
            <w:div w:id="1938631625">
              <w:marLeft w:val="0"/>
              <w:marRight w:val="0"/>
              <w:marTop w:val="0"/>
              <w:marBottom w:val="0"/>
              <w:divBdr>
                <w:top w:val="none" w:sz="0" w:space="0" w:color="auto"/>
                <w:left w:val="none" w:sz="0" w:space="0" w:color="auto"/>
                <w:bottom w:val="none" w:sz="0" w:space="0" w:color="auto"/>
                <w:right w:val="none" w:sz="0" w:space="0" w:color="auto"/>
              </w:divBdr>
            </w:div>
            <w:div w:id="1988632738">
              <w:marLeft w:val="0"/>
              <w:marRight w:val="0"/>
              <w:marTop w:val="0"/>
              <w:marBottom w:val="0"/>
              <w:divBdr>
                <w:top w:val="none" w:sz="0" w:space="0" w:color="auto"/>
                <w:left w:val="none" w:sz="0" w:space="0" w:color="auto"/>
                <w:bottom w:val="none" w:sz="0" w:space="0" w:color="auto"/>
                <w:right w:val="none" w:sz="0" w:space="0" w:color="auto"/>
              </w:divBdr>
            </w:div>
            <w:div w:id="1993218196">
              <w:marLeft w:val="0"/>
              <w:marRight w:val="0"/>
              <w:marTop w:val="0"/>
              <w:marBottom w:val="0"/>
              <w:divBdr>
                <w:top w:val="none" w:sz="0" w:space="0" w:color="auto"/>
                <w:left w:val="none" w:sz="0" w:space="0" w:color="auto"/>
                <w:bottom w:val="none" w:sz="0" w:space="0" w:color="auto"/>
                <w:right w:val="none" w:sz="0" w:space="0" w:color="auto"/>
              </w:divBdr>
            </w:div>
            <w:div w:id="2013333823">
              <w:marLeft w:val="0"/>
              <w:marRight w:val="0"/>
              <w:marTop w:val="0"/>
              <w:marBottom w:val="0"/>
              <w:divBdr>
                <w:top w:val="none" w:sz="0" w:space="0" w:color="auto"/>
                <w:left w:val="none" w:sz="0" w:space="0" w:color="auto"/>
                <w:bottom w:val="none" w:sz="0" w:space="0" w:color="auto"/>
                <w:right w:val="none" w:sz="0" w:space="0" w:color="auto"/>
              </w:divBdr>
            </w:div>
            <w:div w:id="2020112905">
              <w:marLeft w:val="0"/>
              <w:marRight w:val="0"/>
              <w:marTop w:val="0"/>
              <w:marBottom w:val="0"/>
              <w:divBdr>
                <w:top w:val="none" w:sz="0" w:space="0" w:color="auto"/>
                <w:left w:val="none" w:sz="0" w:space="0" w:color="auto"/>
                <w:bottom w:val="none" w:sz="0" w:space="0" w:color="auto"/>
                <w:right w:val="none" w:sz="0" w:space="0" w:color="auto"/>
              </w:divBdr>
            </w:div>
            <w:div w:id="2021270860">
              <w:marLeft w:val="0"/>
              <w:marRight w:val="0"/>
              <w:marTop w:val="0"/>
              <w:marBottom w:val="0"/>
              <w:divBdr>
                <w:top w:val="none" w:sz="0" w:space="0" w:color="auto"/>
                <w:left w:val="none" w:sz="0" w:space="0" w:color="auto"/>
                <w:bottom w:val="none" w:sz="0" w:space="0" w:color="auto"/>
                <w:right w:val="none" w:sz="0" w:space="0" w:color="auto"/>
              </w:divBdr>
            </w:div>
            <w:div w:id="2039890273">
              <w:marLeft w:val="0"/>
              <w:marRight w:val="0"/>
              <w:marTop w:val="0"/>
              <w:marBottom w:val="0"/>
              <w:divBdr>
                <w:top w:val="none" w:sz="0" w:space="0" w:color="auto"/>
                <w:left w:val="none" w:sz="0" w:space="0" w:color="auto"/>
                <w:bottom w:val="none" w:sz="0" w:space="0" w:color="auto"/>
                <w:right w:val="none" w:sz="0" w:space="0" w:color="auto"/>
              </w:divBdr>
            </w:div>
            <w:div w:id="2042054278">
              <w:marLeft w:val="0"/>
              <w:marRight w:val="0"/>
              <w:marTop w:val="0"/>
              <w:marBottom w:val="0"/>
              <w:divBdr>
                <w:top w:val="none" w:sz="0" w:space="0" w:color="auto"/>
                <w:left w:val="none" w:sz="0" w:space="0" w:color="auto"/>
                <w:bottom w:val="none" w:sz="0" w:space="0" w:color="auto"/>
                <w:right w:val="none" w:sz="0" w:space="0" w:color="auto"/>
              </w:divBdr>
            </w:div>
            <w:div w:id="2068607408">
              <w:marLeft w:val="0"/>
              <w:marRight w:val="0"/>
              <w:marTop w:val="0"/>
              <w:marBottom w:val="0"/>
              <w:divBdr>
                <w:top w:val="none" w:sz="0" w:space="0" w:color="auto"/>
                <w:left w:val="none" w:sz="0" w:space="0" w:color="auto"/>
                <w:bottom w:val="none" w:sz="0" w:space="0" w:color="auto"/>
                <w:right w:val="none" w:sz="0" w:space="0" w:color="auto"/>
              </w:divBdr>
            </w:div>
            <w:div w:id="2078362098">
              <w:marLeft w:val="0"/>
              <w:marRight w:val="0"/>
              <w:marTop w:val="0"/>
              <w:marBottom w:val="0"/>
              <w:divBdr>
                <w:top w:val="none" w:sz="0" w:space="0" w:color="auto"/>
                <w:left w:val="none" w:sz="0" w:space="0" w:color="auto"/>
                <w:bottom w:val="none" w:sz="0" w:space="0" w:color="auto"/>
                <w:right w:val="none" w:sz="0" w:space="0" w:color="auto"/>
              </w:divBdr>
            </w:div>
            <w:div w:id="2102334924">
              <w:marLeft w:val="0"/>
              <w:marRight w:val="0"/>
              <w:marTop w:val="0"/>
              <w:marBottom w:val="0"/>
              <w:divBdr>
                <w:top w:val="none" w:sz="0" w:space="0" w:color="auto"/>
                <w:left w:val="none" w:sz="0" w:space="0" w:color="auto"/>
                <w:bottom w:val="none" w:sz="0" w:space="0" w:color="auto"/>
                <w:right w:val="none" w:sz="0" w:space="0" w:color="auto"/>
              </w:divBdr>
            </w:div>
            <w:div w:id="2106685372">
              <w:marLeft w:val="0"/>
              <w:marRight w:val="0"/>
              <w:marTop w:val="0"/>
              <w:marBottom w:val="0"/>
              <w:divBdr>
                <w:top w:val="none" w:sz="0" w:space="0" w:color="auto"/>
                <w:left w:val="none" w:sz="0" w:space="0" w:color="auto"/>
                <w:bottom w:val="none" w:sz="0" w:space="0" w:color="auto"/>
                <w:right w:val="none" w:sz="0" w:space="0" w:color="auto"/>
              </w:divBdr>
            </w:div>
            <w:div w:id="2106799453">
              <w:marLeft w:val="0"/>
              <w:marRight w:val="0"/>
              <w:marTop w:val="0"/>
              <w:marBottom w:val="0"/>
              <w:divBdr>
                <w:top w:val="none" w:sz="0" w:space="0" w:color="auto"/>
                <w:left w:val="none" w:sz="0" w:space="0" w:color="auto"/>
                <w:bottom w:val="none" w:sz="0" w:space="0" w:color="auto"/>
                <w:right w:val="none" w:sz="0" w:space="0" w:color="auto"/>
              </w:divBdr>
            </w:div>
            <w:div w:id="2119444171">
              <w:marLeft w:val="0"/>
              <w:marRight w:val="0"/>
              <w:marTop w:val="0"/>
              <w:marBottom w:val="0"/>
              <w:divBdr>
                <w:top w:val="none" w:sz="0" w:space="0" w:color="auto"/>
                <w:left w:val="none" w:sz="0" w:space="0" w:color="auto"/>
                <w:bottom w:val="none" w:sz="0" w:space="0" w:color="auto"/>
                <w:right w:val="none" w:sz="0" w:space="0" w:color="auto"/>
              </w:divBdr>
            </w:div>
            <w:div w:id="2122333038">
              <w:marLeft w:val="0"/>
              <w:marRight w:val="0"/>
              <w:marTop w:val="0"/>
              <w:marBottom w:val="0"/>
              <w:divBdr>
                <w:top w:val="none" w:sz="0" w:space="0" w:color="auto"/>
                <w:left w:val="none" w:sz="0" w:space="0" w:color="auto"/>
                <w:bottom w:val="none" w:sz="0" w:space="0" w:color="auto"/>
                <w:right w:val="none" w:sz="0" w:space="0" w:color="auto"/>
              </w:divBdr>
            </w:div>
            <w:div w:id="21417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6430">
      <w:bodyDiv w:val="1"/>
      <w:marLeft w:val="0"/>
      <w:marRight w:val="0"/>
      <w:marTop w:val="0"/>
      <w:marBottom w:val="0"/>
      <w:divBdr>
        <w:top w:val="none" w:sz="0" w:space="0" w:color="auto"/>
        <w:left w:val="none" w:sz="0" w:space="0" w:color="auto"/>
        <w:bottom w:val="none" w:sz="0" w:space="0" w:color="auto"/>
        <w:right w:val="none" w:sz="0" w:space="0" w:color="auto"/>
      </w:divBdr>
      <w:divsChild>
        <w:div w:id="661079726">
          <w:marLeft w:val="0"/>
          <w:marRight w:val="0"/>
          <w:marTop w:val="0"/>
          <w:marBottom w:val="0"/>
          <w:divBdr>
            <w:top w:val="none" w:sz="0" w:space="0" w:color="auto"/>
            <w:left w:val="none" w:sz="0" w:space="0" w:color="auto"/>
            <w:bottom w:val="none" w:sz="0" w:space="0" w:color="auto"/>
            <w:right w:val="none" w:sz="0" w:space="0" w:color="auto"/>
          </w:divBdr>
          <w:divsChild>
            <w:div w:id="2000305521">
              <w:marLeft w:val="0"/>
              <w:marRight w:val="0"/>
              <w:marTop w:val="0"/>
              <w:marBottom w:val="0"/>
              <w:divBdr>
                <w:top w:val="none" w:sz="0" w:space="0" w:color="auto"/>
                <w:left w:val="none" w:sz="0" w:space="0" w:color="auto"/>
                <w:bottom w:val="none" w:sz="0" w:space="0" w:color="auto"/>
                <w:right w:val="none" w:sz="0" w:space="0" w:color="auto"/>
              </w:divBdr>
              <w:divsChild>
                <w:div w:id="559948465">
                  <w:marLeft w:val="0"/>
                  <w:marRight w:val="0"/>
                  <w:marTop w:val="0"/>
                  <w:marBottom w:val="0"/>
                  <w:divBdr>
                    <w:top w:val="none" w:sz="0" w:space="0" w:color="auto"/>
                    <w:left w:val="none" w:sz="0" w:space="0" w:color="auto"/>
                    <w:bottom w:val="none" w:sz="0" w:space="0" w:color="auto"/>
                    <w:right w:val="none" w:sz="0" w:space="0" w:color="auto"/>
                  </w:divBdr>
                  <w:divsChild>
                    <w:div w:id="1100298535">
                      <w:marLeft w:val="0"/>
                      <w:marRight w:val="0"/>
                      <w:marTop w:val="0"/>
                      <w:marBottom w:val="0"/>
                      <w:divBdr>
                        <w:top w:val="none" w:sz="0" w:space="0" w:color="auto"/>
                        <w:left w:val="none" w:sz="0" w:space="0" w:color="auto"/>
                        <w:bottom w:val="none" w:sz="0" w:space="0" w:color="auto"/>
                        <w:right w:val="none" w:sz="0" w:space="0" w:color="auto"/>
                      </w:divBdr>
                      <w:divsChild>
                        <w:div w:id="1557281444">
                          <w:marLeft w:val="0"/>
                          <w:marRight w:val="0"/>
                          <w:marTop w:val="0"/>
                          <w:marBottom w:val="0"/>
                          <w:divBdr>
                            <w:top w:val="none" w:sz="0" w:space="0" w:color="auto"/>
                            <w:left w:val="none" w:sz="0" w:space="0" w:color="auto"/>
                            <w:bottom w:val="none" w:sz="0" w:space="0" w:color="auto"/>
                            <w:right w:val="none" w:sz="0" w:space="0" w:color="auto"/>
                          </w:divBdr>
                          <w:divsChild>
                            <w:div w:id="2794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417393">
      <w:bodyDiv w:val="1"/>
      <w:marLeft w:val="0"/>
      <w:marRight w:val="0"/>
      <w:marTop w:val="0"/>
      <w:marBottom w:val="0"/>
      <w:divBdr>
        <w:top w:val="none" w:sz="0" w:space="0" w:color="auto"/>
        <w:left w:val="none" w:sz="0" w:space="0" w:color="auto"/>
        <w:bottom w:val="none" w:sz="0" w:space="0" w:color="auto"/>
        <w:right w:val="none" w:sz="0" w:space="0" w:color="auto"/>
      </w:divBdr>
    </w:div>
    <w:div w:id="312024675">
      <w:bodyDiv w:val="1"/>
      <w:marLeft w:val="0"/>
      <w:marRight w:val="0"/>
      <w:marTop w:val="0"/>
      <w:marBottom w:val="0"/>
      <w:divBdr>
        <w:top w:val="none" w:sz="0" w:space="0" w:color="auto"/>
        <w:left w:val="none" w:sz="0" w:space="0" w:color="auto"/>
        <w:bottom w:val="none" w:sz="0" w:space="0" w:color="auto"/>
        <w:right w:val="none" w:sz="0" w:space="0" w:color="auto"/>
      </w:divBdr>
    </w:div>
    <w:div w:id="316811890">
      <w:bodyDiv w:val="1"/>
      <w:marLeft w:val="0"/>
      <w:marRight w:val="0"/>
      <w:marTop w:val="0"/>
      <w:marBottom w:val="0"/>
      <w:divBdr>
        <w:top w:val="none" w:sz="0" w:space="0" w:color="auto"/>
        <w:left w:val="none" w:sz="0" w:space="0" w:color="auto"/>
        <w:bottom w:val="none" w:sz="0" w:space="0" w:color="auto"/>
        <w:right w:val="none" w:sz="0" w:space="0" w:color="auto"/>
      </w:divBdr>
      <w:divsChild>
        <w:div w:id="1880701740">
          <w:marLeft w:val="0"/>
          <w:marRight w:val="0"/>
          <w:marTop w:val="0"/>
          <w:marBottom w:val="0"/>
          <w:divBdr>
            <w:top w:val="none" w:sz="0" w:space="0" w:color="auto"/>
            <w:left w:val="none" w:sz="0" w:space="0" w:color="auto"/>
            <w:bottom w:val="none" w:sz="0" w:space="0" w:color="auto"/>
            <w:right w:val="none" w:sz="0" w:space="0" w:color="auto"/>
          </w:divBdr>
          <w:divsChild>
            <w:div w:id="408040715">
              <w:marLeft w:val="0"/>
              <w:marRight w:val="0"/>
              <w:marTop w:val="0"/>
              <w:marBottom w:val="0"/>
              <w:divBdr>
                <w:top w:val="none" w:sz="0" w:space="0" w:color="auto"/>
                <w:left w:val="none" w:sz="0" w:space="0" w:color="auto"/>
                <w:bottom w:val="none" w:sz="0" w:space="0" w:color="auto"/>
                <w:right w:val="none" w:sz="0" w:space="0" w:color="auto"/>
              </w:divBdr>
              <w:divsChild>
                <w:div w:id="474758125">
                  <w:marLeft w:val="0"/>
                  <w:marRight w:val="0"/>
                  <w:marTop w:val="0"/>
                  <w:marBottom w:val="0"/>
                  <w:divBdr>
                    <w:top w:val="none" w:sz="0" w:space="0" w:color="auto"/>
                    <w:left w:val="none" w:sz="0" w:space="0" w:color="auto"/>
                    <w:bottom w:val="none" w:sz="0" w:space="0" w:color="auto"/>
                    <w:right w:val="none" w:sz="0" w:space="0" w:color="auto"/>
                  </w:divBdr>
                  <w:divsChild>
                    <w:div w:id="632834948">
                      <w:marLeft w:val="0"/>
                      <w:marRight w:val="0"/>
                      <w:marTop w:val="0"/>
                      <w:marBottom w:val="0"/>
                      <w:divBdr>
                        <w:top w:val="none" w:sz="0" w:space="0" w:color="auto"/>
                        <w:left w:val="none" w:sz="0" w:space="0" w:color="auto"/>
                        <w:bottom w:val="none" w:sz="0" w:space="0" w:color="auto"/>
                        <w:right w:val="none" w:sz="0" w:space="0" w:color="auto"/>
                      </w:divBdr>
                      <w:divsChild>
                        <w:div w:id="1503669028">
                          <w:marLeft w:val="0"/>
                          <w:marRight w:val="0"/>
                          <w:marTop w:val="0"/>
                          <w:marBottom w:val="0"/>
                          <w:divBdr>
                            <w:top w:val="none" w:sz="0" w:space="0" w:color="auto"/>
                            <w:left w:val="none" w:sz="0" w:space="0" w:color="auto"/>
                            <w:bottom w:val="none" w:sz="0" w:space="0" w:color="auto"/>
                            <w:right w:val="none" w:sz="0" w:space="0" w:color="auto"/>
                          </w:divBdr>
                          <w:divsChild>
                            <w:div w:id="478303946">
                              <w:marLeft w:val="0"/>
                              <w:marRight w:val="0"/>
                              <w:marTop w:val="480"/>
                              <w:marBottom w:val="240"/>
                              <w:divBdr>
                                <w:top w:val="none" w:sz="0" w:space="0" w:color="auto"/>
                                <w:left w:val="none" w:sz="0" w:space="0" w:color="auto"/>
                                <w:bottom w:val="none" w:sz="0" w:space="0" w:color="auto"/>
                                <w:right w:val="none" w:sz="0" w:space="0" w:color="auto"/>
                              </w:divBdr>
                            </w:div>
                            <w:div w:id="94596157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447024">
      <w:bodyDiv w:val="1"/>
      <w:marLeft w:val="0"/>
      <w:marRight w:val="0"/>
      <w:marTop w:val="0"/>
      <w:marBottom w:val="0"/>
      <w:divBdr>
        <w:top w:val="none" w:sz="0" w:space="0" w:color="auto"/>
        <w:left w:val="none" w:sz="0" w:space="0" w:color="auto"/>
        <w:bottom w:val="none" w:sz="0" w:space="0" w:color="auto"/>
        <w:right w:val="none" w:sz="0" w:space="0" w:color="auto"/>
      </w:divBdr>
    </w:div>
    <w:div w:id="338702948">
      <w:bodyDiv w:val="1"/>
      <w:marLeft w:val="0"/>
      <w:marRight w:val="0"/>
      <w:marTop w:val="0"/>
      <w:marBottom w:val="0"/>
      <w:divBdr>
        <w:top w:val="none" w:sz="0" w:space="0" w:color="auto"/>
        <w:left w:val="none" w:sz="0" w:space="0" w:color="auto"/>
        <w:bottom w:val="none" w:sz="0" w:space="0" w:color="auto"/>
        <w:right w:val="none" w:sz="0" w:space="0" w:color="auto"/>
      </w:divBdr>
      <w:divsChild>
        <w:div w:id="1070809019">
          <w:marLeft w:val="0"/>
          <w:marRight w:val="0"/>
          <w:marTop w:val="0"/>
          <w:marBottom w:val="0"/>
          <w:divBdr>
            <w:top w:val="none" w:sz="0" w:space="0" w:color="auto"/>
            <w:left w:val="none" w:sz="0" w:space="0" w:color="auto"/>
            <w:bottom w:val="none" w:sz="0" w:space="0" w:color="auto"/>
            <w:right w:val="none" w:sz="0" w:space="0" w:color="auto"/>
          </w:divBdr>
          <w:divsChild>
            <w:div w:id="189296186">
              <w:marLeft w:val="0"/>
              <w:marRight w:val="0"/>
              <w:marTop w:val="0"/>
              <w:marBottom w:val="0"/>
              <w:divBdr>
                <w:top w:val="none" w:sz="0" w:space="0" w:color="auto"/>
                <w:left w:val="none" w:sz="0" w:space="0" w:color="auto"/>
                <w:bottom w:val="none" w:sz="0" w:space="0" w:color="auto"/>
                <w:right w:val="none" w:sz="0" w:space="0" w:color="auto"/>
              </w:divBdr>
              <w:divsChild>
                <w:div w:id="185290634">
                  <w:marLeft w:val="0"/>
                  <w:marRight w:val="0"/>
                  <w:marTop w:val="0"/>
                  <w:marBottom w:val="0"/>
                  <w:divBdr>
                    <w:top w:val="none" w:sz="0" w:space="0" w:color="auto"/>
                    <w:left w:val="none" w:sz="0" w:space="0" w:color="auto"/>
                    <w:bottom w:val="none" w:sz="0" w:space="0" w:color="auto"/>
                    <w:right w:val="none" w:sz="0" w:space="0" w:color="auto"/>
                  </w:divBdr>
                  <w:divsChild>
                    <w:div w:id="180700779">
                      <w:marLeft w:val="0"/>
                      <w:marRight w:val="0"/>
                      <w:marTop w:val="0"/>
                      <w:marBottom w:val="0"/>
                      <w:divBdr>
                        <w:top w:val="none" w:sz="0" w:space="0" w:color="auto"/>
                        <w:left w:val="none" w:sz="0" w:space="0" w:color="auto"/>
                        <w:bottom w:val="none" w:sz="0" w:space="0" w:color="auto"/>
                        <w:right w:val="none" w:sz="0" w:space="0" w:color="auto"/>
                      </w:divBdr>
                      <w:divsChild>
                        <w:div w:id="305940849">
                          <w:marLeft w:val="0"/>
                          <w:marRight w:val="0"/>
                          <w:marTop w:val="0"/>
                          <w:marBottom w:val="0"/>
                          <w:divBdr>
                            <w:top w:val="none" w:sz="0" w:space="0" w:color="auto"/>
                            <w:left w:val="none" w:sz="0" w:space="0" w:color="auto"/>
                            <w:bottom w:val="none" w:sz="0" w:space="0" w:color="auto"/>
                            <w:right w:val="none" w:sz="0" w:space="0" w:color="auto"/>
                          </w:divBdr>
                          <w:divsChild>
                            <w:div w:id="19529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05434">
      <w:bodyDiv w:val="1"/>
      <w:marLeft w:val="0"/>
      <w:marRight w:val="0"/>
      <w:marTop w:val="0"/>
      <w:marBottom w:val="0"/>
      <w:divBdr>
        <w:top w:val="none" w:sz="0" w:space="0" w:color="auto"/>
        <w:left w:val="none" w:sz="0" w:space="0" w:color="auto"/>
        <w:bottom w:val="none" w:sz="0" w:space="0" w:color="auto"/>
        <w:right w:val="none" w:sz="0" w:space="0" w:color="auto"/>
      </w:divBdr>
    </w:div>
    <w:div w:id="363949685">
      <w:bodyDiv w:val="1"/>
      <w:marLeft w:val="0"/>
      <w:marRight w:val="0"/>
      <w:marTop w:val="0"/>
      <w:marBottom w:val="0"/>
      <w:divBdr>
        <w:top w:val="none" w:sz="0" w:space="0" w:color="auto"/>
        <w:left w:val="none" w:sz="0" w:space="0" w:color="auto"/>
        <w:bottom w:val="none" w:sz="0" w:space="0" w:color="auto"/>
        <w:right w:val="none" w:sz="0" w:space="0" w:color="auto"/>
      </w:divBdr>
    </w:div>
    <w:div w:id="365914317">
      <w:bodyDiv w:val="1"/>
      <w:marLeft w:val="0"/>
      <w:marRight w:val="0"/>
      <w:marTop w:val="0"/>
      <w:marBottom w:val="0"/>
      <w:divBdr>
        <w:top w:val="none" w:sz="0" w:space="0" w:color="auto"/>
        <w:left w:val="none" w:sz="0" w:space="0" w:color="auto"/>
        <w:bottom w:val="none" w:sz="0" w:space="0" w:color="auto"/>
        <w:right w:val="none" w:sz="0" w:space="0" w:color="auto"/>
      </w:divBdr>
      <w:divsChild>
        <w:div w:id="1719209946">
          <w:marLeft w:val="1195"/>
          <w:marRight w:val="0"/>
          <w:marTop w:val="67"/>
          <w:marBottom w:val="0"/>
          <w:divBdr>
            <w:top w:val="none" w:sz="0" w:space="0" w:color="auto"/>
            <w:left w:val="none" w:sz="0" w:space="0" w:color="auto"/>
            <w:bottom w:val="none" w:sz="0" w:space="0" w:color="auto"/>
            <w:right w:val="none" w:sz="0" w:space="0" w:color="auto"/>
          </w:divBdr>
        </w:div>
        <w:div w:id="577986238">
          <w:marLeft w:val="1195"/>
          <w:marRight w:val="0"/>
          <w:marTop w:val="67"/>
          <w:marBottom w:val="0"/>
          <w:divBdr>
            <w:top w:val="none" w:sz="0" w:space="0" w:color="auto"/>
            <w:left w:val="none" w:sz="0" w:space="0" w:color="auto"/>
            <w:bottom w:val="none" w:sz="0" w:space="0" w:color="auto"/>
            <w:right w:val="none" w:sz="0" w:space="0" w:color="auto"/>
          </w:divBdr>
        </w:div>
        <w:div w:id="1348025183">
          <w:marLeft w:val="1195"/>
          <w:marRight w:val="0"/>
          <w:marTop w:val="67"/>
          <w:marBottom w:val="0"/>
          <w:divBdr>
            <w:top w:val="none" w:sz="0" w:space="0" w:color="auto"/>
            <w:left w:val="none" w:sz="0" w:space="0" w:color="auto"/>
            <w:bottom w:val="none" w:sz="0" w:space="0" w:color="auto"/>
            <w:right w:val="none" w:sz="0" w:space="0" w:color="auto"/>
          </w:divBdr>
        </w:div>
        <w:div w:id="1347051431">
          <w:marLeft w:val="1195"/>
          <w:marRight w:val="0"/>
          <w:marTop w:val="67"/>
          <w:marBottom w:val="0"/>
          <w:divBdr>
            <w:top w:val="none" w:sz="0" w:space="0" w:color="auto"/>
            <w:left w:val="none" w:sz="0" w:space="0" w:color="auto"/>
            <w:bottom w:val="none" w:sz="0" w:space="0" w:color="auto"/>
            <w:right w:val="none" w:sz="0" w:space="0" w:color="auto"/>
          </w:divBdr>
        </w:div>
        <w:div w:id="726995331">
          <w:marLeft w:val="1195"/>
          <w:marRight w:val="0"/>
          <w:marTop w:val="67"/>
          <w:marBottom w:val="0"/>
          <w:divBdr>
            <w:top w:val="none" w:sz="0" w:space="0" w:color="auto"/>
            <w:left w:val="none" w:sz="0" w:space="0" w:color="auto"/>
            <w:bottom w:val="none" w:sz="0" w:space="0" w:color="auto"/>
            <w:right w:val="none" w:sz="0" w:space="0" w:color="auto"/>
          </w:divBdr>
        </w:div>
        <w:div w:id="1567569627">
          <w:marLeft w:val="1195"/>
          <w:marRight w:val="0"/>
          <w:marTop w:val="67"/>
          <w:marBottom w:val="0"/>
          <w:divBdr>
            <w:top w:val="none" w:sz="0" w:space="0" w:color="auto"/>
            <w:left w:val="none" w:sz="0" w:space="0" w:color="auto"/>
            <w:bottom w:val="none" w:sz="0" w:space="0" w:color="auto"/>
            <w:right w:val="none" w:sz="0" w:space="0" w:color="auto"/>
          </w:divBdr>
        </w:div>
      </w:divsChild>
    </w:div>
    <w:div w:id="367294826">
      <w:bodyDiv w:val="1"/>
      <w:marLeft w:val="0"/>
      <w:marRight w:val="0"/>
      <w:marTop w:val="0"/>
      <w:marBottom w:val="0"/>
      <w:divBdr>
        <w:top w:val="none" w:sz="0" w:space="0" w:color="auto"/>
        <w:left w:val="none" w:sz="0" w:space="0" w:color="auto"/>
        <w:bottom w:val="none" w:sz="0" w:space="0" w:color="auto"/>
        <w:right w:val="none" w:sz="0" w:space="0" w:color="auto"/>
      </w:divBdr>
      <w:divsChild>
        <w:div w:id="1261138586">
          <w:marLeft w:val="0"/>
          <w:marRight w:val="0"/>
          <w:marTop w:val="0"/>
          <w:marBottom w:val="0"/>
          <w:divBdr>
            <w:top w:val="none" w:sz="0" w:space="0" w:color="auto"/>
            <w:left w:val="none" w:sz="0" w:space="0" w:color="auto"/>
            <w:bottom w:val="none" w:sz="0" w:space="0" w:color="auto"/>
            <w:right w:val="none" w:sz="0" w:space="0" w:color="auto"/>
          </w:divBdr>
          <w:divsChild>
            <w:div w:id="1616474959">
              <w:marLeft w:val="0"/>
              <w:marRight w:val="0"/>
              <w:marTop w:val="0"/>
              <w:marBottom w:val="0"/>
              <w:divBdr>
                <w:top w:val="none" w:sz="0" w:space="0" w:color="auto"/>
                <w:left w:val="none" w:sz="0" w:space="0" w:color="auto"/>
                <w:bottom w:val="none" w:sz="0" w:space="0" w:color="auto"/>
                <w:right w:val="none" w:sz="0" w:space="0" w:color="auto"/>
              </w:divBdr>
              <w:divsChild>
                <w:div w:id="1673292366">
                  <w:marLeft w:val="0"/>
                  <w:marRight w:val="0"/>
                  <w:marTop w:val="0"/>
                  <w:marBottom w:val="0"/>
                  <w:divBdr>
                    <w:top w:val="none" w:sz="0" w:space="0" w:color="auto"/>
                    <w:left w:val="none" w:sz="0" w:space="0" w:color="auto"/>
                    <w:bottom w:val="none" w:sz="0" w:space="0" w:color="auto"/>
                    <w:right w:val="none" w:sz="0" w:space="0" w:color="auto"/>
                  </w:divBdr>
                  <w:divsChild>
                    <w:div w:id="1264994388">
                      <w:marLeft w:val="0"/>
                      <w:marRight w:val="0"/>
                      <w:marTop w:val="0"/>
                      <w:marBottom w:val="0"/>
                      <w:divBdr>
                        <w:top w:val="none" w:sz="0" w:space="0" w:color="auto"/>
                        <w:left w:val="none" w:sz="0" w:space="0" w:color="auto"/>
                        <w:bottom w:val="none" w:sz="0" w:space="0" w:color="auto"/>
                        <w:right w:val="none" w:sz="0" w:space="0" w:color="auto"/>
                      </w:divBdr>
                      <w:divsChild>
                        <w:div w:id="1440759764">
                          <w:marLeft w:val="0"/>
                          <w:marRight w:val="0"/>
                          <w:marTop w:val="0"/>
                          <w:marBottom w:val="0"/>
                          <w:divBdr>
                            <w:top w:val="none" w:sz="0" w:space="0" w:color="auto"/>
                            <w:left w:val="none" w:sz="0" w:space="0" w:color="auto"/>
                            <w:bottom w:val="none" w:sz="0" w:space="0" w:color="auto"/>
                            <w:right w:val="none" w:sz="0" w:space="0" w:color="auto"/>
                          </w:divBdr>
                          <w:divsChild>
                            <w:div w:id="4608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170929">
      <w:bodyDiv w:val="1"/>
      <w:marLeft w:val="0"/>
      <w:marRight w:val="0"/>
      <w:marTop w:val="0"/>
      <w:marBottom w:val="0"/>
      <w:divBdr>
        <w:top w:val="none" w:sz="0" w:space="0" w:color="auto"/>
        <w:left w:val="none" w:sz="0" w:space="0" w:color="auto"/>
        <w:bottom w:val="none" w:sz="0" w:space="0" w:color="auto"/>
        <w:right w:val="none" w:sz="0" w:space="0" w:color="auto"/>
      </w:divBdr>
    </w:div>
    <w:div w:id="398865509">
      <w:bodyDiv w:val="1"/>
      <w:marLeft w:val="0"/>
      <w:marRight w:val="0"/>
      <w:marTop w:val="0"/>
      <w:marBottom w:val="0"/>
      <w:divBdr>
        <w:top w:val="none" w:sz="0" w:space="0" w:color="auto"/>
        <w:left w:val="none" w:sz="0" w:space="0" w:color="auto"/>
        <w:bottom w:val="none" w:sz="0" w:space="0" w:color="auto"/>
        <w:right w:val="none" w:sz="0" w:space="0" w:color="auto"/>
      </w:divBdr>
      <w:divsChild>
        <w:div w:id="723413427">
          <w:marLeft w:val="0"/>
          <w:marRight w:val="0"/>
          <w:marTop w:val="0"/>
          <w:marBottom w:val="0"/>
          <w:divBdr>
            <w:top w:val="none" w:sz="0" w:space="0" w:color="auto"/>
            <w:left w:val="none" w:sz="0" w:space="0" w:color="auto"/>
            <w:bottom w:val="none" w:sz="0" w:space="0" w:color="auto"/>
            <w:right w:val="none" w:sz="0" w:space="0" w:color="auto"/>
          </w:divBdr>
          <w:divsChild>
            <w:div w:id="694186927">
              <w:marLeft w:val="0"/>
              <w:marRight w:val="0"/>
              <w:marTop w:val="0"/>
              <w:marBottom w:val="0"/>
              <w:divBdr>
                <w:top w:val="none" w:sz="0" w:space="0" w:color="auto"/>
                <w:left w:val="none" w:sz="0" w:space="0" w:color="auto"/>
                <w:bottom w:val="none" w:sz="0" w:space="0" w:color="auto"/>
                <w:right w:val="none" w:sz="0" w:space="0" w:color="auto"/>
              </w:divBdr>
              <w:divsChild>
                <w:div w:id="1770730944">
                  <w:marLeft w:val="0"/>
                  <w:marRight w:val="0"/>
                  <w:marTop w:val="0"/>
                  <w:marBottom w:val="0"/>
                  <w:divBdr>
                    <w:top w:val="none" w:sz="0" w:space="0" w:color="auto"/>
                    <w:left w:val="none" w:sz="0" w:space="0" w:color="auto"/>
                    <w:bottom w:val="none" w:sz="0" w:space="0" w:color="auto"/>
                    <w:right w:val="none" w:sz="0" w:space="0" w:color="auto"/>
                  </w:divBdr>
                  <w:divsChild>
                    <w:div w:id="2124954127">
                      <w:marLeft w:val="0"/>
                      <w:marRight w:val="0"/>
                      <w:marTop w:val="0"/>
                      <w:marBottom w:val="0"/>
                      <w:divBdr>
                        <w:top w:val="none" w:sz="0" w:space="0" w:color="auto"/>
                        <w:left w:val="none" w:sz="0" w:space="0" w:color="auto"/>
                        <w:bottom w:val="none" w:sz="0" w:space="0" w:color="auto"/>
                        <w:right w:val="none" w:sz="0" w:space="0" w:color="auto"/>
                      </w:divBdr>
                      <w:divsChild>
                        <w:div w:id="1977755684">
                          <w:marLeft w:val="0"/>
                          <w:marRight w:val="0"/>
                          <w:marTop w:val="0"/>
                          <w:marBottom w:val="0"/>
                          <w:divBdr>
                            <w:top w:val="none" w:sz="0" w:space="0" w:color="auto"/>
                            <w:left w:val="none" w:sz="0" w:space="0" w:color="auto"/>
                            <w:bottom w:val="none" w:sz="0" w:space="0" w:color="auto"/>
                            <w:right w:val="none" w:sz="0" w:space="0" w:color="auto"/>
                          </w:divBdr>
                          <w:divsChild>
                            <w:div w:id="9823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911882">
      <w:bodyDiv w:val="1"/>
      <w:marLeft w:val="0"/>
      <w:marRight w:val="0"/>
      <w:marTop w:val="0"/>
      <w:marBottom w:val="0"/>
      <w:divBdr>
        <w:top w:val="none" w:sz="0" w:space="0" w:color="auto"/>
        <w:left w:val="none" w:sz="0" w:space="0" w:color="auto"/>
        <w:bottom w:val="none" w:sz="0" w:space="0" w:color="auto"/>
        <w:right w:val="none" w:sz="0" w:space="0" w:color="auto"/>
      </w:divBdr>
    </w:div>
    <w:div w:id="420954106">
      <w:bodyDiv w:val="1"/>
      <w:marLeft w:val="0"/>
      <w:marRight w:val="0"/>
      <w:marTop w:val="0"/>
      <w:marBottom w:val="0"/>
      <w:divBdr>
        <w:top w:val="none" w:sz="0" w:space="0" w:color="auto"/>
        <w:left w:val="none" w:sz="0" w:space="0" w:color="auto"/>
        <w:bottom w:val="none" w:sz="0" w:space="0" w:color="auto"/>
        <w:right w:val="none" w:sz="0" w:space="0" w:color="auto"/>
      </w:divBdr>
    </w:div>
    <w:div w:id="422145995">
      <w:bodyDiv w:val="1"/>
      <w:marLeft w:val="0"/>
      <w:marRight w:val="0"/>
      <w:marTop w:val="0"/>
      <w:marBottom w:val="0"/>
      <w:divBdr>
        <w:top w:val="none" w:sz="0" w:space="0" w:color="auto"/>
        <w:left w:val="none" w:sz="0" w:space="0" w:color="auto"/>
        <w:bottom w:val="none" w:sz="0" w:space="0" w:color="auto"/>
        <w:right w:val="none" w:sz="0" w:space="0" w:color="auto"/>
      </w:divBdr>
    </w:div>
    <w:div w:id="507674449">
      <w:bodyDiv w:val="1"/>
      <w:marLeft w:val="0"/>
      <w:marRight w:val="0"/>
      <w:marTop w:val="0"/>
      <w:marBottom w:val="0"/>
      <w:divBdr>
        <w:top w:val="none" w:sz="0" w:space="0" w:color="auto"/>
        <w:left w:val="none" w:sz="0" w:space="0" w:color="auto"/>
        <w:bottom w:val="none" w:sz="0" w:space="0" w:color="auto"/>
        <w:right w:val="none" w:sz="0" w:space="0" w:color="auto"/>
      </w:divBdr>
    </w:div>
    <w:div w:id="647713008">
      <w:bodyDiv w:val="1"/>
      <w:marLeft w:val="0"/>
      <w:marRight w:val="0"/>
      <w:marTop w:val="0"/>
      <w:marBottom w:val="0"/>
      <w:divBdr>
        <w:top w:val="none" w:sz="0" w:space="0" w:color="auto"/>
        <w:left w:val="none" w:sz="0" w:space="0" w:color="auto"/>
        <w:bottom w:val="none" w:sz="0" w:space="0" w:color="auto"/>
        <w:right w:val="none" w:sz="0" w:space="0" w:color="auto"/>
      </w:divBdr>
      <w:divsChild>
        <w:div w:id="1936743842">
          <w:marLeft w:val="0"/>
          <w:marRight w:val="0"/>
          <w:marTop w:val="0"/>
          <w:marBottom w:val="0"/>
          <w:divBdr>
            <w:top w:val="none" w:sz="0" w:space="0" w:color="auto"/>
            <w:left w:val="none" w:sz="0" w:space="0" w:color="auto"/>
            <w:bottom w:val="none" w:sz="0" w:space="0" w:color="auto"/>
            <w:right w:val="none" w:sz="0" w:space="0" w:color="auto"/>
          </w:divBdr>
          <w:divsChild>
            <w:div w:id="932855348">
              <w:marLeft w:val="0"/>
              <w:marRight w:val="0"/>
              <w:marTop w:val="0"/>
              <w:marBottom w:val="0"/>
              <w:divBdr>
                <w:top w:val="none" w:sz="0" w:space="0" w:color="auto"/>
                <w:left w:val="none" w:sz="0" w:space="0" w:color="auto"/>
                <w:bottom w:val="none" w:sz="0" w:space="0" w:color="auto"/>
                <w:right w:val="none" w:sz="0" w:space="0" w:color="auto"/>
              </w:divBdr>
              <w:divsChild>
                <w:div w:id="2040617551">
                  <w:marLeft w:val="0"/>
                  <w:marRight w:val="0"/>
                  <w:marTop w:val="0"/>
                  <w:marBottom w:val="0"/>
                  <w:divBdr>
                    <w:top w:val="none" w:sz="0" w:space="0" w:color="auto"/>
                    <w:left w:val="none" w:sz="0" w:space="0" w:color="auto"/>
                    <w:bottom w:val="none" w:sz="0" w:space="0" w:color="auto"/>
                    <w:right w:val="none" w:sz="0" w:space="0" w:color="auto"/>
                  </w:divBdr>
                  <w:divsChild>
                    <w:div w:id="1644192554">
                      <w:marLeft w:val="0"/>
                      <w:marRight w:val="0"/>
                      <w:marTop w:val="0"/>
                      <w:marBottom w:val="0"/>
                      <w:divBdr>
                        <w:top w:val="none" w:sz="0" w:space="0" w:color="auto"/>
                        <w:left w:val="none" w:sz="0" w:space="0" w:color="auto"/>
                        <w:bottom w:val="none" w:sz="0" w:space="0" w:color="auto"/>
                        <w:right w:val="none" w:sz="0" w:space="0" w:color="auto"/>
                      </w:divBdr>
                      <w:divsChild>
                        <w:div w:id="101341510">
                          <w:marLeft w:val="0"/>
                          <w:marRight w:val="0"/>
                          <w:marTop w:val="0"/>
                          <w:marBottom w:val="0"/>
                          <w:divBdr>
                            <w:top w:val="none" w:sz="0" w:space="0" w:color="auto"/>
                            <w:left w:val="none" w:sz="0" w:space="0" w:color="auto"/>
                            <w:bottom w:val="none" w:sz="0" w:space="0" w:color="auto"/>
                            <w:right w:val="none" w:sz="0" w:space="0" w:color="auto"/>
                          </w:divBdr>
                          <w:divsChild>
                            <w:div w:id="10115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90277">
      <w:bodyDiv w:val="1"/>
      <w:marLeft w:val="0"/>
      <w:marRight w:val="0"/>
      <w:marTop w:val="0"/>
      <w:marBottom w:val="0"/>
      <w:divBdr>
        <w:top w:val="none" w:sz="0" w:space="0" w:color="auto"/>
        <w:left w:val="none" w:sz="0" w:space="0" w:color="auto"/>
        <w:bottom w:val="none" w:sz="0" w:space="0" w:color="auto"/>
        <w:right w:val="none" w:sz="0" w:space="0" w:color="auto"/>
      </w:divBdr>
    </w:div>
    <w:div w:id="712919972">
      <w:bodyDiv w:val="1"/>
      <w:marLeft w:val="0"/>
      <w:marRight w:val="0"/>
      <w:marTop w:val="0"/>
      <w:marBottom w:val="0"/>
      <w:divBdr>
        <w:top w:val="none" w:sz="0" w:space="0" w:color="auto"/>
        <w:left w:val="none" w:sz="0" w:space="0" w:color="auto"/>
        <w:bottom w:val="none" w:sz="0" w:space="0" w:color="auto"/>
        <w:right w:val="none" w:sz="0" w:space="0" w:color="auto"/>
      </w:divBdr>
    </w:div>
    <w:div w:id="723456344">
      <w:bodyDiv w:val="1"/>
      <w:marLeft w:val="0"/>
      <w:marRight w:val="0"/>
      <w:marTop w:val="0"/>
      <w:marBottom w:val="0"/>
      <w:divBdr>
        <w:top w:val="none" w:sz="0" w:space="0" w:color="auto"/>
        <w:left w:val="none" w:sz="0" w:space="0" w:color="auto"/>
        <w:bottom w:val="none" w:sz="0" w:space="0" w:color="auto"/>
        <w:right w:val="none" w:sz="0" w:space="0" w:color="auto"/>
      </w:divBdr>
      <w:divsChild>
        <w:div w:id="603532993">
          <w:marLeft w:val="0"/>
          <w:marRight w:val="0"/>
          <w:marTop w:val="0"/>
          <w:marBottom w:val="0"/>
          <w:divBdr>
            <w:top w:val="none" w:sz="0" w:space="0" w:color="auto"/>
            <w:left w:val="none" w:sz="0" w:space="0" w:color="auto"/>
            <w:bottom w:val="none" w:sz="0" w:space="0" w:color="auto"/>
            <w:right w:val="none" w:sz="0" w:space="0" w:color="auto"/>
          </w:divBdr>
          <w:divsChild>
            <w:div w:id="758910467">
              <w:marLeft w:val="0"/>
              <w:marRight w:val="0"/>
              <w:marTop w:val="0"/>
              <w:marBottom w:val="0"/>
              <w:divBdr>
                <w:top w:val="none" w:sz="0" w:space="0" w:color="auto"/>
                <w:left w:val="none" w:sz="0" w:space="0" w:color="auto"/>
                <w:bottom w:val="none" w:sz="0" w:space="0" w:color="auto"/>
                <w:right w:val="none" w:sz="0" w:space="0" w:color="auto"/>
              </w:divBdr>
              <w:divsChild>
                <w:div w:id="1170950220">
                  <w:marLeft w:val="0"/>
                  <w:marRight w:val="0"/>
                  <w:marTop w:val="0"/>
                  <w:marBottom w:val="0"/>
                  <w:divBdr>
                    <w:top w:val="none" w:sz="0" w:space="0" w:color="auto"/>
                    <w:left w:val="none" w:sz="0" w:space="0" w:color="auto"/>
                    <w:bottom w:val="none" w:sz="0" w:space="0" w:color="auto"/>
                    <w:right w:val="none" w:sz="0" w:space="0" w:color="auto"/>
                  </w:divBdr>
                  <w:divsChild>
                    <w:div w:id="164251087">
                      <w:marLeft w:val="0"/>
                      <w:marRight w:val="0"/>
                      <w:marTop w:val="0"/>
                      <w:marBottom w:val="0"/>
                      <w:divBdr>
                        <w:top w:val="none" w:sz="0" w:space="0" w:color="auto"/>
                        <w:left w:val="none" w:sz="0" w:space="0" w:color="auto"/>
                        <w:bottom w:val="none" w:sz="0" w:space="0" w:color="auto"/>
                        <w:right w:val="none" w:sz="0" w:space="0" w:color="auto"/>
                      </w:divBdr>
                      <w:divsChild>
                        <w:div w:id="711006083">
                          <w:marLeft w:val="0"/>
                          <w:marRight w:val="0"/>
                          <w:marTop w:val="0"/>
                          <w:marBottom w:val="0"/>
                          <w:divBdr>
                            <w:top w:val="none" w:sz="0" w:space="0" w:color="auto"/>
                            <w:left w:val="none" w:sz="0" w:space="0" w:color="auto"/>
                            <w:bottom w:val="none" w:sz="0" w:space="0" w:color="auto"/>
                            <w:right w:val="none" w:sz="0" w:space="0" w:color="auto"/>
                          </w:divBdr>
                          <w:divsChild>
                            <w:div w:id="16001359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144789">
      <w:bodyDiv w:val="1"/>
      <w:marLeft w:val="0"/>
      <w:marRight w:val="0"/>
      <w:marTop w:val="0"/>
      <w:marBottom w:val="0"/>
      <w:divBdr>
        <w:top w:val="none" w:sz="0" w:space="0" w:color="auto"/>
        <w:left w:val="none" w:sz="0" w:space="0" w:color="auto"/>
        <w:bottom w:val="none" w:sz="0" w:space="0" w:color="auto"/>
        <w:right w:val="none" w:sz="0" w:space="0" w:color="auto"/>
      </w:divBdr>
    </w:div>
    <w:div w:id="745877398">
      <w:bodyDiv w:val="1"/>
      <w:marLeft w:val="0"/>
      <w:marRight w:val="0"/>
      <w:marTop w:val="0"/>
      <w:marBottom w:val="0"/>
      <w:divBdr>
        <w:top w:val="none" w:sz="0" w:space="0" w:color="auto"/>
        <w:left w:val="none" w:sz="0" w:space="0" w:color="auto"/>
        <w:bottom w:val="none" w:sz="0" w:space="0" w:color="auto"/>
        <w:right w:val="none" w:sz="0" w:space="0" w:color="auto"/>
      </w:divBdr>
    </w:div>
    <w:div w:id="752094894">
      <w:bodyDiv w:val="1"/>
      <w:marLeft w:val="0"/>
      <w:marRight w:val="0"/>
      <w:marTop w:val="0"/>
      <w:marBottom w:val="0"/>
      <w:divBdr>
        <w:top w:val="none" w:sz="0" w:space="0" w:color="auto"/>
        <w:left w:val="none" w:sz="0" w:space="0" w:color="auto"/>
        <w:bottom w:val="none" w:sz="0" w:space="0" w:color="auto"/>
        <w:right w:val="none" w:sz="0" w:space="0" w:color="auto"/>
      </w:divBdr>
    </w:div>
    <w:div w:id="768892006">
      <w:bodyDiv w:val="1"/>
      <w:marLeft w:val="0"/>
      <w:marRight w:val="0"/>
      <w:marTop w:val="0"/>
      <w:marBottom w:val="0"/>
      <w:divBdr>
        <w:top w:val="none" w:sz="0" w:space="0" w:color="auto"/>
        <w:left w:val="none" w:sz="0" w:space="0" w:color="auto"/>
        <w:bottom w:val="none" w:sz="0" w:space="0" w:color="auto"/>
        <w:right w:val="none" w:sz="0" w:space="0" w:color="auto"/>
      </w:divBdr>
    </w:div>
    <w:div w:id="773786976">
      <w:bodyDiv w:val="1"/>
      <w:marLeft w:val="0"/>
      <w:marRight w:val="0"/>
      <w:marTop w:val="0"/>
      <w:marBottom w:val="0"/>
      <w:divBdr>
        <w:top w:val="none" w:sz="0" w:space="0" w:color="auto"/>
        <w:left w:val="none" w:sz="0" w:space="0" w:color="auto"/>
        <w:bottom w:val="none" w:sz="0" w:space="0" w:color="auto"/>
        <w:right w:val="none" w:sz="0" w:space="0" w:color="auto"/>
      </w:divBdr>
      <w:divsChild>
        <w:div w:id="1145509417">
          <w:marLeft w:val="0"/>
          <w:marRight w:val="0"/>
          <w:marTop w:val="0"/>
          <w:marBottom w:val="0"/>
          <w:divBdr>
            <w:top w:val="none" w:sz="0" w:space="0" w:color="auto"/>
            <w:left w:val="none" w:sz="0" w:space="0" w:color="auto"/>
            <w:bottom w:val="none" w:sz="0" w:space="0" w:color="auto"/>
            <w:right w:val="none" w:sz="0" w:space="0" w:color="auto"/>
          </w:divBdr>
          <w:divsChild>
            <w:div w:id="679238304">
              <w:marLeft w:val="0"/>
              <w:marRight w:val="0"/>
              <w:marTop w:val="0"/>
              <w:marBottom w:val="0"/>
              <w:divBdr>
                <w:top w:val="none" w:sz="0" w:space="0" w:color="auto"/>
                <w:left w:val="none" w:sz="0" w:space="0" w:color="auto"/>
                <w:bottom w:val="none" w:sz="0" w:space="0" w:color="auto"/>
                <w:right w:val="none" w:sz="0" w:space="0" w:color="auto"/>
              </w:divBdr>
              <w:divsChild>
                <w:div w:id="1347294043">
                  <w:marLeft w:val="0"/>
                  <w:marRight w:val="0"/>
                  <w:marTop w:val="0"/>
                  <w:marBottom w:val="0"/>
                  <w:divBdr>
                    <w:top w:val="none" w:sz="0" w:space="0" w:color="auto"/>
                    <w:left w:val="none" w:sz="0" w:space="0" w:color="auto"/>
                    <w:bottom w:val="none" w:sz="0" w:space="0" w:color="auto"/>
                    <w:right w:val="none" w:sz="0" w:space="0" w:color="auto"/>
                  </w:divBdr>
                  <w:divsChild>
                    <w:div w:id="1793817180">
                      <w:marLeft w:val="0"/>
                      <w:marRight w:val="0"/>
                      <w:marTop w:val="0"/>
                      <w:marBottom w:val="0"/>
                      <w:divBdr>
                        <w:top w:val="none" w:sz="0" w:space="0" w:color="auto"/>
                        <w:left w:val="none" w:sz="0" w:space="0" w:color="auto"/>
                        <w:bottom w:val="none" w:sz="0" w:space="0" w:color="auto"/>
                        <w:right w:val="none" w:sz="0" w:space="0" w:color="auto"/>
                      </w:divBdr>
                      <w:divsChild>
                        <w:div w:id="320158984">
                          <w:marLeft w:val="0"/>
                          <w:marRight w:val="0"/>
                          <w:marTop w:val="0"/>
                          <w:marBottom w:val="0"/>
                          <w:divBdr>
                            <w:top w:val="none" w:sz="0" w:space="0" w:color="auto"/>
                            <w:left w:val="none" w:sz="0" w:space="0" w:color="auto"/>
                            <w:bottom w:val="none" w:sz="0" w:space="0" w:color="auto"/>
                            <w:right w:val="none" w:sz="0" w:space="0" w:color="auto"/>
                          </w:divBdr>
                          <w:divsChild>
                            <w:div w:id="300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383488">
      <w:bodyDiv w:val="1"/>
      <w:marLeft w:val="0"/>
      <w:marRight w:val="0"/>
      <w:marTop w:val="0"/>
      <w:marBottom w:val="0"/>
      <w:divBdr>
        <w:top w:val="none" w:sz="0" w:space="0" w:color="auto"/>
        <w:left w:val="none" w:sz="0" w:space="0" w:color="auto"/>
        <w:bottom w:val="none" w:sz="0" w:space="0" w:color="auto"/>
        <w:right w:val="none" w:sz="0" w:space="0" w:color="auto"/>
      </w:divBdr>
      <w:divsChild>
        <w:div w:id="1261797029">
          <w:marLeft w:val="850"/>
          <w:marRight w:val="0"/>
          <w:marTop w:val="72"/>
          <w:marBottom w:val="0"/>
          <w:divBdr>
            <w:top w:val="none" w:sz="0" w:space="0" w:color="auto"/>
            <w:left w:val="none" w:sz="0" w:space="0" w:color="auto"/>
            <w:bottom w:val="none" w:sz="0" w:space="0" w:color="auto"/>
            <w:right w:val="none" w:sz="0" w:space="0" w:color="auto"/>
          </w:divBdr>
        </w:div>
      </w:divsChild>
    </w:div>
    <w:div w:id="798954435">
      <w:bodyDiv w:val="1"/>
      <w:marLeft w:val="0"/>
      <w:marRight w:val="0"/>
      <w:marTop w:val="0"/>
      <w:marBottom w:val="0"/>
      <w:divBdr>
        <w:top w:val="none" w:sz="0" w:space="0" w:color="auto"/>
        <w:left w:val="none" w:sz="0" w:space="0" w:color="auto"/>
        <w:bottom w:val="none" w:sz="0" w:space="0" w:color="auto"/>
        <w:right w:val="none" w:sz="0" w:space="0" w:color="auto"/>
      </w:divBdr>
    </w:div>
    <w:div w:id="832260529">
      <w:bodyDiv w:val="1"/>
      <w:marLeft w:val="0"/>
      <w:marRight w:val="0"/>
      <w:marTop w:val="0"/>
      <w:marBottom w:val="0"/>
      <w:divBdr>
        <w:top w:val="none" w:sz="0" w:space="0" w:color="auto"/>
        <w:left w:val="none" w:sz="0" w:space="0" w:color="auto"/>
        <w:bottom w:val="none" w:sz="0" w:space="0" w:color="auto"/>
        <w:right w:val="none" w:sz="0" w:space="0" w:color="auto"/>
      </w:divBdr>
      <w:divsChild>
        <w:div w:id="2109766693">
          <w:marLeft w:val="0"/>
          <w:marRight w:val="0"/>
          <w:marTop w:val="0"/>
          <w:marBottom w:val="0"/>
          <w:divBdr>
            <w:top w:val="none" w:sz="0" w:space="0" w:color="auto"/>
            <w:left w:val="none" w:sz="0" w:space="0" w:color="auto"/>
            <w:bottom w:val="none" w:sz="0" w:space="0" w:color="auto"/>
            <w:right w:val="none" w:sz="0" w:space="0" w:color="auto"/>
          </w:divBdr>
          <w:divsChild>
            <w:div w:id="1825077126">
              <w:marLeft w:val="0"/>
              <w:marRight w:val="0"/>
              <w:marTop w:val="0"/>
              <w:marBottom w:val="0"/>
              <w:divBdr>
                <w:top w:val="none" w:sz="0" w:space="0" w:color="auto"/>
                <w:left w:val="none" w:sz="0" w:space="0" w:color="auto"/>
                <w:bottom w:val="none" w:sz="0" w:space="0" w:color="auto"/>
                <w:right w:val="none" w:sz="0" w:space="0" w:color="auto"/>
              </w:divBdr>
              <w:divsChild>
                <w:div w:id="1953247522">
                  <w:marLeft w:val="0"/>
                  <w:marRight w:val="0"/>
                  <w:marTop w:val="0"/>
                  <w:marBottom w:val="0"/>
                  <w:divBdr>
                    <w:top w:val="none" w:sz="0" w:space="0" w:color="auto"/>
                    <w:left w:val="none" w:sz="0" w:space="0" w:color="auto"/>
                    <w:bottom w:val="none" w:sz="0" w:space="0" w:color="auto"/>
                    <w:right w:val="none" w:sz="0" w:space="0" w:color="auto"/>
                  </w:divBdr>
                  <w:divsChild>
                    <w:div w:id="55128741">
                      <w:marLeft w:val="0"/>
                      <w:marRight w:val="0"/>
                      <w:marTop w:val="0"/>
                      <w:marBottom w:val="0"/>
                      <w:divBdr>
                        <w:top w:val="none" w:sz="0" w:space="0" w:color="auto"/>
                        <w:left w:val="none" w:sz="0" w:space="0" w:color="auto"/>
                        <w:bottom w:val="none" w:sz="0" w:space="0" w:color="auto"/>
                        <w:right w:val="none" w:sz="0" w:space="0" w:color="auto"/>
                      </w:divBdr>
                      <w:divsChild>
                        <w:div w:id="1047142439">
                          <w:marLeft w:val="0"/>
                          <w:marRight w:val="0"/>
                          <w:marTop w:val="0"/>
                          <w:marBottom w:val="0"/>
                          <w:divBdr>
                            <w:top w:val="none" w:sz="0" w:space="0" w:color="auto"/>
                            <w:left w:val="none" w:sz="0" w:space="0" w:color="auto"/>
                            <w:bottom w:val="none" w:sz="0" w:space="0" w:color="auto"/>
                            <w:right w:val="none" w:sz="0" w:space="0" w:color="auto"/>
                          </w:divBdr>
                          <w:divsChild>
                            <w:div w:id="21069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580482">
      <w:bodyDiv w:val="1"/>
      <w:marLeft w:val="0"/>
      <w:marRight w:val="0"/>
      <w:marTop w:val="0"/>
      <w:marBottom w:val="0"/>
      <w:divBdr>
        <w:top w:val="none" w:sz="0" w:space="0" w:color="auto"/>
        <w:left w:val="none" w:sz="0" w:space="0" w:color="auto"/>
        <w:bottom w:val="none" w:sz="0" w:space="0" w:color="auto"/>
        <w:right w:val="none" w:sz="0" w:space="0" w:color="auto"/>
      </w:divBdr>
      <w:divsChild>
        <w:div w:id="1532257318">
          <w:marLeft w:val="576"/>
          <w:marRight w:val="0"/>
          <w:marTop w:val="120"/>
          <w:marBottom w:val="0"/>
          <w:divBdr>
            <w:top w:val="none" w:sz="0" w:space="0" w:color="auto"/>
            <w:left w:val="none" w:sz="0" w:space="0" w:color="auto"/>
            <w:bottom w:val="none" w:sz="0" w:space="0" w:color="auto"/>
            <w:right w:val="none" w:sz="0" w:space="0" w:color="auto"/>
          </w:divBdr>
        </w:div>
      </w:divsChild>
    </w:div>
    <w:div w:id="848954696">
      <w:bodyDiv w:val="1"/>
      <w:marLeft w:val="0"/>
      <w:marRight w:val="0"/>
      <w:marTop w:val="0"/>
      <w:marBottom w:val="0"/>
      <w:divBdr>
        <w:top w:val="none" w:sz="0" w:space="0" w:color="auto"/>
        <w:left w:val="none" w:sz="0" w:space="0" w:color="auto"/>
        <w:bottom w:val="none" w:sz="0" w:space="0" w:color="auto"/>
        <w:right w:val="none" w:sz="0" w:space="0" w:color="auto"/>
      </w:divBdr>
      <w:divsChild>
        <w:div w:id="278682919">
          <w:marLeft w:val="0"/>
          <w:marRight w:val="0"/>
          <w:marTop w:val="0"/>
          <w:marBottom w:val="0"/>
          <w:divBdr>
            <w:top w:val="none" w:sz="0" w:space="0" w:color="auto"/>
            <w:left w:val="none" w:sz="0" w:space="0" w:color="auto"/>
            <w:bottom w:val="none" w:sz="0" w:space="0" w:color="auto"/>
            <w:right w:val="none" w:sz="0" w:space="0" w:color="auto"/>
          </w:divBdr>
        </w:div>
      </w:divsChild>
    </w:div>
    <w:div w:id="852917704">
      <w:bodyDiv w:val="1"/>
      <w:marLeft w:val="0"/>
      <w:marRight w:val="0"/>
      <w:marTop w:val="0"/>
      <w:marBottom w:val="0"/>
      <w:divBdr>
        <w:top w:val="none" w:sz="0" w:space="0" w:color="auto"/>
        <w:left w:val="none" w:sz="0" w:space="0" w:color="auto"/>
        <w:bottom w:val="none" w:sz="0" w:space="0" w:color="auto"/>
        <w:right w:val="none" w:sz="0" w:space="0" w:color="auto"/>
      </w:divBdr>
    </w:div>
    <w:div w:id="878082236">
      <w:bodyDiv w:val="1"/>
      <w:marLeft w:val="0"/>
      <w:marRight w:val="0"/>
      <w:marTop w:val="0"/>
      <w:marBottom w:val="0"/>
      <w:divBdr>
        <w:top w:val="none" w:sz="0" w:space="0" w:color="auto"/>
        <w:left w:val="none" w:sz="0" w:space="0" w:color="auto"/>
        <w:bottom w:val="none" w:sz="0" w:space="0" w:color="auto"/>
        <w:right w:val="none" w:sz="0" w:space="0" w:color="auto"/>
      </w:divBdr>
      <w:divsChild>
        <w:div w:id="173033482">
          <w:marLeft w:val="0"/>
          <w:marRight w:val="0"/>
          <w:marTop w:val="0"/>
          <w:marBottom w:val="0"/>
          <w:divBdr>
            <w:top w:val="none" w:sz="0" w:space="0" w:color="auto"/>
            <w:left w:val="none" w:sz="0" w:space="0" w:color="auto"/>
            <w:bottom w:val="none" w:sz="0" w:space="0" w:color="auto"/>
            <w:right w:val="none" w:sz="0" w:space="0" w:color="auto"/>
          </w:divBdr>
          <w:divsChild>
            <w:div w:id="1240166284">
              <w:marLeft w:val="0"/>
              <w:marRight w:val="0"/>
              <w:marTop w:val="0"/>
              <w:marBottom w:val="0"/>
              <w:divBdr>
                <w:top w:val="none" w:sz="0" w:space="0" w:color="auto"/>
                <w:left w:val="none" w:sz="0" w:space="0" w:color="auto"/>
                <w:bottom w:val="none" w:sz="0" w:space="0" w:color="auto"/>
                <w:right w:val="none" w:sz="0" w:space="0" w:color="auto"/>
              </w:divBdr>
              <w:divsChild>
                <w:div w:id="14627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6536">
      <w:bodyDiv w:val="1"/>
      <w:marLeft w:val="0"/>
      <w:marRight w:val="0"/>
      <w:marTop w:val="0"/>
      <w:marBottom w:val="0"/>
      <w:divBdr>
        <w:top w:val="none" w:sz="0" w:space="0" w:color="auto"/>
        <w:left w:val="none" w:sz="0" w:space="0" w:color="auto"/>
        <w:bottom w:val="none" w:sz="0" w:space="0" w:color="auto"/>
        <w:right w:val="none" w:sz="0" w:space="0" w:color="auto"/>
      </w:divBdr>
    </w:div>
    <w:div w:id="890923042">
      <w:bodyDiv w:val="1"/>
      <w:marLeft w:val="0"/>
      <w:marRight w:val="0"/>
      <w:marTop w:val="0"/>
      <w:marBottom w:val="0"/>
      <w:divBdr>
        <w:top w:val="none" w:sz="0" w:space="0" w:color="auto"/>
        <w:left w:val="none" w:sz="0" w:space="0" w:color="auto"/>
        <w:bottom w:val="none" w:sz="0" w:space="0" w:color="auto"/>
        <w:right w:val="none" w:sz="0" w:space="0" w:color="auto"/>
      </w:divBdr>
    </w:div>
    <w:div w:id="907497381">
      <w:bodyDiv w:val="1"/>
      <w:marLeft w:val="0"/>
      <w:marRight w:val="0"/>
      <w:marTop w:val="0"/>
      <w:marBottom w:val="0"/>
      <w:divBdr>
        <w:top w:val="none" w:sz="0" w:space="0" w:color="auto"/>
        <w:left w:val="none" w:sz="0" w:space="0" w:color="auto"/>
        <w:bottom w:val="none" w:sz="0" w:space="0" w:color="auto"/>
        <w:right w:val="none" w:sz="0" w:space="0" w:color="auto"/>
      </w:divBdr>
    </w:div>
    <w:div w:id="921333502">
      <w:bodyDiv w:val="1"/>
      <w:marLeft w:val="0"/>
      <w:marRight w:val="0"/>
      <w:marTop w:val="0"/>
      <w:marBottom w:val="0"/>
      <w:divBdr>
        <w:top w:val="none" w:sz="0" w:space="0" w:color="auto"/>
        <w:left w:val="none" w:sz="0" w:space="0" w:color="auto"/>
        <w:bottom w:val="none" w:sz="0" w:space="0" w:color="auto"/>
        <w:right w:val="none" w:sz="0" w:space="0" w:color="auto"/>
      </w:divBdr>
      <w:divsChild>
        <w:div w:id="1787041431">
          <w:marLeft w:val="0"/>
          <w:marRight w:val="0"/>
          <w:marTop w:val="0"/>
          <w:marBottom w:val="0"/>
          <w:divBdr>
            <w:top w:val="none" w:sz="0" w:space="0" w:color="auto"/>
            <w:left w:val="none" w:sz="0" w:space="0" w:color="auto"/>
            <w:bottom w:val="none" w:sz="0" w:space="0" w:color="auto"/>
            <w:right w:val="none" w:sz="0" w:space="0" w:color="auto"/>
          </w:divBdr>
          <w:divsChild>
            <w:div w:id="1063483376">
              <w:marLeft w:val="0"/>
              <w:marRight w:val="0"/>
              <w:marTop w:val="0"/>
              <w:marBottom w:val="0"/>
              <w:divBdr>
                <w:top w:val="none" w:sz="0" w:space="0" w:color="auto"/>
                <w:left w:val="none" w:sz="0" w:space="0" w:color="auto"/>
                <w:bottom w:val="none" w:sz="0" w:space="0" w:color="auto"/>
                <w:right w:val="none" w:sz="0" w:space="0" w:color="auto"/>
              </w:divBdr>
              <w:divsChild>
                <w:div w:id="1170216413">
                  <w:marLeft w:val="0"/>
                  <w:marRight w:val="0"/>
                  <w:marTop w:val="0"/>
                  <w:marBottom w:val="0"/>
                  <w:divBdr>
                    <w:top w:val="none" w:sz="0" w:space="0" w:color="auto"/>
                    <w:left w:val="none" w:sz="0" w:space="0" w:color="auto"/>
                    <w:bottom w:val="none" w:sz="0" w:space="0" w:color="auto"/>
                    <w:right w:val="none" w:sz="0" w:space="0" w:color="auto"/>
                  </w:divBdr>
                  <w:divsChild>
                    <w:div w:id="1331063417">
                      <w:marLeft w:val="0"/>
                      <w:marRight w:val="0"/>
                      <w:marTop w:val="0"/>
                      <w:marBottom w:val="0"/>
                      <w:divBdr>
                        <w:top w:val="none" w:sz="0" w:space="0" w:color="auto"/>
                        <w:left w:val="none" w:sz="0" w:space="0" w:color="auto"/>
                        <w:bottom w:val="none" w:sz="0" w:space="0" w:color="auto"/>
                        <w:right w:val="none" w:sz="0" w:space="0" w:color="auto"/>
                      </w:divBdr>
                      <w:divsChild>
                        <w:div w:id="1486044667">
                          <w:marLeft w:val="0"/>
                          <w:marRight w:val="0"/>
                          <w:marTop w:val="0"/>
                          <w:marBottom w:val="0"/>
                          <w:divBdr>
                            <w:top w:val="none" w:sz="0" w:space="0" w:color="auto"/>
                            <w:left w:val="none" w:sz="0" w:space="0" w:color="auto"/>
                            <w:bottom w:val="none" w:sz="0" w:space="0" w:color="auto"/>
                            <w:right w:val="none" w:sz="0" w:space="0" w:color="auto"/>
                          </w:divBdr>
                          <w:divsChild>
                            <w:div w:id="18718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190945">
      <w:bodyDiv w:val="1"/>
      <w:marLeft w:val="0"/>
      <w:marRight w:val="0"/>
      <w:marTop w:val="0"/>
      <w:marBottom w:val="0"/>
      <w:divBdr>
        <w:top w:val="none" w:sz="0" w:space="0" w:color="auto"/>
        <w:left w:val="none" w:sz="0" w:space="0" w:color="auto"/>
        <w:bottom w:val="none" w:sz="0" w:space="0" w:color="auto"/>
        <w:right w:val="none" w:sz="0" w:space="0" w:color="auto"/>
      </w:divBdr>
    </w:div>
    <w:div w:id="972755804">
      <w:bodyDiv w:val="1"/>
      <w:marLeft w:val="0"/>
      <w:marRight w:val="0"/>
      <w:marTop w:val="0"/>
      <w:marBottom w:val="0"/>
      <w:divBdr>
        <w:top w:val="none" w:sz="0" w:space="0" w:color="auto"/>
        <w:left w:val="none" w:sz="0" w:space="0" w:color="auto"/>
        <w:bottom w:val="none" w:sz="0" w:space="0" w:color="auto"/>
        <w:right w:val="none" w:sz="0" w:space="0" w:color="auto"/>
      </w:divBdr>
    </w:div>
    <w:div w:id="989752492">
      <w:bodyDiv w:val="1"/>
      <w:marLeft w:val="0"/>
      <w:marRight w:val="0"/>
      <w:marTop w:val="0"/>
      <w:marBottom w:val="0"/>
      <w:divBdr>
        <w:top w:val="none" w:sz="0" w:space="0" w:color="auto"/>
        <w:left w:val="none" w:sz="0" w:space="0" w:color="auto"/>
        <w:bottom w:val="none" w:sz="0" w:space="0" w:color="auto"/>
        <w:right w:val="none" w:sz="0" w:space="0" w:color="auto"/>
      </w:divBdr>
    </w:div>
    <w:div w:id="1016615946">
      <w:bodyDiv w:val="1"/>
      <w:marLeft w:val="0"/>
      <w:marRight w:val="0"/>
      <w:marTop w:val="0"/>
      <w:marBottom w:val="0"/>
      <w:divBdr>
        <w:top w:val="none" w:sz="0" w:space="0" w:color="auto"/>
        <w:left w:val="none" w:sz="0" w:space="0" w:color="auto"/>
        <w:bottom w:val="none" w:sz="0" w:space="0" w:color="auto"/>
        <w:right w:val="none" w:sz="0" w:space="0" w:color="auto"/>
      </w:divBdr>
      <w:divsChild>
        <w:div w:id="1777943982">
          <w:marLeft w:val="0"/>
          <w:marRight w:val="0"/>
          <w:marTop w:val="525"/>
          <w:marBottom w:val="0"/>
          <w:divBdr>
            <w:top w:val="none" w:sz="0" w:space="0" w:color="auto"/>
            <w:left w:val="none" w:sz="0" w:space="0" w:color="auto"/>
            <w:bottom w:val="none" w:sz="0" w:space="0" w:color="auto"/>
            <w:right w:val="none" w:sz="0" w:space="0" w:color="auto"/>
          </w:divBdr>
          <w:divsChild>
            <w:div w:id="7860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4498">
      <w:bodyDiv w:val="1"/>
      <w:marLeft w:val="0"/>
      <w:marRight w:val="0"/>
      <w:marTop w:val="0"/>
      <w:marBottom w:val="0"/>
      <w:divBdr>
        <w:top w:val="none" w:sz="0" w:space="0" w:color="auto"/>
        <w:left w:val="none" w:sz="0" w:space="0" w:color="auto"/>
        <w:bottom w:val="none" w:sz="0" w:space="0" w:color="auto"/>
        <w:right w:val="none" w:sz="0" w:space="0" w:color="auto"/>
      </w:divBdr>
      <w:divsChild>
        <w:div w:id="539631149">
          <w:marLeft w:val="0"/>
          <w:marRight w:val="0"/>
          <w:marTop w:val="0"/>
          <w:marBottom w:val="0"/>
          <w:divBdr>
            <w:top w:val="none" w:sz="0" w:space="0" w:color="auto"/>
            <w:left w:val="none" w:sz="0" w:space="0" w:color="auto"/>
            <w:bottom w:val="none" w:sz="0" w:space="0" w:color="auto"/>
            <w:right w:val="none" w:sz="0" w:space="0" w:color="auto"/>
          </w:divBdr>
          <w:divsChild>
            <w:div w:id="1671254276">
              <w:marLeft w:val="0"/>
              <w:marRight w:val="0"/>
              <w:marTop w:val="0"/>
              <w:marBottom w:val="0"/>
              <w:divBdr>
                <w:top w:val="none" w:sz="0" w:space="0" w:color="auto"/>
                <w:left w:val="none" w:sz="0" w:space="0" w:color="auto"/>
                <w:bottom w:val="none" w:sz="0" w:space="0" w:color="auto"/>
                <w:right w:val="none" w:sz="0" w:space="0" w:color="auto"/>
              </w:divBdr>
              <w:divsChild>
                <w:div w:id="1703704487">
                  <w:marLeft w:val="0"/>
                  <w:marRight w:val="0"/>
                  <w:marTop w:val="0"/>
                  <w:marBottom w:val="0"/>
                  <w:divBdr>
                    <w:top w:val="none" w:sz="0" w:space="0" w:color="auto"/>
                    <w:left w:val="none" w:sz="0" w:space="0" w:color="auto"/>
                    <w:bottom w:val="none" w:sz="0" w:space="0" w:color="auto"/>
                    <w:right w:val="none" w:sz="0" w:space="0" w:color="auto"/>
                  </w:divBdr>
                  <w:divsChild>
                    <w:div w:id="418332719">
                      <w:marLeft w:val="0"/>
                      <w:marRight w:val="0"/>
                      <w:marTop w:val="0"/>
                      <w:marBottom w:val="0"/>
                      <w:divBdr>
                        <w:top w:val="none" w:sz="0" w:space="0" w:color="auto"/>
                        <w:left w:val="none" w:sz="0" w:space="0" w:color="auto"/>
                        <w:bottom w:val="none" w:sz="0" w:space="0" w:color="auto"/>
                        <w:right w:val="none" w:sz="0" w:space="0" w:color="auto"/>
                      </w:divBdr>
                      <w:divsChild>
                        <w:div w:id="451870834">
                          <w:marLeft w:val="0"/>
                          <w:marRight w:val="0"/>
                          <w:marTop w:val="0"/>
                          <w:marBottom w:val="0"/>
                          <w:divBdr>
                            <w:top w:val="none" w:sz="0" w:space="0" w:color="auto"/>
                            <w:left w:val="none" w:sz="0" w:space="0" w:color="auto"/>
                            <w:bottom w:val="none" w:sz="0" w:space="0" w:color="auto"/>
                            <w:right w:val="none" w:sz="0" w:space="0" w:color="auto"/>
                          </w:divBdr>
                          <w:divsChild>
                            <w:div w:id="13602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49326">
      <w:bodyDiv w:val="1"/>
      <w:marLeft w:val="0"/>
      <w:marRight w:val="0"/>
      <w:marTop w:val="0"/>
      <w:marBottom w:val="0"/>
      <w:divBdr>
        <w:top w:val="none" w:sz="0" w:space="0" w:color="auto"/>
        <w:left w:val="none" w:sz="0" w:space="0" w:color="auto"/>
        <w:bottom w:val="none" w:sz="0" w:space="0" w:color="auto"/>
        <w:right w:val="none" w:sz="0" w:space="0" w:color="auto"/>
      </w:divBdr>
    </w:div>
    <w:div w:id="1049762522">
      <w:bodyDiv w:val="1"/>
      <w:marLeft w:val="0"/>
      <w:marRight w:val="0"/>
      <w:marTop w:val="0"/>
      <w:marBottom w:val="0"/>
      <w:divBdr>
        <w:top w:val="none" w:sz="0" w:space="0" w:color="auto"/>
        <w:left w:val="none" w:sz="0" w:space="0" w:color="auto"/>
        <w:bottom w:val="none" w:sz="0" w:space="0" w:color="auto"/>
        <w:right w:val="none" w:sz="0" w:space="0" w:color="auto"/>
      </w:divBdr>
    </w:div>
    <w:div w:id="1050960736">
      <w:bodyDiv w:val="1"/>
      <w:marLeft w:val="0"/>
      <w:marRight w:val="0"/>
      <w:marTop w:val="0"/>
      <w:marBottom w:val="0"/>
      <w:divBdr>
        <w:top w:val="none" w:sz="0" w:space="0" w:color="auto"/>
        <w:left w:val="none" w:sz="0" w:space="0" w:color="auto"/>
        <w:bottom w:val="none" w:sz="0" w:space="0" w:color="auto"/>
        <w:right w:val="none" w:sz="0" w:space="0" w:color="auto"/>
      </w:divBdr>
      <w:divsChild>
        <w:div w:id="1838036120">
          <w:marLeft w:val="0"/>
          <w:marRight w:val="0"/>
          <w:marTop w:val="0"/>
          <w:marBottom w:val="0"/>
          <w:divBdr>
            <w:top w:val="none" w:sz="0" w:space="0" w:color="auto"/>
            <w:left w:val="none" w:sz="0" w:space="0" w:color="auto"/>
            <w:bottom w:val="none" w:sz="0" w:space="0" w:color="auto"/>
            <w:right w:val="none" w:sz="0" w:space="0" w:color="auto"/>
          </w:divBdr>
          <w:divsChild>
            <w:div w:id="1922596085">
              <w:marLeft w:val="0"/>
              <w:marRight w:val="0"/>
              <w:marTop w:val="0"/>
              <w:marBottom w:val="0"/>
              <w:divBdr>
                <w:top w:val="none" w:sz="0" w:space="0" w:color="auto"/>
                <w:left w:val="none" w:sz="0" w:space="0" w:color="auto"/>
                <w:bottom w:val="none" w:sz="0" w:space="0" w:color="auto"/>
                <w:right w:val="none" w:sz="0" w:space="0" w:color="auto"/>
              </w:divBdr>
              <w:divsChild>
                <w:div w:id="1183595854">
                  <w:marLeft w:val="0"/>
                  <w:marRight w:val="0"/>
                  <w:marTop w:val="0"/>
                  <w:marBottom w:val="0"/>
                  <w:divBdr>
                    <w:top w:val="none" w:sz="0" w:space="0" w:color="auto"/>
                    <w:left w:val="none" w:sz="0" w:space="0" w:color="auto"/>
                    <w:bottom w:val="none" w:sz="0" w:space="0" w:color="auto"/>
                    <w:right w:val="none" w:sz="0" w:space="0" w:color="auto"/>
                  </w:divBdr>
                  <w:divsChild>
                    <w:div w:id="1554385772">
                      <w:marLeft w:val="0"/>
                      <w:marRight w:val="0"/>
                      <w:marTop w:val="0"/>
                      <w:marBottom w:val="0"/>
                      <w:divBdr>
                        <w:top w:val="none" w:sz="0" w:space="0" w:color="auto"/>
                        <w:left w:val="none" w:sz="0" w:space="0" w:color="auto"/>
                        <w:bottom w:val="none" w:sz="0" w:space="0" w:color="auto"/>
                        <w:right w:val="none" w:sz="0" w:space="0" w:color="auto"/>
                      </w:divBdr>
                      <w:divsChild>
                        <w:div w:id="1981375137">
                          <w:marLeft w:val="0"/>
                          <w:marRight w:val="0"/>
                          <w:marTop w:val="0"/>
                          <w:marBottom w:val="0"/>
                          <w:divBdr>
                            <w:top w:val="none" w:sz="0" w:space="0" w:color="auto"/>
                            <w:left w:val="none" w:sz="0" w:space="0" w:color="auto"/>
                            <w:bottom w:val="none" w:sz="0" w:space="0" w:color="auto"/>
                            <w:right w:val="none" w:sz="0" w:space="0" w:color="auto"/>
                          </w:divBdr>
                          <w:divsChild>
                            <w:div w:id="204604599">
                              <w:marLeft w:val="0"/>
                              <w:marRight w:val="0"/>
                              <w:marTop w:val="0"/>
                              <w:marBottom w:val="0"/>
                              <w:divBdr>
                                <w:top w:val="none" w:sz="0" w:space="0" w:color="auto"/>
                                <w:left w:val="none" w:sz="0" w:space="0" w:color="auto"/>
                                <w:bottom w:val="none" w:sz="0" w:space="0" w:color="auto"/>
                                <w:right w:val="none" w:sz="0" w:space="0" w:color="auto"/>
                              </w:divBdr>
                              <w:divsChild>
                                <w:div w:id="1552418490">
                                  <w:marLeft w:val="0"/>
                                  <w:marRight w:val="0"/>
                                  <w:marTop w:val="0"/>
                                  <w:marBottom w:val="0"/>
                                  <w:divBdr>
                                    <w:top w:val="none" w:sz="0" w:space="0" w:color="auto"/>
                                    <w:left w:val="none" w:sz="0" w:space="0" w:color="auto"/>
                                    <w:bottom w:val="none" w:sz="0" w:space="0" w:color="auto"/>
                                    <w:right w:val="none" w:sz="0" w:space="0" w:color="auto"/>
                                  </w:divBdr>
                                  <w:divsChild>
                                    <w:div w:id="1438021402">
                                      <w:marLeft w:val="0"/>
                                      <w:marRight w:val="0"/>
                                      <w:marTop w:val="0"/>
                                      <w:marBottom w:val="0"/>
                                      <w:divBdr>
                                        <w:top w:val="none" w:sz="0" w:space="0" w:color="auto"/>
                                        <w:left w:val="none" w:sz="0" w:space="0" w:color="auto"/>
                                        <w:bottom w:val="none" w:sz="0" w:space="0" w:color="auto"/>
                                        <w:right w:val="none" w:sz="0" w:space="0" w:color="auto"/>
                                      </w:divBdr>
                                      <w:divsChild>
                                        <w:div w:id="2092657063">
                                          <w:marLeft w:val="0"/>
                                          <w:marRight w:val="0"/>
                                          <w:marTop w:val="0"/>
                                          <w:marBottom w:val="0"/>
                                          <w:divBdr>
                                            <w:top w:val="none" w:sz="0" w:space="0" w:color="auto"/>
                                            <w:left w:val="none" w:sz="0" w:space="0" w:color="auto"/>
                                            <w:bottom w:val="none" w:sz="0" w:space="0" w:color="auto"/>
                                            <w:right w:val="none" w:sz="0" w:space="0" w:color="auto"/>
                                          </w:divBdr>
                                          <w:divsChild>
                                            <w:div w:id="1978144579">
                                              <w:marLeft w:val="0"/>
                                              <w:marRight w:val="0"/>
                                              <w:marTop w:val="0"/>
                                              <w:marBottom w:val="0"/>
                                              <w:divBdr>
                                                <w:top w:val="none" w:sz="0" w:space="0" w:color="auto"/>
                                                <w:left w:val="none" w:sz="0" w:space="0" w:color="auto"/>
                                                <w:bottom w:val="none" w:sz="0" w:space="0" w:color="auto"/>
                                                <w:right w:val="none" w:sz="0" w:space="0" w:color="auto"/>
                                              </w:divBdr>
                                              <w:divsChild>
                                                <w:div w:id="331563432">
                                                  <w:marLeft w:val="0"/>
                                                  <w:marRight w:val="0"/>
                                                  <w:marTop w:val="0"/>
                                                  <w:marBottom w:val="0"/>
                                                  <w:divBdr>
                                                    <w:top w:val="none" w:sz="0" w:space="0" w:color="auto"/>
                                                    <w:left w:val="none" w:sz="0" w:space="0" w:color="auto"/>
                                                    <w:bottom w:val="none" w:sz="0" w:space="0" w:color="auto"/>
                                                    <w:right w:val="none" w:sz="0" w:space="0" w:color="auto"/>
                                                  </w:divBdr>
                                                  <w:divsChild>
                                                    <w:div w:id="4532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131092">
      <w:bodyDiv w:val="1"/>
      <w:marLeft w:val="0"/>
      <w:marRight w:val="0"/>
      <w:marTop w:val="0"/>
      <w:marBottom w:val="0"/>
      <w:divBdr>
        <w:top w:val="none" w:sz="0" w:space="0" w:color="auto"/>
        <w:left w:val="none" w:sz="0" w:space="0" w:color="auto"/>
        <w:bottom w:val="none" w:sz="0" w:space="0" w:color="auto"/>
        <w:right w:val="none" w:sz="0" w:space="0" w:color="auto"/>
      </w:divBdr>
      <w:divsChild>
        <w:div w:id="1986012558">
          <w:marLeft w:val="0"/>
          <w:marRight w:val="0"/>
          <w:marTop w:val="0"/>
          <w:marBottom w:val="0"/>
          <w:divBdr>
            <w:top w:val="none" w:sz="0" w:space="0" w:color="auto"/>
            <w:left w:val="none" w:sz="0" w:space="0" w:color="auto"/>
            <w:bottom w:val="none" w:sz="0" w:space="0" w:color="auto"/>
            <w:right w:val="none" w:sz="0" w:space="0" w:color="auto"/>
          </w:divBdr>
          <w:divsChild>
            <w:div w:id="1418794976">
              <w:marLeft w:val="0"/>
              <w:marRight w:val="0"/>
              <w:marTop w:val="0"/>
              <w:marBottom w:val="0"/>
              <w:divBdr>
                <w:top w:val="none" w:sz="0" w:space="0" w:color="auto"/>
                <w:left w:val="none" w:sz="0" w:space="0" w:color="auto"/>
                <w:bottom w:val="none" w:sz="0" w:space="0" w:color="auto"/>
                <w:right w:val="none" w:sz="0" w:space="0" w:color="auto"/>
              </w:divBdr>
              <w:divsChild>
                <w:div w:id="2118718724">
                  <w:marLeft w:val="0"/>
                  <w:marRight w:val="0"/>
                  <w:marTop w:val="0"/>
                  <w:marBottom w:val="0"/>
                  <w:divBdr>
                    <w:top w:val="none" w:sz="0" w:space="0" w:color="auto"/>
                    <w:left w:val="none" w:sz="0" w:space="0" w:color="auto"/>
                    <w:bottom w:val="none" w:sz="0" w:space="0" w:color="auto"/>
                    <w:right w:val="none" w:sz="0" w:space="0" w:color="auto"/>
                  </w:divBdr>
                  <w:divsChild>
                    <w:div w:id="552472043">
                      <w:marLeft w:val="0"/>
                      <w:marRight w:val="0"/>
                      <w:marTop w:val="0"/>
                      <w:marBottom w:val="0"/>
                      <w:divBdr>
                        <w:top w:val="none" w:sz="0" w:space="0" w:color="auto"/>
                        <w:left w:val="none" w:sz="0" w:space="0" w:color="auto"/>
                        <w:bottom w:val="none" w:sz="0" w:space="0" w:color="auto"/>
                        <w:right w:val="none" w:sz="0" w:space="0" w:color="auto"/>
                      </w:divBdr>
                      <w:divsChild>
                        <w:div w:id="1683051947">
                          <w:marLeft w:val="0"/>
                          <w:marRight w:val="0"/>
                          <w:marTop w:val="0"/>
                          <w:marBottom w:val="0"/>
                          <w:divBdr>
                            <w:top w:val="none" w:sz="0" w:space="0" w:color="auto"/>
                            <w:left w:val="none" w:sz="0" w:space="0" w:color="auto"/>
                            <w:bottom w:val="none" w:sz="0" w:space="0" w:color="auto"/>
                            <w:right w:val="none" w:sz="0" w:space="0" w:color="auto"/>
                          </w:divBdr>
                          <w:divsChild>
                            <w:div w:id="11810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252084">
      <w:bodyDiv w:val="1"/>
      <w:marLeft w:val="0"/>
      <w:marRight w:val="0"/>
      <w:marTop w:val="0"/>
      <w:marBottom w:val="0"/>
      <w:divBdr>
        <w:top w:val="none" w:sz="0" w:space="0" w:color="auto"/>
        <w:left w:val="none" w:sz="0" w:space="0" w:color="auto"/>
        <w:bottom w:val="none" w:sz="0" w:space="0" w:color="auto"/>
        <w:right w:val="none" w:sz="0" w:space="0" w:color="auto"/>
      </w:divBdr>
      <w:divsChild>
        <w:div w:id="728923503">
          <w:marLeft w:val="0"/>
          <w:marRight w:val="0"/>
          <w:marTop w:val="0"/>
          <w:marBottom w:val="0"/>
          <w:divBdr>
            <w:top w:val="none" w:sz="0" w:space="0" w:color="auto"/>
            <w:left w:val="none" w:sz="0" w:space="0" w:color="auto"/>
            <w:bottom w:val="none" w:sz="0" w:space="0" w:color="auto"/>
            <w:right w:val="none" w:sz="0" w:space="0" w:color="auto"/>
          </w:divBdr>
          <w:divsChild>
            <w:div w:id="362560861">
              <w:marLeft w:val="0"/>
              <w:marRight w:val="0"/>
              <w:marTop w:val="0"/>
              <w:marBottom w:val="0"/>
              <w:divBdr>
                <w:top w:val="none" w:sz="0" w:space="0" w:color="auto"/>
                <w:left w:val="none" w:sz="0" w:space="0" w:color="auto"/>
                <w:bottom w:val="none" w:sz="0" w:space="0" w:color="auto"/>
                <w:right w:val="none" w:sz="0" w:space="0" w:color="auto"/>
              </w:divBdr>
              <w:divsChild>
                <w:div w:id="1993286235">
                  <w:marLeft w:val="0"/>
                  <w:marRight w:val="0"/>
                  <w:marTop w:val="0"/>
                  <w:marBottom w:val="0"/>
                  <w:divBdr>
                    <w:top w:val="none" w:sz="0" w:space="0" w:color="auto"/>
                    <w:left w:val="none" w:sz="0" w:space="0" w:color="auto"/>
                    <w:bottom w:val="none" w:sz="0" w:space="0" w:color="auto"/>
                    <w:right w:val="none" w:sz="0" w:space="0" w:color="auto"/>
                  </w:divBdr>
                  <w:divsChild>
                    <w:div w:id="959460048">
                      <w:marLeft w:val="0"/>
                      <w:marRight w:val="0"/>
                      <w:marTop w:val="0"/>
                      <w:marBottom w:val="0"/>
                      <w:divBdr>
                        <w:top w:val="none" w:sz="0" w:space="0" w:color="auto"/>
                        <w:left w:val="none" w:sz="0" w:space="0" w:color="auto"/>
                        <w:bottom w:val="none" w:sz="0" w:space="0" w:color="auto"/>
                        <w:right w:val="none" w:sz="0" w:space="0" w:color="auto"/>
                      </w:divBdr>
                      <w:divsChild>
                        <w:div w:id="840698705">
                          <w:marLeft w:val="0"/>
                          <w:marRight w:val="0"/>
                          <w:marTop w:val="0"/>
                          <w:marBottom w:val="0"/>
                          <w:divBdr>
                            <w:top w:val="none" w:sz="0" w:space="0" w:color="auto"/>
                            <w:left w:val="none" w:sz="0" w:space="0" w:color="auto"/>
                            <w:bottom w:val="none" w:sz="0" w:space="0" w:color="auto"/>
                            <w:right w:val="none" w:sz="0" w:space="0" w:color="auto"/>
                          </w:divBdr>
                          <w:divsChild>
                            <w:div w:id="14496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84812">
      <w:bodyDiv w:val="1"/>
      <w:marLeft w:val="0"/>
      <w:marRight w:val="0"/>
      <w:marTop w:val="0"/>
      <w:marBottom w:val="0"/>
      <w:divBdr>
        <w:top w:val="none" w:sz="0" w:space="0" w:color="auto"/>
        <w:left w:val="none" w:sz="0" w:space="0" w:color="auto"/>
        <w:bottom w:val="none" w:sz="0" w:space="0" w:color="auto"/>
        <w:right w:val="none" w:sz="0" w:space="0" w:color="auto"/>
      </w:divBdr>
      <w:divsChild>
        <w:div w:id="1811482666">
          <w:marLeft w:val="0"/>
          <w:marRight w:val="0"/>
          <w:marTop w:val="0"/>
          <w:marBottom w:val="0"/>
          <w:divBdr>
            <w:top w:val="none" w:sz="0" w:space="0" w:color="auto"/>
            <w:left w:val="none" w:sz="0" w:space="0" w:color="auto"/>
            <w:bottom w:val="none" w:sz="0" w:space="0" w:color="auto"/>
            <w:right w:val="none" w:sz="0" w:space="0" w:color="auto"/>
          </w:divBdr>
          <w:divsChild>
            <w:div w:id="708146887">
              <w:marLeft w:val="0"/>
              <w:marRight w:val="0"/>
              <w:marTop w:val="0"/>
              <w:marBottom w:val="0"/>
              <w:divBdr>
                <w:top w:val="none" w:sz="0" w:space="0" w:color="auto"/>
                <w:left w:val="none" w:sz="0" w:space="0" w:color="auto"/>
                <w:bottom w:val="none" w:sz="0" w:space="0" w:color="auto"/>
                <w:right w:val="none" w:sz="0" w:space="0" w:color="auto"/>
              </w:divBdr>
              <w:divsChild>
                <w:div w:id="338967530">
                  <w:marLeft w:val="0"/>
                  <w:marRight w:val="0"/>
                  <w:marTop w:val="0"/>
                  <w:marBottom w:val="0"/>
                  <w:divBdr>
                    <w:top w:val="none" w:sz="0" w:space="0" w:color="auto"/>
                    <w:left w:val="none" w:sz="0" w:space="0" w:color="auto"/>
                    <w:bottom w:val="none" w:sz="0" w:space="0" w:color="auto"/>
                    <w:right w:val="none" w:sz="0" w:space="0" w:color="auto"/>
                  </w:divBdr>
                  <w:divsChild>
                    <w:div w:id="1112473607">
                      <w:marLeft w:val="0"/>
                      <w:marRight w:val="0"/>
                      <w:marTop w:val="0"/>
                      <w:marBottom w:val="0"/>
                      <w:divBdr>
                        <w:top w:val="none" w:sz="0" w:space="0" w:color="auto"/>
                        <w:left w:val="none" w:sz="0" w:space="0" w:color="auto"/>
                        <w:bottom w:val="none" w:sz="0" w:space="0" w:color="auto"/>
                        <w:right w:val="none" w:sz="0" w:space="0" w:color="auto"/>
                      </w:divBdr>
                      <w:divsChild>
                        <w:div w:id="761417138">
                          <w:marLeft w:val="0"/>
                          <w:marRight w:val="0"/>
                          <w:marTop w:val="0"/>
                          <w:marBottom w:val="0"/>
                          <w:divBdr>
                            <w:top w:val="none" w:sz="0" w:space="0" w:color="auto"/>
                            <w:left w:val="none" w:sz="0" w:space="0" w:color="auto"/>
                            <w:bottom w:val="none" w:sz="0" w:space="0" w:color="auto"/>
                            <w:right w:val="none" w:sz="0" w:space="0" w:color="auto"/>
                          </w:divBdr>
                          <w:divsChild>
                            <w:div w:id="4123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193332">
      <w:bodyDiv w:val="1"/>
      <w:marLeft w:val="0"/>
      <w:marRight w:val="0"/>
      <w:marTop w:val="0"/>
      <w:marBottom w:val="0"/>
      <w:divBdr>
        <w:top w:val="none" w:sz="0" w:space="0" w:color="auto"/>
        <w:left w:val="none" w:sz="0" w:space="0" w:color="auto"/>
        <w:bottom w:val="none" w:sz="0" w:space="0" w:color="auto"/>
        <w:right w:val="none" w:sz="0" w:space="0" w:color="auto"/>
      </w:divBdr>
    </w:div>
    <w:div w:id="1183131476">
      <w:bodyDiv w:val="1"/>
      <w:marLeft w:val="0"/>
      <w:marRight w:val="0"/>
      <w:marTop w:val="0"/>
      <w:marBottom w:val="0"/>
      <w:divBdr>
        <w:top w:val="none" w:sz="0" w:space="0" w:color="auto"/>
        <w:left w:val="none" w:sz="0" w:space="0" w:color="auto"/>
        <w:bottom w:val="none" w:sz="0" w:space="0" w:color="auto"/>
        <w:right w:val="none" w:sz="0" w:space="0" w:color="auto"/>
      </w:divBdr>
    </w:div>
    <w:div w:id="1226449508">
      <w:bodyDiv w:val="1"/>
      <w:marLeft w:val="0"/>
      <w:marRight w:val="0"/>
      <w:marTop w:val="0"/>
      <w:marBottom w:val="0"/>
      <w:divBdr>
        <w:top w:val="none" w:sz="0" w:space="0" w:color="auto"/>
        <w:left w:val="none" w:sz="0" w:space="0" w:color="auto"/>
        <w:bottom w:val="none" w:sz="0" w:space="0" w:color="auto"/>
        <w:right w:val="none" w:sz="0" w:space="0" w:color="auto"/>
      </w:divBdr>
      <w:divsChild>
        <w:div w:id="300698581">
          <w:marLeft w:val="0"/>
          <w:marRight w:val="0"/>
          <w:marTop w:val="0"/>
          <w:marBottom w:val="0"/>
          <w:divBdr>
            <w:top w:val="none" w:sz="0" w:space="0" w:color="auto"/>
            <w:left w:val="none" w:sz="0" w:space="0" w:color="auto"/>
            <w:bottom w:val="none" w:sz="0" w:space="0" w:color="auto"/>
            <w:right w:val="none" w:sz="0" w:space="0" w:color="auto"/>
          </w:divBdr>
          <w:divsChild>
            <w:div w:id="403992140">
              <w:marLeft w:val="0"/>
              <w:marRight w:val="0"/>
              <w:marTop w:val="0"/>
              <w:marBottom w:val="0"/>
              <w:divBdr>
                <w:top w:val="none" w:sz="0" w:space="0" w:color="auto"/>
                <w:left w:val="none" w:sz="0" w:space="0" w:color="auto"/>
                <w:bottom w:val="none" w:sz="0" w:space="0" w:color="auto"/>
                <w:right w:val="none" w:sz="0" w:space="0" w:color="auto"/>
              </w:divBdr>
              <w:divsChild>
                <w:div w:id="1261991214">
                  <w:marLeft w:val="0"/>
                  <w:marRight w:val="0"/>
                  <w:marTop w:val="0"/>
                  <w:marBottom w:val="0"/>
                  <w:divBdr>
                    <w:top w:val="none" w:sz="0" w:space="0" w:color="auto"/>
                    <w:left w:val="none" w:sz="0" w:space="0" w:color="auto"/>
                    <w:bottom w:val="none" w:sz="0" w:space="0" w:color="auto"/>
                    <w:right w:val="none" w:sz="0" w:space="0" w:color="auto"/>
                  </w:divBdr>
                  <w:divsChild>
                    <w:div w:id="622810627">
                      <w:marLeft w:val="0"/>
                      <w:marRight w:val="0"/>
                      <w:marTop w:val="0"/>
                      <w:marBottom w:val="0"/>
                      <w:divBdr>
                        <w:top w:val="none" w:sz="0" w:space="0" w:color="auto"/>
                        <w:left w:val="none" w:sz="0" w:space="0" w:color="auto"/>
                        <w:bottom w:val="none" w:sz="0" w:space="0" w:color="auto"/>
                        <w:right w:val="none" w:sz="0" w:space="0" w:color="auto"/>
                      </w:divBdr>
                      <w:divsChild>
                        <w:div w:id="885096067">
                          <w:marLeft w:val="0"/>
                          <w:marRight w:val="0"/>
                          <w:marTop w:val="0"/>
                          <w:marBottom w:val="0"/>
                          <w:divBdr>
                            <w:top w:val="none" w:sz="0" w:space="0" w:color="auto"/>
                            <w:left w:val="none" w:sz="0" w:space="0" w:color="auto"/>
                            <w:bottom w:val="none" w:sz="0" w:space="0" w:color="auto"/>
                            <w:right w:val="none" w:sz="0" w:space="0" w:color="auto"/>
                          </w:divBdr>
                          <w:divsChild>
                            <w:div w:id="146206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7884">
      <w:bodyDiv w:val="1"/>
      <w:marLeft w:val="0"/>
      <w:marRight w:val="0"/>
      <w:marTop w:val="0"/>
      <w:marBottom w:val="0"/>
      <w:divBdr>
        <w:top w:val="none" w:sz="0" w:space="0" w:color="auto"/>
        <w:left w:val="none" w:sz="0" w:space="0" w:color="auto"/>
        <w:bottom w:val="none" w:sz="0" w:space="0" w:color="auto"/>
        <w:right w:val="none" w:sz="0" w:space="0" w:color="auto"/>
      </w:divBdr>
    </w:div>
    <w:div w:id="1230650729">
      <w:bodyDiv w:val="1"/>
      <w:marLeft w:val="0"/>
      <w:marRight w:val="0"/>
      <w:marTop w:val="0"/>
      <w:marBottom w:val="0"/>
      <w:divBdr>
        <w:top w:val="none" w:sz="0" w:space="0" w:color="auto"/>
        <w:left w:val="none" w:sz="0" w:space="0" w:color="auto"/>
        <w:bottom w:val="none" w:sz="0" w:space="0" w:color="auto"/>
        <w:right w:val="none" w:sz="0" w:space="0" w:color="auto"/>
      </w:divBdr>
    </w:div>
    <w:div w:id="1257130354">
      <w:bodyDiv w:val="1"/>
      <w:marLeft w:val="0"/>
      <w:marRight w:val="0"/>
      <w:marTop w:val="0"/>
      <w:marBottom w:val="0"/>
      <w:divBdr>
        <w:top w:val="none" w:sz="0" w:space="0" w:color="auto"/>
        <w:left w:val="none" w:sz="0" w:space="0" w:color="auto"/>
        <w:bottom w:val="none" w:sz="0" w:space="0" w:color="auto"/>
        <w:right w:val="none" w:sz="0" w:space="0" w:color="auto"/>
      </w:divBdr>
    </w:div>
    <w:div w:id="1263027701">
      <w:bodyDiv w:val="1"/>
      <w:marLeft w:val="0"/>
      <w:marRight w:val="0"/>
      <w:marTop w:val="0"/>
      <w:marBottom w:val="0"/>
      <w:divBdr>
        <w:top w:val="none" w:sz="0" w:space="0" w:color="auto"/>
        <w:left w:val="none" w:sz="0" w:space="0" w:color="auto"/>
        <w:bottom w:val="none" w:sz="0" w:space="0" w:color="auto"/>
        <w:right w:val="none" w:sz="0" w:space="0" w:color="auto"/>
      </w:divBdr>
      <w:divsChild>
        <w:div w:id="1052462191">
          <w:marLeft w:val="0"/>
          <w:marRight w:val="0"/>
          <w:marTop w:val="0"/>
          <w:marBottom w:val="0"/>
          <w:divBdr>
            <w:top w:val="none" w:sz="0" w:space="0" w:color="auto"/>
            <w:left w:val="none" w:sz="0" w:space="0" w:color="auto"/>
            <w:bottom w:val="none" w:sz="0" w:space="0" w:color="auto"/>
            <w:right w:val="none" w:sz="0" w:space="0" w:color="auto"/>
          </w:divBdr>
          <w:divsChild>
            <w:div w:id="566695602">
              <w:marLeft w:val="0"/>
              <w:marRight w:val="0"/>
              <w:marTop w:val="0"/>
              <w:marBottom w:val="0"/>
              <w:divBdr>
                <w:top w:val="none" w:sz="0" w:space="0" w:color="auto"/>
                <w:left w:val="none" w:sz="0" w:space="0" w:color="auto"/>
                <w:bottom w:val="none" w:sz="0" w:space="0" w:color="auto"/>
                <w:right w:val="none" w:sz="0" w:space="0" w:color="auto"/>
              </w:divBdr>
              <w:divsChild>
                <w:div w:id="1082265115">
                  <w:marLeft w:val="0"/>
                  <w:marRight w:val="0"/>
                  <w:marTop w:val="0"/>
                  <w:marBottom w:val="0"/>
                  <w:divBdr>
                    <w:top w:val="none" w:sz="0" w:space="0" w:color="auto"/>
                    <w:left w:val="none" w:sz="0" w:space="0" w:color="auto"/>
                    <w:bottom w:val="none" w:sz="0" w:space="0" w:color="auto"/>
                    <w:right w:val="none" w:sz="0" w:space="0" w:color="auto"/>
                  </w:divBdr>
                  <w:divsChild>
                    <w:div w:id="908002790">
                      <w:marLeft w:val="0"/>
                      <w:marRight w:val="0"/>
                      <w:marTop w:val="0"/>
                      <w:marBottom w:val="0"/>
                      <w:divBdr>
                        <w:top w:val="none" w:sz="0" w:space="0" w:color="auto"/>
                        <w:left w:val="none" w:sz="0" w:space="0" w:color="auto"/>
                        <w:bottom w:val="none" w:sz="0" w:space="0" w:color="auto"/>
                        <w:right w:val="none" w:sz="0" w:space="0" w:color="auto"/>
                      </w:divBdr>
                      <w:divsChild>
                        <w:div w:id="97798274">
                          <w:marLeft w:val="0"/>
                          <w:marRight w:val="0"/>
                          <w:marTop w:val="0"/>
                          <w:marBottom w:val="0"/>
                          <w:divBdr>
                            <w:top w:val="none" w:sz="0" w:space="0" w:color="auto"/>
                            <w:left w:val="none" w:sz="0" w:space="0" w:color="auto"/>
                            <w:bottom w:val="none" w:sz="0" w:space="0" w:color="auto"/>
                            <w:right w:val="none" w:sz="0" w:space="0" w:color="auto"/>
                          </w:divBdr>
                          <w:divsChild>
                            <w:div w:id="907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0363">
      <w:bodyDiv w:val="1"/>
      <w:marLeft w:val="0"/>
      <w:marRight w:val="0"/>
      <w:marTop w:val="0"/>
      <w:marBottom w:val="0"/>
      <w:divBdr>
        <w:top w:val="none" w:sz="0" w:space="0" w:color="auto"/>
        <w:left w:val="none" w:sz="0" w:space="0" w:color="auto"/>
        <w:bottom w:val="none" w:sz="0" w:space="0" w:color="auto"/>
        <w:right w:val="none" w:sz="0" w:space="0" w:color="auto"/>
      </w:divBdr>
    </w:div>
    <w:div w:id="1321226140">
      <w:bodyDiv w:val="1"/>
      <w:marLeft w:val="0"/>
      <w:marRight w:val="0"/>
      <w:marTop w:val="0"/>
      <w:marBottom w:val="0"/>
      <w:divBdr>
        <w:top w:val="none" w:sz="0" w:space="0" w:color="auto"/>
        <w:left w:val="none" w:sz="0" w:space="0" w:color="auto"/>
        <w:bottom w:val="none" w:sz="0" w:space="0" w:color="auto"/>
        <w:right w:val="none" w:sz="0" w:space="0" w:color="auto"/>
      </w:divBdr>
      <w:divsChild>
        <w:div w:id="742072127">
          <w:marLeft w:val="0"/>
          <w:marRight w:val="0"/>
          <w:marTop w:val="0"/>
          <w:marBottom w:val="0"/>
          <w:divBdr>
            <w:top w:val="none" w:sz="0" w:space="0" w:color="auto"/>
            <w:left w:val="none" w:sz="0" w:space="0" w:color="auto"/>
            <w:bottom w:val="none" w:sz="0" w:space="0" w:color="auto"/>
            <w:right w:val="none" w:sz="0" w:space="0" w:color="auto"/>
          </w:divBdr>
          <w:divsChild>
            <w:div w:id="1914854814">
              <w:marLeft w:val="0"/>
              <w:marRight w:val="0"/>
              <w:marTop w:val="0"/>
              <w:marBottom w:val="0"/>
              <w:divBdr>
                <w:top w:val="none" w:sz="0" w:space="0" w:color="auto"/>
                <w:left w:val="none" w:sz="0" w:space="0" w:color="auto"/>
                <w:bottom w:val="none" w:sz="0" w:space="0" w:color="auto"/>
                <w:right w:val="none" w:sz="0" w:space="0" w:color="auto"/>
              </w:divBdr>
              <w:divsChild>
                <w:div w:id="781539410">
                  <w:marLeft w:val="0"/>
                  <w:marRight w:val="0"/>
                  <w:marTop w:val="0"/>
                  <w:marBottom w:val="0"/>
                  <w:divBdr>
                    <w:top w:val="none" w:sz="0" w:space="0" w:color="auto"/>
                    <w:left w:val="none" w:sz="0" w:space="0" w:color="auto"/>
                    <w:bottom w:val="none" w:sz="0" w:space="0" w:color="auto"/>
                    <w:right w:val="none" w:sz="0" w:space="0" w:color="auto"/>
                  </w:divBdr>
                  <w:divsChild>
                    <w:div w:id="782188109">
                      <w:marLeft w:val="0"/>
                      <w:marRight w:val="0"/>
                      <w:marTop w:val="0"/>
                      <w:marBottom w:val="0"/>
                      <w:divBdr>
                        <w:top w:val="none" w:sz="0" w:space="0" w:color="auto"/>
                        <w:left w:val="none" w:sz="0" w:space="0" w:color="auto"/>
                        <w:bottom w:val="none" w:sz="0" w:space="0" w:color="auto"/>
                        <w:right w:val="none" w:sz="0" w:space="0" w:color="auto"/>
                      </w:divBdr>
                      <w:divsChild>
                        <w:div w:id="1704087388">
                          <w:marLeft w:val="0"/>
                          <w:marRight w:val="0"/>
                          <w:marTop w:val="0"/>
                          <w:marBottom w:val="0"/>
                          <w:divBdr>
                            <w:top w:val="none" w:sz="0" w:space="0" w:color="auto"/>
                            <w:left w:val="none" w:sz="0" w:space="0" w:color="auto"/>
                            <w:bottom w:val="none" w:sz="0" w:space="0" w:color="auto"/>
                            <w:right w:val="none" w:sz="0" w:space="0" w:color="auto"/>
                          </w:divBdr>
                          <w:divsChild>
                            <w:div w:id="8662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4765">
      <w:bodyDiv w:val="1"/>
      <w:marLeft w:val="0"/>
      <w:marRight w:val="0"/>
      <w:marTop w:val="0"/>
      <w:marBottom w:val="0"/>
      <w:divBdr>
        <w:top w:val="none" w:sz="0" w:space="0" w:color="auto"/>
        <w:left w:val="none" w:sz="0" w:space="0" w:color="auto"/>
        <w:bottom w:val="none" w:sz="0" w:space="0" w:color="auto"/>
        <w:right w:val="none" w:sz="0" w:space="0" w:color="auto"/>
      </w:divBdr>
    </w:div>
    <w:div w:id="1395933741">
      <w:bodyDiv w:val="1"/>
      <w:marLeft w:val="0"/>
      <w:marRight w:val="0"/>
      <w:marTop w:val="0"/>
      <w:marBottom w:val="0"/>
      <w:divBdr>
        <w:top w:val="none" w:sz="0" w:space="0" w:color="auto"/>
        <w:left w:val="none" w:sz="0" w:space="0" w:color="auto"/>
        <w:bottom w:val="none" w:sz="0" w:space="0" w:color="auto"/>
        <w:right w:val="none" w:sz="0" w:space="0" w:color="auto"/>
      </w:divBdr>
    </w:div>
    <w:div w:id="1468088574">
      <w:bodyDiv w:val="1"/>
      <w:marLeft w:val="0"/>
      <w:marRight w:val="0"/>
      <w:marTop w:val="0"/>
      <w:marBottom w:val="0"/>
      <w:divBdr>
        <w:top w:val="none" w:sz="0" w:space="0" w:color="auto"/>
        <w:left w:val="none" w:sz="0" w:space="0" w:color="auto"/>
        <w:bottom w:val="none" w:sz="0" w:space="0" w:color="auto"/>
        <w:right w:val="none" w:sz="0" w:space="0" w:color="auto"/>
      </w:divBdr>
    </w:div>
    <w:div w:id="1476605054">
      <w:bodyDiv w:val="1"/>
      <w:marLeft w:val="0"/>
      <w:marRight w:val="0"/>
      <w:marTop w:val="0"/>
      <w:marBottom w:val="0"/>
      <w:divBdr>
        <w:top w:val="none" w:sz="0" w:space="0" w:color="auto"/>
        <w:left w:val="none" w:sz="0" w:space="0" w:color="auto"/>
        <w:bottom w:val="none" w:sz="0" w:space="0" w:color="auto"/>
        <w:right w:val="none" w:sz="0" w:space="0" w:color="auto"/>
      </w:divBdr>
    </w:div>
    <w:div w:id="1482693965">
      <w:bodyDiv w:val="1"/>
      <w:marLeft w:val="0"/>
      <w:marRight w:val="0"/>
      <w:marTop w:val="0"/>
      <w:marBottom w:val="0"/>
      <w:divBdr>
        <w:top w:val="none" w:sz="0" w:space="0" w:color="auto"/>
        <w:left w:val="none" w:sz="0" w:space="0" w:color="auto"/>
        <w:bottom w:val="none" w:sz="0" w:space="0" w:color="auto"/>
        <w:right w:val="none" w:sz="0" w:space="0" w:color="auto"/>
      </w:divBdr>
      <w:divsChild>
        <w:div w:id="1731537722">
          <w:marLeft w:val="0"/>
          <w:marRight w:val="0"/>
          <w:marTop w:val="0"/>
          <w:marBottom w:val="0"/>
          <w:divBdr>
            <w:top w:val="none" w:sz="0" w:space="0" w:color="auto"/>
            <w:left w:val="none" w:sz="0" w:space="0" w:color="auto"/>
            <w:bottom w:val="none" w:sz="0" w:space="0" w:color="auto"/>
            <w:right w:val="none" w:sz="0" w:space="0" w:color="auto"/>
          </w:divBdr>
          <w:divsChild>
            <w:div w:id="1180462327">
              <w:marLeft w:val="0"/>
              <w:marRight w:val="0"/>
              <w:marTop w:val="0"/>
              <w:marBottom w:val="0"/>
              <w:divBdr>
                <w:top w:val="none" w:sz="0" w:space="0" w:color="auto"/>
                <w:left w:val="none" w:sz="0" w:space="0" w:color="auto"/>
                <w:bottom w:val="none" w:sz="0" w:space="0" w:color="auto"/>
                <w:right w:val="none" w:sz="0" w:space="0" w:color="auto"/>
              </w:divBdr>
              <w:divsChild>
                <w:div w:id="554318210">
                  <w:marLeft w:val="0"/>
                  <w:marRight w:val="0"/>
                  <w:marTop w:val="0"/>
                  <w:marBottom w:val="0"/>
                  <w:divBdr>
                    <w:top w:val="none" w:sz="0" w:space="0" w:color="auto"/>
                    <w:left w:val="none" w:sz="0" w:space="0" w:color="auto"/>
                    <w:bottom w:val="none" w:sz="0" w:space="0" w:color="auto"/>
                    <w:right w:val="none" w:sz="0" w:space="0" w:color="auto"/>
                  </w:divBdr>
                  <w:divsChild>
                    <w:div w:id="9825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13043">
      <w:bodyDiv w:val="1"/>
      <w:marLeft w:val="0"/>
      <w:marRight w:val="0"/>
      <w:marTop w:val="0"/>
      <w:marBottom w:val="0"/>
      <w:divBdr>
        <w:top w:val="none" w:sz="0" w:space="0" w:color="auto"/>
        <w:left w:val="none" w:sz="0" w:space="0" w:color="auto"/>
        <w:bottom w:val="none" w:sz="0" w:space="0" w:color="auto"/>
        <w:right w:val="none" w:sz="0" w:space="0" w:color="auto"/>
      </w:divBdr>
    </w:div>
    <w:div w:id="1506822808">
      <w:bodyDiv w:val="1"/>
      <w:marLeft w:val="0"/>
      <w:marRight w:val="0"/>
      <w:marTop w:val="0"/>
      <w:marBottom w:val="0"/>
      <w:divBdr>
        <w:top w:val="none" w:sz="0" w:space="0" w:color="auto"/>
        <w:left w:val="none" w:sz="0" w:space="0" w:color="auto"/>
        <w:bottom w:val="none" w:sz="0" w:space="0" w:color="auto"/>
        <w:right w:val="none" w:sz="0" w:space="0" w:color="auto"/>
      </w:divBdr>
    </w:div>
    <w:div w:id="1517890060">
      <w:bodyDiv w:val="1"/>
      <w:marLeft w:val="0"/>
      <w:marRight w:val="0"/>
      <w:marTop w:val="0"/>
      <w:marBottom w:val="0"/>
      <w:divBdr>
        <w:top w:val="none" w:sz="0" w:space="0" w:color="auto"/>
        <w:left w:val="none" w:sz="0" w:space="0" w:color="auto"/>
        <w:bottom w:val="none" w:sz="0" w:space="0" w:color="auto"/>
        <w:right w:val="none" w:sz="0" w:space="0" w:color="auto"/>
      </w:divBdr>
      <w:divsChild>
        <w:div w:id="2013296691">
          <w:marLeft w:val="0"/>
          <w:marRight w:val="0"/>
          <w:marTop w:val="0"/>
          <w:marBottom w:val="0"/>
          <w:divBdr>
            <w:top w:val="none" w:sz="0" w:space="0" w:color="auto"/>
            <w:left w:val="none" w:sz="0" w:space="0" w:color="auto"/>
            <w:bottom w:val="none" w:sz="0" w:space="0" w:color="auto"/>
            <w:right w:val="none" w:sz="0" w:space="0" w:color="auto"/>
          </w:divBdr>
          <w:divsChild>
            <w:div w:id="128934601">
              <w:marLeft w:val="0"/>
              <w:marRight w:val="0"/>
              <w:marTop w:val="0"/>
              <w:marBottom w:val="0"/>
              <w:divBdr>
                <w:top w:val="none" w:sz="0" w:space="0" w:color="auto"/>
                <w:left w:val="none" w:sz="0" w:space="0" w:color="auto"/>
                <w:bottom w:val="none" w:sz="0" w:space="0" w:color="auto"/>
                <w:right w:val="none" w:sz="0" w:space="0" w:color="auto"/>
              </w:divBdr>
            </w:div>
            <w:div w:id="481043123">
              <w:marLeft w:val="0"/>
              <w:marRight w:val="0"/>
              <w:marTop w:val="0"/>
              <w:marBottom w:val="0"/>
              <w:divBdr>
                <w:top w:val="none" w:sz="0" w:space="0" w:color="auto"/>
                <w:left w:val="none" w:sz="0" w:space="0" w:color="auto"/>
                <w:bottom w:val="none" w:sz="0" w:space="0" w:color="auto"/>
                <w:right w:val="none" w:sz="0" w:space="0" w:color="auto"/>
              </w:divBdr>
            </w:div>
            <w:div w:id="1063985457">
              <w:marLeft w:val="0"/>
              <w:marRight w:val="0"/>
              <w:marTop w:val="0"/>
              <w:marBottom w:val="0"/>
              <w:divBdr>
                <w:top w:val="none" w:sz="0" w:space="0" w:color="auto"/>
                <w:left w:val="none" w:sz="0" w:space="0" w:color="auto"/>
                <w:bottom w:val="none" w:sz="0" w:space="0" w:color="auto"/>
                <w:right w:val="none" w:sz="0" w:space="0" w:color="auto"/>
              </w:divBdr>
            </w:div>
            <w:div w:id="14074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653">
      <w:bodyDiv w:val="1"/>
      <w:marLeft w:val="0"/>
      <w:marRight w:val="0"/>
      <w:marTop w:val="0"/>
      <w:marBottom w:val="0"/>
      <w:divBdr>
        <w:top w:val="none" w:sz="0" w:space="0" w:color="auto"/>
        <w:left w:val="none" w:sz="0" w:space="0" w:color="auto"/>
        <w:bottom w:val="none" w:sz="0" w:space="0" w:color="auto"/>
        <w:right w:val="none" w:sz="0" w:space="0" w:color="auto"/>
      </w:divBdr>
    </w:div>
    <w:div w:id="1533961872">
      <w:bodyDiv w:val="1"/>
      <w:marLeft w:val="0"/>
      <w:marRight w:val="0"/>
      <w:marTop w:val="0"/>
      <w:marBottom w:val="0"/>
      <w:divBdr>
        <w:top w:val="none" w:sz="0" w:space="0" w:color="auto"/>
        <w:left w:val="none" w:sz="0" w:space="0" w:color="auto"/>
        <w:bottom w:val="none" w:sz="0" w:space="0" w:color="auto"/>
        <w:right w:val="none" w:sz="0" w:space="0" w:color="auto"/>
      </w:divBdr>
    </w:div>
    <w:div w:id="1551570816">
      <w:bodyDiv w:val="1"/>
      <w:marLeft w:val="0"/>
      <w:marRight w:val="0"/>
      <w:marTop w:val="0"/>
      <w:marBottom w:val="0"/>
      <w:divBdr>
        <w:top w:val="none" w:sz="0" w:space="0" w:color="auto"/>
        <w:left w:val="none" w:sz="0" w:space="0" w:color="auto"/>
        <w:bottom w:val="none" w:sz="0" w:space="0" w:color="auto"/>
        <w:right w:val="none" w:sz="0" w:space="0" w:color="auto"/>
      </w:divBdr>
    </w:div>
    <w:div w:id="1561478661">
      <w:bodyDiv w:val="1"/>
      <w:marLeft w:val="0"/>
      <w:marRight w:val="0"/>
      <w:marTop w:val="0"/>
      <w:marBottom w:val="0"/>
      <w:divBdr>
        <w:top w:val="none" w:sz="0" w:space="0" w:color="auto"/>
        <w:left w:val="none" w:sz="0" w:space="0" w:color="auto"/>
        <w:bottom w:val="none" w:sz="0" w:space="0" w:color="auto"/>
        <w:right w:val="none" w:sz="0" w:space="0" w:color="auto"/>
      </w:divBdr>
    </w:div>
    <w:div w:id="1592272609">
      <w:bodyDiv w:val="1"/>
      <w:marLeft w:val="0"/>
      <w:marRight w:val="0"/>
      <w:marTop w:val="0"/>
      <w:marBottom w:val="0"/>
      <w:divBdr>
        <w:top w:val="none" w:sz="0" w:space="0" w:color="auto"/>
        <w:left w:val="none" w:sz="0" w:space="0" w:color="auto"/>
        <w:bottom w:val="none" w:sz="0" w:space="0" w:color="auto"/>
        <w:right w:val="none" w:sz="0" w:space="0" w:color="auto"/>
      </w:divBdr>
      <w:divsChild>
        <w:div w:id="1498616472">
          <w:marLeft w:val="0"/>
          <w:marRight w:val="0"/>
          <w:marTop w:val="0"/>
          <w:marBottom w:val="0"/>
          <w:divBdr>
            <w:top w:val="none" w:sz="0" w:space="0" w:color="auto"/>
            <w:left w:val="none" w:sz="0" w:space="0" w:color="auto"/>
            <w:bottom w:val="none" w:sz="0" w:space="0" w:color="auto"/>
            <w:right w:val="none" w:sz="0" w:space="0" w:color="auto"/>
          </w:divBdr>
        </w:div>
      </w:divsChild>
    </w:div>
    <w:div w:id="1593203127">
      <w:bodyDiv w:val="1"/>
      <w:marLeft w:val="0"/>
      <w:marRight w:val="0"/>
      <w:marTop w:val="0"/>
      <w:marBottom w:val="0"/>
      <w:divBdr>
        <w:top w:val="none" w:sz="0" w:space="0" w:color="auto"/>
        <w:left w:val="none" w:sz="0" w:space="0" w:color="auto"/>
        <w:bottom w:val="none" w:sz="0" w:space="0" w:color="auto"/>
        <w:right w:val="none" w:sz="0" w:space="0" w:color="auto"/>
      </w:divBdr>
    </w:div>
    <w:div w:id="1625769376">
      <w:bodyDiv w:val="1"/>
      <w:marLeft w:val="0"/>
      <w:marRight w:val="0"/>
      <w:marTop w:val="0"/>
      <w:marBottom w:val="0"/>
      <w:divBdr>
        <w:top w:val="none" w:sz="0" w:space="0" w:color="auto"/>
        <w:left w:val="none" w:sz="0" w:space="0" w:color="auto"/>
        <w:bottom w:val="none" w:sz="0" w:space="0" w:color="auto"/>
        <w:right w:val="none" w:sz="0" w:space="0" w:color="auto"/>
      </w:divBdr>
    </w:div>
    <w:div w:id="1633831055">
      <w:bodyDiv w:val="1"/>
      <w:marLeft w:val="0"/>
      <w:marRight w:val="0"/>
      <w:marTop w:val="0"/>
      <w:marBottom w:val="0"/>
      <w:divBdr>
        <w:top w:val="none" w:sz="0" w:space="0" w:color="auto"/>
        <w:left w:val="none" w:sz="0" w:space="0" w:color="auto"/>
        <w:bottom w:val="none" w:sz="0" w:space="0" w:color="auto"/>
        <w:right w:val="none" w:sz="0" w:space="0" w:color="auto"/>
      </w:divBdr>
    </w:div>
    <w:div w:id="1637754434">
      <w:bodyDiv w:val="1"/>
      <w:marLeft w:val="0"/>
      <w:marRight w:val="0"/>
      <w:marTop w:val="0"/>
      <w:marBottom w:val="0"/>
      <w:divBdr>
        <w:top w:val="none" w:sz="0" w:space="0" w:color="auto"/>
        <w:left w:val="none" w:sz="0" w:space="0" w:color="auto"/>
        <w:bottom w:val="none" w:sz="0" w:space="0" w:color="auto"/>
        <w:right w:val="none" w:sz="0" w:space="0" w:color="auto"/>
      </w:divBdr>
    </w:div>
    <w:div w:id="1680346893">
      <w:bodyDiv w:val="1"/>
      <w:marLeft w:val="0"/>
      <w:marRight w:val="0"/>
      <w:marTop w:val="0"/>
      <w:marBottom w:val="0"/>
      <w:divBdr>
        <w:top w:val="none" w:sz="0" w:space="0" w:color="auto"/>
        <w:left w:val="none" w:sz="0" w:space="0" w:color="auto"/>
        <w:bottom w:val="none" w:sz="0" w:space="0" w:color="auto"/>
        <w:right w:val="none" w:sz="0" w:space="0" w:color="auto"/>
      </w:divBdr>
      <w:divsChild>
        <w:div w:id="751509449">
          <w:marLeft w:val="0"/>
          <w:marRight w:val="0"/>
          <w:marTop w:val="0"/>
          <w:marBottom w:val="0"/>
          <w:divBdr>
            <w:top w:val="none" w:sz="0" w:space="0" w:color="auto"/>
            <w:left w:val="none" w:sz="0" w:space="0" w:color="auto"/>
            <w:bottom w:val="none" w:sz="0" w:space="0" w:color="auto"/>
            <w:right w:val="none" w:sz="0" w:space="0" w:color="auto"/>
          </w:divBdr>
          <w:divsChild>
            <w:div w:id="706372219">
              <w:marLeft w:val="0"/>
              <w:marRight w:val="0"/>
              <w:marTop w:val="0"/>
              <w:marBottom w:val="0"/>
              <w:divBdr>
                <w:top w:val="none" w:sz="0" w:space="0" w:color="auto"/>
                <w:left w:val="none" w:sz="0" w:space="0" w:color="auto"/>
                <w:bottom w:val="none" w:sz="0" w:space="0" w:color="auto"/>
                <w:right w:val="none" w:sz="0" w:space="0" w:color="auto"/>
              </w:divBdr>
              <w:divsChild>
                <w:div w:id="1888907586">
                  <w:marLeft w:val="0"/>
                  <w:marRight w:val="0"/>
                  <w:marTop w:val="0"/>
                  <w:marBottom w:val="0"/>
                  <w:divBdr>
                    <w:top w:val="none" w:sz="0" w:space="0" w:color="auto"/>
                    <w:left w:val="none" w:sz="0" w:space="0" w:color="auto"/>
                    <w:bottom w:val="none" w:sz="0" w:space="0" w:color="auto"/>
                    <w:right w:val="none" w:sz="0" w:space="0" w:color="auto"/>
                  </w:divBdr>
                  <w:divsChild>
                    <w:div w:id="465510932">
                      <w:marLeft w:val="0"/>
                      <w:marRight w:val="0"/>
                      <w:marTop w:val="0"/>
                      <w:marBottom w:val="0"/>
                      <w:divBdr>
                        <w:top w:val="none" w:sz="0" w:space="0" w:color="auto"/>
                        <w:left w:val="none" w:sz="0" w:space="0" w:color="auto"/>
                        <w:bottom w:val="none" w:sz="0" w:space="0" w:color="auto"/>
                        <w:right w:val="none" w:sz="0" w:space="0" w:color="auto"/>
                      </w:divBdr>
                      <w:divsChild>
                        <w:div w:id="420683842">
                          <w:marLeft w:val="0"/>
                          <w:marRight w:val="0"/>
                          <w:marTop w:val="0"/>
                          <w:marBottom w:val="0"/>
                          <w:divBdr>
                            <w:top w:val="none" w:sz="0" w:space="0" w:color="auto"/>
                            <w:left w:val="none" w:sz="0" w:space="0" w:color="auto"/>
                            <w:bottom w:val="none" w:sz="0" w:space="0" w:color="auto"/>
                            <w:right w:val="none" w:sz="0" w:space="0" w:color="auto"/>
                          </w:divBdr>
                          <w:divsChild>
                            <w:div w:id="7486179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548346">
      <w:bodyDiv w:val="1"/>
      <w:marLeft w:val="0"/>
      <w:marRight w:val="0"/>
      <w:marTop w:val="0"/>
      <w:marBottom w:val="0"/>
      <w:divBdr>
        <w:top w:val="none" w:sz="0" w:space="0" w:color="auto"/>
        <w:left w:val="none" w:sz="0" w:space="0" w:color="auto"/>
        <w:bottom w:val="none" w:sz="0" w:space="0" w:color="auto"/>
        <w:right w:val="none" w:sz="0" w:space="0" w:color="auto"/>
      </w:divBdr>
    </w:div>
    <w:div w:id="1692339775">
      <w:bodyDiv w:val="1"/>
      <w:marLeft w:val="0"/>
      <w:marRight w:val="0"/>
      <w:marTop w:val="0"/>
      <w:marBottom w:val="0"/>
      <w:divBdr>
        <w:top w:val="none" w:sz="0" w:space="0" w:color="auto"/>
        <w:left w:val="none" w:sz="0" w:space="0" w:color="auto"/>
        <w:bottom w:val="none" w:sz="0" w:space="0" w:color="auto"/>
        <w:right w:val="none" w:sz="0" w:space="0" w:color="auto"/>
      </w:divBdr>
    </w:div>
    <w:div w:id="1723287077">
      <w:bodyDiv w:val="1"/>
      <w:marLeft w:val="0"/>
      <w:marRight w:val="0"/>
      <w:marTop w:val="0"/>
      <w:marBottom w:val="0"/>
      <w:divBdr>
        <w:top w:val="none" w:sz="0" w:space="0" w:color="auto"/>
        <w:left w:val="none" w:sz="0" w:space="0" w:color="auto"/>
        <w:bottom w:val="none" w:sz="0" w:space="0" w:color="auto"/>
        <w:right w:val="none" w:sz="0" w:space="0" w:color="auto"/>
      </w:divBdr>
    </w:div>
    <w:div w:id="1728603512">
      <w:bodyDiv w:val="1"/>
      <w:marLeft w:val="0"/>
      <w:marRight w:val="0"/>
      <w:marTop w:val="0"/>
      <w:marBottom w:val="0"/>
      <w:divBdr>
        <w:top w:val="none" w:sz="0" w:space="0" w:color="auto"/>
        <w:left w:val="none" w:sz="0" w:space="0" w:color="auto"/>
        <w:bottom w:val="none" w:sz="0" w:space="0" w:color="auto"/>
        <w:right w:val="none" w:sz="0" w:space="0" w:color="auto"/>
      </w:divBdr>
    </w:div>
    <w:div w:id="1764298823">
      <w:bodyDiv w:val="1"/>
      <w:marLeft w:val="0"/>
      <w:marRight w:val="0"/>
      <w:marTop w:val="0"/>
      <w:marBottom w:val="0"/>
      <w:divBdr>
        <w:top w:val="none" w:sz="0" w:space="0" w:color="auto"/>
        <w:left w:val="none" w:sz="0" w:space="0" w:color="auto"/>
        <w:bottom w:val="none" w:sz="0" w:space="0" w:color="auto"/>
        <w:right w:val="none" w:sz="0" w:space="0" w:color="auto"/>
      </w:divBdr>
      <w:divsChild>
        <w:div w:id="1985503999">
          <w:marLeft w:val="0"/>
          <w:marRight w:val="0"/>
          <w:marTop w:val="0"/>
          <w:marBottom w:val="0"/>
          <w:divBdr>
            <w:top w:val="none" w:sz="0" w:space="0" w:color="auto"/>
            <w:left w:val="none" w:sz="0" w:space="0" w:color="auto"/>
            <w:bottom w:val="none" w:sz="0" w:space="0" w:color="auto"/>
            <w:right w:val="none" w:sz="0" w:space="0" w:color="auto"/>
          </w:divBdr>
          <w:divsChild>
            <w:div w:id="1935939011">
              <w:marLeft w:val="0"/>
              <w:marRight w:val="0"/>
              <w:marTop w:val="0"/>
              <w:marBottom w:val="0"/>
              <w:divBdr>
                <w:top w:val="none" w:sz="0" w:space="0" w:color="auto"/>
                <w:left w:val="none" w:sz="0" w:space="0" w:color="auto"/>
                <w:bottom w:val="none" w:sz="0" w:space="0" w:color="auto"/>
                <w:right w:val="none" w:sz="0" w:space="0" w:color="auto"/>
              </w:divBdr>
              <w:divsChild>
                <w:div w:id="645741055">
                  <w:marLeft w:val="0"/>
                  <w:marRight w:val="0"/>
                  <w:marTop w:val="0"/>
                  <w:marBottom w:val="0"/>
                  <w:divBdr>
                    <w:top w:val="none" w:sz="0" w:space="0" w:color="auto"/>
                    <w:left w:val="none" w:sz="0" w:space="0" w:color="auto"/>
                    <w:bottom w:val="none" w:sz="0" w:space="0" w:color="auto"/>
                    <w:right w:val="none" w:sz="0" w:space="0" w:color="auto"/>
                  </w:divBdr>
                  <w:divsChild>
                    <w:div w:id="1826431696">
                      <w:marLeft w:val="0"/>
                      <w:marRight w:val="0"/>
                      <w:marTop w:val="0"/>
                      <w:marBottom w:val="0"/>
                      <w:divBdr>
                        <w:top w:val="none" w:sz="0" w:space="0" w:color="auto"/>
                        <w:left w:val="none" w:sz="0" w:space="0" w:color="auto"/>
                        <w:bottom w:val="none" w:sz="0" w:space="0" w:color="auto"/>
                        <w:right w:val="none" w:sz="0" w:space="0" w:color="auto"/>
                      </w:divBdr>
                      <w:divsChild>
                        <w:div w:id="185142763">
                          <w:marLeft w:val="0"/>
                          <w:marRight w:val="0"/>
                          <w:marTop w:val="0"/>
                          <w:marBottom w:val="0"/>
                          <w:divBdr>
                            <w:top w:val="none" w:sz="0" w:space="0" w:color="auto"/>
                            <w:left w:val="none" w:sz="0" w:space="0" w:color="auto"/>
                            <w:bottom w:val="none" w:sz="0" w:space="0" w:color="auto"/>
                            <w:right w:val="none" w:sz="0" w:space="0" w:color="auto"/>
                          </w:divBdr>
                          <w:divsChild>
                            <w:div w:id="7205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356817">
      <w:bodyDiv w:val="1"/>
      <w:marLeft w:val="0"/>
      <w:marRight w:val="0"/>
      <w:marTop w:val="0"/>
      <w:marBottom w:val="0"/>
      <w:divBdr>
        <w:top w:val="none" w:sz="0" w:space="0" w:color="auto"/>
        <w:left w:val="none" w:sz="0" w:space="0" w:color="auto"/>
        <w:bottom w:val="none" w:sz="0" w:space="0" w:color="auto"/>
        <w:right w:val="none" w:sz="0" w:space="0" w:color="auto"/>
      </w:divBdr>
    </w:div>
    <w:div w:id="1845895045">
      <w:bodyDiv w:val="1"/>
      <w:marLeft w:val="0"/>
      <w:marRight w:val="0"/>
      <w:marTop w:val="0"/>
      <w:marBottom w:val="0"/>
      <w:divBdr>
        <w:top w:val="none" w:sz="0" w:space="0" w:color="auto"/>
        <w:left w:val="none" w:sz="0" w:space="0" w:color="auto"/>
        <w:bottom w:val="none" w:sz="0" w:space="0" w:color="auto"/>
        <w:right w:val="none" w:sz="0" w:space="0" w:color="auto"/>
      </w:divBdr>
      <w:divsChild>
        <w:div w:id="831992084">
          <w:marLeft w:val="0"/>
          <w:marRight w:val="0"/>
          <w:marTop w:val="0"/>
          <w:marBottom w:val="0"/>
          <w:divBdr>
            <w:top w:val="none" w:sz="0" w:space="0" w:color="auto"/>
            <w:left w:val="none" w:sz="0" w:space="0" w:color="auto"/>
            <w:bottom w:val="none" w:sz="0" w:space="0" w:color="auto"/>
            <w:right w:val="none" w:sz="0" w:space="0" w:color="auto"/>
          </w:divBdr>
        </w:div>
      </w:divsChild>
    </w:div>
    <w:div w:id="1850286806">
      <w:bodyDiv w:val="1"/>
      <w:marLeft w:val="0"/>
      <w:marRight w:val="0"/>
      <w:marTop w:val="0"/>
      <w:marBottom w:val="0"/>
      <w:divBdr>
        <w:top w:val="none" w:sz="0" w:space="0" w:color="auto"/>
        <w:left w:val="none" w:sz="0" w:space="0" w:color="auto"/>
        <w:bottom w:val="none" w:sz="0" w:space="0" w:color="auto"/>
        <w:right w:val="none" w:sz="0" w:space="0" w:color="auto"/>
      </w:divBdr>
    </w:div>
    <w:div w:id="1850633957">
      <w:bodyDiv w:val="1"/>
      <w:marLeft w:val="0"/>
      <w:marRight w:val="0"/>
      <w:marTop w:val="0"/>
      <w:marBottom w:val="0"/>
      <w:divBdr>
        <w:top w:val="none" w:sz="0" w:space="0" w:color="auto"/>
        <w:left w:val="none" w:sz="0" w:space="0" w:color="auto"/>
        <w:bottom w:val="none" w:sz="0" w:space="0" w:color="auto"/>
        <w:right w:val="none" w:sz="0" w:space="0" w:color="auto"/>
      </w:divBdr>
      <w:divsChild>
        <w:div w:id="1032848877">
          <w:marLeft w:val="0"/>
          <w:marRight w:val="0"/>
          <w:marTop w:val="0"/>
          <w:marBottom w:val="0"/>
          <w:divBdr>
            <w:top w:val="none" w:sz="0" w:space="0" w:color="auto"/>
            <w:left w:val="none" w:sz="0" w:space="0" w:color="auto"/>
            <w:bottom w:val="none" w:sz="0" w:space="0" w:color="auto"/>
            <w:right w:val="none" w:sz="0" w:space="0" w:color="auto"/>
          </w:divBdr>
          <w:divsChild>
            <w:div w:id="644940838">
              <w:marLeft w:val="0"/>
              <w:marRight w:val="0"/>
              <w:marTop w:val="0"/>
              <w:marBottom w:val="0"/>
              <w:divBdr>
                <w:top w:val="none" w:sz="0" w:space="0" w:color="auto"/>
                <w:left w:val="none" w:sz="0" w:space="0" w:color="auto"/>
                <w:bottom w:val="none" w:sz="0" w:space="0" w:color="auto"/>
                <w:right w:val="none" w:sz="0" w:space="0" w:color="auto"/>
              </w:divBdr>
              <w:divsChild>
                <w:div w:id="4796077">
                  <w:marLeft w:val="0"/>
                  <w:marRight w:val="0"/>
                  <w:marTop w:val="0"/>
                  <w:marBottom w:val="0"/>
                  <w:divBdr>
                    <w:top w:val="none" w:sz="0" w:space="0" w:color="auto"/>
                    <w:left w:val="none" w:sz="0" w:space="0" w:color="auto"/>
                    <w:bottom w:val="none" w:sz="0" w:space="0" w:color="auto"/>
                    <w:right w:val="none" w:sz="0" w:space="0" w:color="auto"/>
                  </w:divBdr>
                  <w:divsChild>
                    <w:div w:id="1387296940">
                      <w:marLeft w:val="0"/>
                      <w:marRight w:val="0"/>
                      <w:marTop w:val="0"/>
                      <w:marBottom w:val="0"/>
                      <w:divBdr>
                        <w:top w:val="none" w:sz="0" w:space="0" w:color="auto"/>
                        <w:left w:val="none" w:sz="0" w:space="0" w:color="auto"/>
                        <w:bottom w:val="none" w:sz="0" w:space="0" w:color="auto"/>
                        <w:right w:val="none" w:sz="0" w:space="0" w:color="auto"/>
                      </w:divBdr>
                      <w:divsChild>
                        <w:div w:id="878008378">
                          <w:marLeft w:val="0"/>
                          <w:marRight w:val="0"/>
                          <w:marTop w:val="0"/>
                          <w:marBottom w:val="0"/>
                          <w:divBdr>
                            <w:top w:val="none" w:sz="0" w:space="0" w:color="auto"/>
                            <w:left w:val="none" w:sz="0" w:space="0" w:color="auto"/>
                            <w:bottom w:val="none" w:sz="0" w:space="0" w:color="auto"/>
                            <w:right w:val="none" w:sz="0" w:space="0" w:color="auto"/>
                          </w:divBdr>
                          <w:divsChild>
                            <w:div w:id="415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713405">
      <w:bodyDiv w:val="1"/>
      <w:marLeft w:val="0"/>
      <w:marRight w:val="0"/>
      <w:marTop w:val="0"/>
      <w:marBottom w:val="0"/>
      <w:divBdr>
        <w:top w:val="none" w:sz="0" w:space="0" w:color="auto"/>
        <w:left w:val="none" w:sz="0" w:space="0" w:color="auto"/>
        <w:bottom w:val="none" w:sz="0" w:space="0" w:color="auto"/>
        <w:right w:val="none" w:sz="0" w:space="0" w:color="auto"/>
      </w:divBdr>
    </w:div>
    <w:div w:id="1868443882">
      <w:bodyDiv w:val="1"/>
      <w:marLeft w:val="0"/>
      <w:marRight w:val="0"/>
      <w:marTop w:val="0"/>
      <w:marBottom w:val="0"/>
      <w:divBdr>
        <w:top w:val="none" w:sz="0" w:space="0" w:color="auto"/>
        <w:left w:val="none" w:sz="0" w:space="0" w:color="auto"/>
        <w:bottom w:val="none" w:sz="0" w:space="0" w:color="auto"/>
        <w:right w:val="none" w:sz="0" w:space="0" w:color="auto"/>
      </w:divBdr>
      <w:divsChild>
        <w:div w:id="1602833139">
          <w:marLeft w:val="0"/>
          <w:marRight w:val="0"/>
          <w:marTop w:val="0"/>
          <w:marBottom w:val="0"/>
          <w:divBdr>
            <w:top w:val="none" w:sz="0" w:space="0" w:color="auto"/>
            <w:left w:val="none" w:sz="0" w:space="0" w:color="auto"/>
            <w:bottom w:val="none" w:sz="0" w:space="0" w:color="auto"/>
            <w:right w:val="none" w:sz="0" w:space="0" w:color="auto"/>
          </w:divBdr>
          <w:divsChild>
            <w:div w:id="627081024">
              <w:marLeft w:val="0"/>
              <w:marRight w:val="0"/>
              <w:marTop w:val="0"/>
              <w:marBottom w:val="0"/>
              <w:divBdr>
                <w:top w:val="none" w:sz="0" w:space="0" w:color="auto"/>
                <w:left w:val="none" w:sz="0" w:space="0" w:color="auto"/>
                <w:bottom w:val="none" w:sz="0" w:space="0" w:color="auto"/>
                <w:right w:val="none" w:sz="0" w:space="0" w:color="auto"/>
              </w:divBdr>
              <w:divsChild>
                <w:div w:id="1351566261">
                  <w:marLeft w:val="0"/>
                  <w:marRight w:val="0"/>
                  <w:marTop w:val="0"/>
                  <w:marBottom w:val="0"/>
                  <w:divBdr>
                    <w:top w:val="none" w:sz="0" w:space="0" w:color="auto"/>
                    <w:left w:val="none" w:sz="0" w:space="0" w:color="auto"/>
                    <w:bottom w:val="none" w:sz="0" w:space="0" w:color="auto"/>
                    <w:right w:val="none" w:sz="0" w:space="0" w:color="auto"/>
                  </w:divBdr>
                  <w:divsChild>
                    <w:div w:id="2139712715">
                      <w:marLeft w:val="0"/>
                      <w:marRight w:val="0"/>
                      <w:marTop w:val="0"/>
                      <w:marBottom w:val="0"/>
                      <w:divBdr>
                        <w:top w:val="none" w:sz="0" w:space="0" w:color="auto"/>
                        <w:left w:val="none" w:sz="0" w:space="0" w:color="auto"/>
                        <w:bottom w:val="none" w:sz="0" w:space="0" w:color="auto"/>
                        <w:right w:val="none" w:sz="0" w:space="0" w:color="auto"/>
                      </w:divBdr>
                      <w:divsChild>
                        <w:div w:id="828254207">
                          <w:marLeft w:val="0"/>
                          <w:marRight w:val="0"/>
                          <w:marTop w:val="0"/>
                          <w:marBottom w:val="0"/>
                          <w:divBdr>
                            <w:top w:val="none" w:sz="0" w:space="0" w:color="auto"/>
                            <w:left w:val="none" w:sz="0" w:space="0" w:color="auto"/>
                            <w:bottom w:val="none" w:sz="0" w:space="0" w:color="auto"/>
                            <w:right w:val="none" w:sz="0" w:space="0" w:color="auto"/>
                          </w:divBdr>
                          <w:divsChild>
                            <w:div w:id="7710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422287">
      <w:bodyDiv w:val="1"/>
      <w:marLeft w:val="0"/>
      <w:marRight w:val="0"/>
      <w:marTop w:val="0"/>
      <w:marBottom w:val="0"/>
      <w:divBdr>
        <w:top w:val="none" w:sz="0" w:space="0" w:color="auto"/>
        <w:left w:val="none" w:sz="0" w:space="0" w:color="auto"/>
        <w:bottom w:val="none" w:sz="0" w:space="0" w:color="auto"/>
        <w:right w:val="none" w:sz="0" w:space="0" w:color="auto"/>
      </w:divBdr>
    </w:div>
    <w:div w:id="1885285734">
      <w:bodyDiv w:val="1"/>
      <w:marLeft w:val="0"/>
      <w:marRight w:val="0"/>
      <w:marTop w:val="0"/>
      <w:marBottom w:val="0"/>
      <w:divBdr>
        <w:top w:val="none" w:sz="0" w:space="0" w:color="auto"/>
        <w:left w:val="none" w:sz="0" w:space="0" w:color="auto"/>
        <w:bottom w:val="none" w:sz="0" w:space="0" w:color="auto"/>
        <w:right w:val="none" w:sz="0" w:space="0" w:color="auto"/>
      </w:divBdr>
    </w:div>
    <w:div w:id="1900288302">
      <w:bodyDiv w:val="1"/>
      <w:marLeft w:val="0"/>
      <w:marRight w:val="0"/>
      <w:marTop w:val="0"/>
      <w:marBottom w:val="0"/>
      <w:divBdr>
        <w:top w:val="none" w:sz="0" w:space="0" w:color="auto"/>
        <w:left w:val="none" w:sz="0" w:space="0" w:color="auto"/>
        <w:bottom w:val="none" w:sz="0" w:space="0" w:color="auto"/>
        <w:right w:val="none" w:sz="0" w:space="0" w:color="auto"/>
      </w:divBdr>
      <w:divsChild>
        <w:div w:id="380058347">
          <w:marLeft w:val="0"/>
          <w:marRight w:val="0"/>
          <w:marTop w:val="0"/>
          <w:marBottom w:val="0"/>
          <w:divBdr>
            <w:top w:val="none" w:sz="0" w:space="0" w:color="auto"/>
            <w:left w:val="none" w:sz="0" w:space="0" w:color="auto"/>
            <w:bottom w:val="none" w:sz="0" w:space="0" w:color="auto"/>
            <w:right w:val="none" w:sz="0" w:space="0" w:color="auto"/>
          </w:divBdr>
          <w:divsChild>
            <w:div w:id="448280383">
              <w:marLeft w:val="0"/>
              <w:marRight w:val="0"/>
              <w:marTop w:val="0"/>
              <w:marBottom w:val="0"/>
              <w:divBdr>
                <w:top w:val="none" w:sz="0" w:space="0" w:color="auto"/>
                <w:left w:val="none" w:sz="0" w:space="0" w:color="auto"/>
                <w:bottom w:val="none" w:sz="0" w:space="0" w:color="auto"/>
                <w:right w:val="none" w:sz="0" w:space="0" w:color="auto"/>
              </w:divBdr>
            </w:div>
            <w:div w:id="824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0668">
      <w:bodyDiv w:val="1"/>
      <w:marLeft w:val="0"/>
      <w:marRight w:val="0"/>
      <w:marTop w:val="0"/>
      <w:marBottom w:val="0"/>
      <w:divBdr>
        <w:top w:val="none" w:sz="0" w:space="0" w:color="auto"/>
        <w:left w:val="none" w:sz="0" w:space="0" w:color="auto"/>
        <w:bottom w:val="none" w:sz="0" w:space="0" w:color="auto"/>
        <w:right w:val="none" w:sz="0" w:space="0" w:color="auto"/>
      </w:divBdr>
      <w:divsChild>
        <w:div w:id="187716613">
          <w:marLeft w:val="0"/>
          <w:marRight w:val="0"/>
          <w:marTop w:val="0"/>
          <w:marBottom w:val="0"/>
          <w:divBdr>
            <w:top w:val="none" w:sz="0" w:space="0" w:color="auto"/>
            <w:left w:val="none" w:sz="0" w:space="0" w:color="auto"/>
            <w:bottom w:val="none" w:sz="0" w:space="0" w:color="auto"/>
            <w:right w:val="none" w:sz="0" w:space="0" w:color="auto"/>
          </w:divBdr>
          <w:divsChild>
            <w:div w:id="1440880852">
              <w:marLeft w:val="0"/>
              <w:marRight w:val="0"/>
              <w:marTop w:val="0"/>
              <w:marBottom w:val="0"/>
              <w:divBdr>
                <w:top w:val="none" w:sz="0" w:space="0" w:color="auto"/>
                <w:left w:val="none" w:sz="0" w:space="0" w:color="auto"/>
                <w:bottom w:val="none" w:sz="0" w:space="0" w:color="auto"/>
                <w:right w:val="none" w:sz="0" w:space="0" w:color="auto"/>
              </w:divBdr>
              <w:divsChild>
                <w:div w:id="2094281634">
                  <w:marLeft w:val="0"/>
                  <w:marRight w:val="0"/>
                  <w:marTop w:val="0"/>
                  <w:marBottom w:val="0"/>
                  <w:divBdr>
                    <w:top w:val="none" w:sz="0" w:space="0" w:color="auto"/>
                    <w:left w:val="none" w:sz="0" w:space="0" w:color="auto"/>
                    <w:bottom w:val="none" w:sz="0" w:space="0" w:color="auto"/>
                    <w:right w:val="none" w:sz="0" w:space="0" w:color="auto"/>
                  </w:divBdr>
                  <w:divsChild>
                    <w:div w:id="1970359788">
                      <w:marLeft w:val="0"/>
                      <w:marRight w:val="0"/>
                      <w:marTop w:val="0"/>
                      <w:marBottom w:val="0"/>
                      <w:divBdr>
                        <w:top w:val="none" w:sz="0" w:space="0" w:color="auto"/>
                        <w:left w:val="none" w:sz="0" w:space="0" w:color="auto"/>
                        <w:bottom w:val="none" w:sz="0" w:space="0" w:color="auto"/>
                        <w:right w:val="none" w:sz="0" w:space="0" w:color="auto"/>
                      </w:divBdr>
                      <w:divsChild>
                        <w:div w:id="1887450863">
                          <w:marLeft w:val="0"/>
                          <w:marRight w:val="0"/>
                          <w:marTop w:val="0"/>
                          <w:marBottom w:val="0"/>
                          <w:divBdr>
                            <w:top w:val="none" w:sz="0" w:space="0" w:color="auto"/>
                            <w:left w:val="none" w:sz="0" w:space="0" w:color="auto"/>
                            <w:bottom w:val="none" w:sz="0" w:space="0" w:color="auto"/>
                            <w:right w:val="none" w:sz="0" w:space="0" w:color="auto"/>
                          </w:divBdr>
                          <w:divsChild>
                            <w:div w:id="437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39471">
      <w:bodyDiv w:val="1"/>
      <w:marLeft w:val="0"/>
      <w:marRight w:val="0"/>
      <w:marTop w:val="0"/>
      <w:marBottom w:val="0"/>
      <w:divBdr>
        <w:top w:val="none" w:sz="0" w:space="0" w:color="auto"/>
        <w:left w:val="none" w:sz="0" w:space="0" w:color="auto"/>
        <w:bottom w:val="none" w:sz="0" w:space="0" w:color="auto"/>
        <w:right w:val="none" w:sz="0" w:space="0" w:color="auto"/>
      </w:divBdr>
      <w:divsChild>
        <w:div w:id="839999694">
          <w:marLeft w:val="0"/>
          <w:marRight w:val="0"/>
          <w:marTop w:val="0"/>
          <w:marBottom w:val="0"/>
          <w:divBdr>
            <w:top w:val="none" w:sz="0" w:space="0" w:color="auto"/>
            <w:left w:val="none" w:sz="0" w:space="0" w:color="auto"/>
            <w:bottom w:val="none" w:sz="0" w:space="0" w:color="auto"/>
            <w:right w:val="none" w:sz="0" w:space="0" w:color="auto"/>
          </w:divBdr>
          <w:divsChild>
            <w:div w:id="1436243558">
              <w:marLeft w:val="0"/>
              <w:marRight w:val="0"/>
              <w:marTop w:val="0"/>
              <w:marBottom w:val="0"/>
              <w:divBdr>
                <w:top w:val="none" w:sz="0" w:space="0" w:color="auto"/>
                <w:left w:val="none" w:sz="0" w:space="0" w:color="auto"/>
                <w:bottom w:val="none" w:sz="0" w:space="0" w:color="auto"/>
                <w:right w:val="none" w:sz="0" w:space="0" w:color="auto"/>
              </w:divBdr>
              <w:divsChild>
                <w:div w:id="1934438933">
                  <w:marLeft w:val="0"/>
                  <w:marRight w:val="0"/>
                  <w:marTop w:val="0"/>
                  <w:marBottom w:val="0"/>
                  <w:divBdr>
                    <w:top w:val="none" w:sz="0" w:space="0" w:color="auto"/>
                    <w:left w:val="none" w:sz="0" w:space="0" w:color="auto"/>
                    <w:bottom w:val="none" w:sz="0" w:space="0" w:color="auto"/>
                    <w:right w:val="none" w:sz="0" w:space="0" w:color="auto"/>
                  </w:divBdr>
                  <w:divsChild>
                    <w:div w:id="32509619">
                      <w:marLeft w:val="0"/>
                      <w:marRight w:val="0"/>
                      <w:marTop w:val="0"/>
                      <w:marBottom w:val="0"/>
                      <w:divBdr>
                        <w:top w:val="none" w:sz="0" w:space="0" w:color="auto"/>
                        <w:left w:val="none" w:sz="0" w:space="0" w:color="auto"/>
                        <w:bottom w:val="none" w:sz="0" w:space="0" w:color="auto"/>
                        <w:right w:val="none" w:sz="0" w:space="0" w:color="auto"/>
                      </w:divBdr>
                      <w:divsChild>
                        <w:div w:id="982201281">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960529">
      <w:bodyDiv w:val="1"/>
      <w:marLeft w:val="0"/>
      <w:marRight w:val="0"/>
      <w:marTop w:val="0"/>
      <w:marBottom w:val="0"/>
      <w:divBdr>
        <w:top w:val="none" w:sz="0" w:space="0" w:color="auto"/>
        <w:left w:val="none" w:sz="0" w:space="0" w:color="auto"/>
        <w:bottom w:val="none" w:sz="0" w:space="0" w:color="auto"/>
        <w:right w:val="none" w:sz="0" w:space="0" w:color="auto"/>
      </w:divBdr>
      <w:divsChild>
        <w:div w:id="1633439856">
          <w:marLeft w:val="0"/>
          <w:marRight w:val="0"/>
          <w:marTop w:val="0"/>
          <w:marBottom w:val="0"/>
          <w:divBdr>
            <w:top w:val="none" w:sz="0" w:space="0" w:color="auto"/>
            <w:left w:val="none" w:sz="0" w:space="0" w:color="auto"/>
            <w:bottom w:val="none" w:sz="0" w:space="0" w:color="auto"/>
            <w:right w:val="none" w:sz="0" w:space="0" w:color="auto"/>
          </w:divBdr>
        </w:div>
      </w:divsChild>
    </w:div>
    <w:div w:id="2049798888">
      <w:bodyDiv w:val="1"/>
      <w:marLeft w:val="0"/>
      <w:marRight w:val="0"/>
      <w:marTop w:val="0"/>
      <w:marBottom w:val="0"/>
      <w:divBdr>
        <w:top w:val="none" w:sz="0" w:space="0" w:color="auto"/>
        <w:left w:val="none" w:sz="0" w:space="0" w:color="auto"/>
        <w:bottom w:val="none" w:sz="0" w:space="0" w:color="auto"/>
        <w:right w:val="none" w:sz="0" w:space="0" w:color="auto"/>
      </w:divBdr>
    </w:div>
    <w:div w:id="2056154382">
      <w:bodyDiv w:val="1"/>
      <w:marLeft w:val="0"/>
      <w:marRight w:val="0"/>
      <w:marTop w:val="0"/>
      <w:marBottom w:val="0"/>
      <w:divBdr>
        <w:top w:val="none" w:sz="0" w:space="0" w:color="auto"/>
        <w:left w:val="none" w:sz="0" w:space="0" w:color="auto"/>
        <w:bottom w:val="none" w:sz="0" w:space="0" w:color="auto"/>
        <w:right w:val="none" w:sz="0" w:space="0" w:color="auto"/>
      </w:divBdr>
      <w:divsChild>
        <w:div w:id="1067922015">
          <w:marLeft w:val="0"/>
          <w:marRight w:val="0"/>
          <w:marTop w:val="0"/>
          <w:marBottom w:val="0"/>
          <w:divBdr>
            <w:top w:val="none" w:sz="0" w:space="0" w:color="auto"/>
            <w:left w:val="none" w:sz="0" w:space="0" w:color="auto"/>
            <w:bottom w:val="none" w:sz="0" w:space="0" w:color="auto"/>
            <w:right w:val="none" w:sz="0" w:space="0" w:color="auto"/>
          </w:divBdr>
          <w:divsChild>
            <w:div w:id="1523284205">
              <w:marLeft w:val="0"/>
              <w:marRight w:val="0"/>
              <w:marTop w:val="0"/>
              <w:marBottom w:val="0"/>
              <w:divBdr>
                <w:top w:val="none" w:sz="0" w:space="0" w:color="auto"/>
                <w:left w:val="none" w:sz="0" w:space="0" w:color="auto"/>
                <w:bottom w:val="none" w:sz="0" w:space="0" w:color="auto"/>
                <w:right w:val="none" w:sz="0" w:space="0" w:color="auto"/>
              </w:divBdr>
              <w:divsChild>
                <w:div w:id="1936209629">
                  <w:marLeft w:val="0"/>
                  <w:marRight w:val="0"/>
                  <w:marTop w:val="0"/>
                  <w:marBottom w:val="0"/>
                  <w:divBdr>
                    <w:top w:val="none" w:sz="0" w:space="0" w:color="auto"/>
                    <w:left w:val="none" w:sz="0" w:space="0" w:color="auto"/>
                    <w:bottom w:val="none" w:sz="0" w:space="0" w:color="auto"/>
                    <w:right w:val="none" w:sz="0" w:space="0" w:color="auto"/>
                  </w:divBdr>
                  <w:divsChild>
                    <w:div w:id="1818186908">
                      <w:marLeft w:val="0"/>
                      <w:marRight w:val="0"/>
                      <w:marTop w:val="0"/>
                      <w:marBottom w:val="0"/>
                      <w:divBdr>
                        <w:top w:val="none" w:sz="0" w:space="0" w:color="auto"/>
                        <w:left w:val="none" w:sz="0" w:space="0" w:color="auto"/>
                        <w:bottom w:val="none" w:sz="0" w:space="0" w:color="auto"/>
                        <w:right w:val="none" w:sz="0" w:space="0" w:color="auto"/>
                      </w:divBdr>
                      <w:divsChild>
                        <w:div w:id="385185012">
                          <w:marLeft w:val="0"/>
                          <w:marRight w:val="0"/>
                          <w:marTop w:val="0"/>
                          <w:marBottom w:val="0"/>
                          <w:divBdr>
                            <w:top w:val="none" w:sz="0" w:space="0" w:color="auto"/>
                            <w:left w:val="none" w:sz="0" w:space="0" w:color="auto"/>
                            <w:bottom w:val="none" w:sz="0" w:space="0" w:color="auto"/>
                            <w:right w:val="none" w:sz="0" w:space="0" w:color="auto"/>
                          </w:divBdr>
                          <w:divsChild>
                            <w:div w:id="21198342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040422">
      <w:bodyDiv w:val="1"/>
      <w:marLeft w:val="0"/>
      <w:marRight w:val="0"/>
      <w:marTop w:val="0"/>
      <w:marBottom w:val="0"/>
      <w:divBdr>
        <w:top w:val="none" w:sz="0" w:space="0" w:color="auto"/>
        <w:left w:val="none" w:sz="0" w:space="0" w:color="auto"/>
        <w:bottom w:val="none" w:sz="0" w:space="0" w:color="auto"/>
        <w:right w:val="none" w:sz="0" w:space="0" w:color="auto"/>
      </w:divBdr>
      <w:divsChild>
        <w:div w:id="77216055">
          <w:marLeft w:val="0"/>
          <w:marRight w:val="0"/>
          <w:marTop w:val="0"/>
          <w:marBottom w:val="0"/>
          <w:divBdr>
            <w:top w:val="none" w:sz="0" w:space="0" w:color="auto"/>
            <w:left w:val="none" w:sz="0" w:space="0" w:color="auto"/>
            <w:bottom w:val="none" w:sz="0" w:space="0" w:color="auto"/>
            <w:right w:val="none" w:sz="0" w:space="0" w:color="auto"/>
          </w:divBdr>
          <w:divsChild>
            <w:div w:id="219439594">
              <w:marLeft w:val="0"/>
              <w:marRight w:val="0"/>
              <w:marTop w:val="0"/>
              <w:marBottom w:val="0"/>
              <w:divBdr>
                <w:top w:val="none" w:sz="0" w:space="0" w:color="auto"/>
                <w:left w:val="none" w:sz="0" w:space="0" w:color="auto"/>
                <w:bottom w:val="none" w:sz="0" w:space="0" w:color="auto"/>
                <w:right w:val="none" w:sz="0" w:space="0" w:color="auto"/>
              </w:divBdr>
              <w:divsChild>
                <w:div w:id="1105925572">
                  <w:marLeft w:val="0"/>
                  <w:marRight w:val="0"/>
                  <w:marTop w:val="0"/>
                  <w:marBottom w:val="0"/>
                  <w:divBdr>
                    <w:top w:val="none" w:sz="0" w:space="0" w:color="auto"/>
                    <w:left w:val="none" w:sz="0" w:space="0" w:color="auto"/>
                    <w:bottom w:val="none" w:sz="0" w:space="0" w:color="auto"/>
                    <w:right w:val="none" w:sz="0" w:space="0" w:color="auto"/>
                  </w:divBdr>
                  <w:divsChild>
                    <w:div w:id="569536755">
                      <w:marLeft w:val="0"/>
                      <w:marRight w:val="0"/>
                      <w:marTop w:val="0"/>
                      <w:marBottom w:val="0"/>
                      <w:divBdr>
                        <w:top w:val="none" w:sz="0" w:space="0" w:color="auto"/>
                        <w:left w:val="none" w:sz="0" w:space="0" w:color="auto"/>
                        <w:bottom w:val="none" w:sz="0" w:space="0" w:color="auto"/>
                        <w:right w:val="none" w:sz="0" w:space="0" w:color="auto"/>
                      </w:divBdr>
                      <w:divsChild>
                        <w:div w:id="1010330886">
                          <w:marLeft w:val="0"/>
                          <w:marRight w:val="0"/>
                          <w:marTop w:val="0"/>
                          <w:marBottom w:val="0"/>
                          <w:divBdr>
                            <w:top w:val="none" w:sz="0" w:space="0" w:color="auto"/>
                            <w:left w:val="none" w:sz="0" w:space="0" w:color="auto"/>
                            <w:bottom w:val="none" w:sz="0" w:space="0" w:color="auto"/>
                            <w:right w:val="none" w:sz="0" w:space="0" w:color="auto"/>
                          </w:divBdr>
                          <w:divsChild>
                            <w:div w:id="14912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57977">
      <w:bodyDiv w:val="1"/>
      <w:marLeft w:val="0"/>
      <w:marRight w:val="0"/>
      <w:marTop w:val="0"/>
      <w:marBottom w:val="0"/>
      <w:divBdr>
        <w:top w:val="none" w:sz="0" w:space="0" w:color="auto"/>
        <w:left w:val="none" w:sz="0" w:space="0" w:color="auto"/>
        <w:bottom w:val="none" w:sz="0" w:space="0" w:color="auto"/>
        <w:right w:val="none" w:sz="0" w:space="0" w:color="auto"/>
      </w:divBdr>
      <w:divsChild>
        <w:div w:id="1600482505">
          <w:marLeft w:val="0"/>
          <w:marRight w:val="0"/>
          <w:marTop w:val="0"/>
          <w:marBottom w:val="0"/>
          <w:divBdr>
            <w:top w:val="none" w:sz="0" w:space="0" w:color="auto"/>
            <w:left w:val="none" w:sz="0" w:space="0" w:color="auto"/>
            <w:bottom w:val="none" w:sz="0" w:space="0" w:color="auto"/>
            <w:right w:val="none" w:sz="0" w:space="0" w:color="auto"/>
          </w:divBdr>
          <w:divsChild>
            <w:div w:id="691223548">
              <w:marLeft w:val="0"/>
              <w:marRight w:val="0"/>
              <w:marTop w:val="0"/>
              <w:marBottom w:val="0"/>
              <w:divBdr>
                <w:top w:val="none" w:sz="0" w:space="0" w:color="auto"/>
                <w:left w:val="none" w:sz="0" w:space="0" w:color="auto"/>
                <w:bottom w:val="none" w:sz="0" w:space="0" w:color="auto"/>
                <w:right w:val="none" w:sz="0" w:space="0" w:color="auto"/>
              </w:divBdr>
              <w:divsChild>
                <w:div w:id="241843125">
                  <w:marLeft w:val="0"/>
                  <w:marRight w:val="0"/>
                  <w:marTop w:val="0"/>
                  <w:marBottom w:val="0"/>
                  <w:divBdr>
                    <w:top w:val="none" w:sz="0" w:space="0" w:color="auto"/>
                    <w:left w:val="none" w:sz="0" w:space="0" w:color="auto"/>
                    <w:bottom w:val="none" w:sz="0" w:space="0" w:color="auto"/>
                    <w:right w:val="none" w:sz="0" w:space="0" w:color="auto"/>
                  </w:divBdr>
                  <w:divsChild>
                    <w:div w:id="1665235306">
                      <w:marLeft w:val="0"/>
                      <w:marRight w:val="0"/>
                      <w:marTop w:val="0"/>
                      <w:marBottom w:val="0"/>
                      <w:divBdr>
                        <w:top w:val="none" w:sz="0" w:space="0" w:color="auto"/>
                        <w:left w:val="none" w:sz="0" w:space="0" w:color="auto"/>
                        <w:bottom w:val="none" w:sz="0" w:space="0" w:color="auto"/>
                        <w:right w:val="none" w:sz="0" w:space="0" w:color="auto"/>
                      </w:divBdr>
                      <w:divsChild>
                        <w:div w:id="2053114203">
                          <w:marLeft w:val="0"/>
                          <w:marRight w:val="0"/>
                          <w:marTop w:val="0"/>
                          <w:marBottom w:val="0"/>
                          <w:divBdr>
                            <w:top w:val="none" w:sz="0" w:space="0" w:color="auto"/>
                            <w:left w:val="none" w:sz="0" w:space="0" w:color="auto"/>
                            <w:bottom w:val="none" w:sz="0" w:space="0" w:color="auto"/>
                            <w:right w:val="none" w:sz="0" w:space="0" w:color="auto"/>
                          </w:divBdr>
                          <w:divsChild>
                            <w:div w:id="8122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165111">
      <w:bodyDiv w:val="1"/>
      <w:marLeft w:val="0"/>
      <w:marRight w:val="0"/>
      <w:marTop w:val="0"/>
      <w:marBottom w:val="0"/>
      <w:divBdr>
        <w:top w:val="none" w:sz="0" w:space="0" w:color="auto"/>
        <w:left w:val="none" w:sz="0" w:space="0" w:color="auto"/>
        <w:bottom w:val="none" w:sz="0" w:space="0" w:color="auto"/>
        <w:right w:val="none" w:sz="0" w:space="0" w:color="auto"/>
      </w:divBdr>
    </w:div>
    <w:div w:id="2080327449">
      <w:bodyDiv w:val="1"/>
      <w:marLeft w:val="0"/>
      <w:marRight w:val="0"/>
      <w:marTop w:val="0"/>
      <w:marBottom w:val="0"/>
      <w:divBdr>
        <w:top w:val="none" w:sz="0" w:space="0" w:color="auto"/>
        <w:left w:val="none" w:sz="0" w:space="0" w:color="auto"/>
        <w:bottom w:val="none" w:sz="0" w:space="0" w:color="auto"/>
        <w:right w:val="none" w:sz="0" w:space="0" w:color="auto"/>
      </w:divBdr>
    </w:div>
    <w:div w:id="208877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hyperlink" Target="http://www.varam.gov.lv/lat/fondi/ets/?doc=13013"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hyperlink" Target="http://www.varam.gov.lv/lat/fondi/ets/?doc=1301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www.varam.gov.lv/lat/fondi/ets/?doc=13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2.xml"/><Relationship Id="rId32" Type="http://schemas.openxmlformats.org/officeDocument/2006/relationships/chart" Target="charts/chart1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footer" Target="footer2.xml"/><Relationship Id="rId10" Type="http://schemas.openxmlformats.org/officeDocument/2006/relationships/header" Target="header2.xml"/><Relationship Id="rId19" Type="http://schemas.openxmlformats.org/officeDocument/2006/relationships/chart" Target="charts/chart7.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7.xm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izm.gov.lv/images/izglitiba_augst/06.pdf" TargetMode="External"/><Relationship Id="rId13" Type="http://schemas.openxmlformats.org/officeDocument/2006/relationships/hyperlink" Target="http://www.esfondi.lv/upload/Petijumi_un_izvertejumi/apraksti/Petijuma_izvertesanas_zinojums_31012014.pdf" TargetMode="External"/><Relationship Id="rId3" Type="http://schemas.openxmlformats.org/officeDocument/2006/relationships/hyperlink" Target="http://likumi.lv/doc.php?id=184810" TargetMode="External"/><Relationship Id="rId7" Type="http://schemas.openxmlformats.org/officeDocument/2006/relationships/hyperlink" Target="http://www.aip.lv/ESF_par_projektu.htm" TargetMode="External"/><Relationship Id="rId12" Type="http://schemas.openxmlformats.org/officeDocument/2006/relationships/hyperlink" Target="http://viaa.gov.lv/lat/zinatnes_inovacijas_progr/viedas_specializacijas_iev/viedas_spec_ieviesana/?tl%20_id=21474&amp;tls_id=43298" TargetMode="External"/><Relationship Id="rId2" Type="http://schemas.openxmlformats.org/officeDocument/2006/relationships/hyperlink" Target="http://likumi.lv/doc.php?id=20244" TargetMode="External"/><Relationship Id="rId1" Type="http://schemas.openxmlformats.org/officeDocument/2006/relationships/hyperlink" Target="http://likumi.lv/doc.php?id=37967" TargetMode="External"/><Relationship Id="rId6" Type="http://schemas.openxmlformats.org/officeDocument/2006/relationships/hyperlink" Target="http://www.malnava.lv/images/2014_1/pub.pdf" TargetMode="External"/><Relationship Id="rId11" Type="http://schemas.openxmlformats.org/officeDocument/2006/relationships/hyperlink" Target="http://www.rck.lv/faili/pasnovertejums%20studiju%20virziens.pdf" TargetMode="External"/><Relationship Id="rId5" Type="http://schemas.openxmlformats.org/officeDocument/2006/relationships/hyperlink" Target="https://infogr.am/iedzivotaju-migracijas-tendences-2013-gada" TargetMode="External"/><Relationship Id="rId10" Type="http://schemas.openxmlformats.org/officeDocument/2006/relationships/hyperlink" Target="http://www.varam.gov.lv/in_site/tools/download.php?file=files/text/KPFI/lik//1_2010.pdf" TargetMode="External"/><Relationship Id="rId4" Type="http://schemas.openxmlformats.org/officeDocument/2006/relationships/hyperlink" Target="http://likumi.lv/doc.php?id=50759" TargetMode="External"/><Relationship Id="rId9" Type="http://schemas.openxmlformats.org/officeDocument/2006/relationships/hyperlink" Target="http://www.varam.gov.lv/in_site/tools/download.php?file=files/text/KPFI/lik//1_201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1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vesma.abizare-vagre\Documents\1_SSFID\SAM_814_koledzas\814%20SN\izejas%20dati%20atteliem.xlsx" TargetMode="External"/></Relationships>
</file>

<file path=word/charts/_rels/chart13.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vesma.abizare-vagre\Documents\1_SSFID\SAM_814_koledzas\814%20SN\atteli_stud_progr_dinamika.xlsx" TargetMode="External"/></Relationships>
</file>

<file path=word/charts/_rels/chart14.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vesma.abizare-vagre\Documents\1_SSFID\SAM_814_koledzas\814%20SN\izejas%20dati%20atteliem.xlsx" TargetMode="External"/></Relationships>
</file>

<file path=word/charts/_rels/chart15.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C:\Users\vesma.abizare-vagre\Documents\1_SSFID\SAM_814_koledzas\814%20SN\izejas%20dati%20atteliem.xlsx" TargetMode="External"/></Relationships>
</file>

<file path=word/charts/_rels/chart16.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C:\Users\vesma.abizare-vagre\Documents\1_SSFID\SAM_814_koledzas\814%20SN\izejas%20dati%20atteliem.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vesma.abizare-vagre\Documents\1_SSFID\SAM_814_koledzas\814%20SN\Intas_stud_skaita_izmainas.xlsx" TargetMode="External"/></Relationships>
</file>

<file path=word/charts/_rels/chart1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file:///C:\Users\vesma.abizare-vagre\Documents\1_SSFID\SAM_814_koledzas\814%20SN\izejas%20dati%20atteliem.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vesma.abizare-vagre\Documents\1_SSFID\SAM_814_koledzas\814%20SN\Intas_stud_skaita_izmainas.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vesma.abizare-vagre\Documents\1_SSFID\SAM_814_koledzas\814%20SN\izejas%20dati%20attelie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esma.abizare-vagre\Documents\1_SSFID\SAM_814_koledzas\814%20SN\izejas%20dati%20atteliem.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lang val="lv-LV"/>
  <c:chart>
    <c:autoTitleDeleted val="1"/>
    <c:plotArea>
      <c:layout>
        <c:manualLayout>
          <c:layoutTarget val="inner"/>
          <c:xMode val="edge"/>
          <c:yMode val="edge"/>
          <c:x val="9.9371262802676552E-2"/>
          <c:y val="5.0925925925926215E-2"/>
          <c:w val="0.8780723462198885"/>
          <c:h val="0.7357713619131"/>
        </c:manualLayout>
      </c:layout>
      <c:lineChart>
        <c:grouping val="standard"/>
        <c:ser>
          <c:idx val="0"/>
          <c:order val="0"/>
          <c:tx>
            <c:strRef>
              <c:f>'[kopejais attels_koledzas stud skaits.xlsx]Sheet1'!$C$3</c:f>
              <c:strCache>
                <c:ptCount val="1"/>
                <c:pt idx="0">
                  <c:v>kopā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'[kopejais attels_koledzas stud skaits.xlsx]Sheet1'!$B$4:$B$12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'[kopejais attels_koledzas stud skaits.xlsx]Sheet1'!$C$4:$C$12</c:f>
              <c:numCache>
                <c:formatCode>General</c:formatCode>
                <c:ptCount val="9"/>
                <c:pt idx="0">
                  <c:v>12052</c:v>
                </c:pt>
                <c:pt idx="1">
                  <c:v>13261</c:v>
                </c:pt>
                <c:pt idx="2">
                  <c:v>12495</c:v>
                </c:pt>
                <c:pt idx="3">
                  <c:v>11875</c:v>
                </c:pt>
                <c:pt idx="4">
                  <c:v>12317</c:v>
                </c:pt>
                <c:pt idx="5">
                  <c:v>12730</c:v>
                </c:pt>
                <c:pt idx="6">
                  <c:v>12699</c:v>
                </c:pt>
                <c:pt idx="7">
                  <c:v>11935</c:v>
                </c:pt>
                <c:pt idx="8">
                  <c:v>10778</c:v>
                </c:pt>
              </c:numCache>
            </c:numRef>
          </c:val>
        </c:ser>
        <c:ser>
          <c:idx val="1"/>
          <c:order val="1"/>
          <c:tx>
            <c:strRef>
              <c:f>'[kopejais attels_koledzas stud skaits.xlsx]Sheet1'!$D$3</c:f>
              <c:strCache>
                <c:ptCount val="1"/>
                <c:pt idx="0">
                  <c:v>valsts koledžas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'[kopejais attels_koledzas stud skaits.xlsx]Sheet1'!$B$4:$B$12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'[kopejais attels_koledzas stud skaits.xlsx]Sheet1'!$D$4:$D$12</c:f>
              <c:numCache>
                <c:formatCode>General</c:formatCode>
                <c:ptCount val="9"/>
                <c:pt idx="0">
                  <c:v>6254</c:v>
                </c:pt>
                <c:pt idx="1">
                  <c:v>6783</c:v>
                </c:pt>
                <c:pt idx="2">
                  <c:v>7005</c:v>
                </c:pt>
                <c:pt idx="3">
                  <c:v>6957</c:v>
                </c:pt>
                <c:pt idx="4">
                  <c:v>7080</c:v>
                </c:pt>
                <c:pt idx="5">
                  <c:v>7088</c:v>
                </c:pt>
                <c:pt idx="6">
                  <c:v>6948</c:v>
                </c:pt>
                <c:pt idx="7">
                  <c:v>6733</c:v>
                </c:pt>
                <c:pt idx="8">
                  <c:v>6599</c:v>
                </c:pt>
              </c:numCache>
            </c:numRef>
          </c:val>
        </c:ser>
        <c:ser>
          <c:idx val="2"/>
          <c:order val="2"/>
          <c:tx>
            <c:strRef>
              <c:f>'[kopejais attels_koledzas stud skaits.xlsx]Sheet1'!$E$3</c:f>
              <c:strCache>
                <c:ptCount val="1"/>
                <c:pt idx="0">
                  <c:v>privātās koledžas</c:v>
                </c:pt>
              </c:strCache>
            </c:strRef>
          </c:tx>
          <c:spPr>
            <a:ln w="28575" cap="rnd">
              <a:solidFill>
                <a:schemeClr val="accent3"/>
              </a:solidFill>
              <a:round/>
            </a:ln>
            <a:effectLst/>
          </c:spPr>
          <c:marker>
            <c:symbol val="none"/>
          </c:marker>
          <c:dLbls>
            <c:dLbl>
              <c:idx val="0"/>
              <c:layout>
                <c:manualLayout>
                  <c:x val="-4.1654135338345867E-2"/>
                  <c:y val="3.4756853310002903E-2"/>
                </c:manualLayout>
              </c:layout>
              <c:dLblPos val="r"/>
              <c:showVal val="1"/>
              <c:extLst>
                <c:ext xmlns:c15="http://schemas.microsoft.com/office/drawing/2012/chart" uri="{CE6537A1-D6FC-4f65-9D91-7224C49458BB}">
                  <c15:layout/>
                </c:ext>
              </c:extLst>
            </c:dLbl>
            <c:dLbl>
              <c:idx val="1"/>
              <c:layout>
                <c:manualLayout>
                  <c:x val="-5.418546365914844E-2"/>
                  <c:y val="6.2534631087781539E-2"/>
                </c:manualLayout>
              </c:layout>
              <c:dLblPos val="r"/>
              <c:showVal val="1"/>
              <c:extLst>
                <c:ext xmlns:c15="http://schemas.microsoft.com/office/drawing/2012/chart" uri="{CE6537A1-D6FC-4f65-9D91-7224C49458BB}">
                  <c15:layout/>
                </c:ext>
              </c:extLst>
            </c:dLbl>
            <c:dLbl>
              <c:idx val="2"/>
              <c:layout>
                <c:manualLayout>
                  <c:x val="-5.6691729323308432E-2"/>
                  <c:y val="3.4756853310002903E-2"/>
                </c:manualLayout>
              </c:layout>
              <c:dLblPos val="r"/>
              <c:showVal val="1"/>
              <c:extLst>
                <c:ext xmlns:c15="http://schemas.microsoft.com/office/drawing/2012/chart" uri="{CE6537A1-D6FC-4f65-9D91-7224C49458BB}">
                  <c15:layout/>
                </c:ext>
              </c:extLst>
            </c:dLbl>
            <c:dLbl>
              <c:idx val="3"/>
              <c:layout>
                <c:manualLayout>
                  <c:x val="-4.4160401002507128E-2"/>
                  <c:y val="5.3275371828521524E-2"/>
                </c:manualLayout>
              </c:layout>
              <c:dLblPos val="r"/>
              <c:showVal val="1"/>
              <c:extLst>
                <c:ext xmlns:c15="http://schemas.microsoft.com/office/drawing/2012/chart" uri="{CE6537A1-D6FC-4f65-9D91-7224C49458BB}">
                  <c15:layout/>
                </c:ext>
              </c:extLst>
            </c:dLbl>
            <c:dLbl>
              <c:idx val="4"/>
              <c:layout>
                <c:manualLayout>
                  <c:x val="-4.4160401002507156E-2"/>
                  <c:y val="3.9386482939632338E-2"/>
                </c:manualLayout>
              </c:layout>
              <c:dLblPos val="r"/>
              <c:showVal val="1"/>
              <c:extLst>
                <c:ext xmlns:c15="http://schemas.microsoft.com/office/drawing/2012/chart" uri="{CE6537A1-D6FC-4f65-9D91-7224C49458BB}">
                  <c15:layout/>
                </c:ext>
              </c:extLst>
            </c:dLbl>
            <c:dLbl>
              <c:idx val="5"/>
              <c:layout>
                <c:manualLayout>
                  <c:x val="-5.1679197994987547E-2"/>
                  <c:y val="5.3275371828521524E-2"/>
                </c:manualLayout>
              </c:layout>
              <c:dLblPos val="r"/>
              <c:showVal val="1"/>
              <c:extLst>
                <c:ext xmlns:c15="http://schemas.microsoft.com/office/drawing/2012/chart" uri="{CE6537A1-D6FC-4f65-9D91-7224C49458BB}">
                  <c15:layout/>
                </c:ext>
              </c:extLst>
            </c:dLbl>
            <c:dLbl>
              <c:idx val="6"/>
              <c:layout>
                <c:manualLayout>
                  <c:x val="-4.9172932330827812E-2"/>
                  <c:y val="3.4756853310002833E-2"/>
                </c:manualLayout>
              </c:layout>
              <c:dLblPos val="r"/>
              <c:showVal val="1"/>
              <c:extLst>
                <c:ext xmlns:c15="http://schemas.microsoft.com/office/drawing/2012/chart" uri="{CE6537A1-D6FC-4f65-9D91-7224C49458BB}">
                  <c15:layout/>
                </c:ext>
              </c:extLst>
            </c:dLbl>
            <c:dLbl>
              <c:idx val="7"/>
              <c:layout>
                <c:manualLayout>
                  <c:x val="-4.6666666666666794E-2"/>
                  <c:y val="4.4016112569262175E-2"/>
                </c:manualLayout>
              </c:layout>
              <c:dLblPos val="r"/>
              <c:showVal val="1"/>
              <c:extLst>
                <c:ext xmlns:c15="http://schemas.microsoft.com/office/drawing/2012/chart" uri="{CE6537A1-D6FC-4f65-9D91-7224C49458BB}">
                  <c15:layout/>
                </c:ext>
              </c:extLst>
            </c:dLbl>
            <c:dLbl>
              <c:idx val="8"/>
              <c:layout>
                <c:manualLayout>
                  <c:x val="-4.5974779468356076E-2"/>
                  <c:y val="4.4016112569262175E-2"/>
                </c:manualLayout>
              </c:layout>
              <c:dLblPos val="r"/>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'[kopejais attels_koledzas stud skaits.xlsx]Sheet1'!$B$4:$B$12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'[kopejais attels_koledzas stud skaits.xlsx]Sheet1'!$E$4:$E$12</c:f>
              <c:numCache>
                <c:formatCode>General</c:formatCode>
                <c:ptCount val="9"/>
                <c:pt idx="0">
                  <c:v>5798</c:v>
                </c:pt>
                <c:pt idx="1">
                  <c:v>6478</c:v>
                </c:pt>
                <c:pt idx="2">
                  <c:v>5490</c:v>
                </c:pt>
                <c:pt idx="3">
                  <c:v>4918</c:v>
                </c:pt>
                <c:pt idx="4">
                  <c:v>5237</c:v>
                </c:pt>
                <c:pt idx="5">
                  <c:v>5642</c:v>
                </c:pt>
                <c:pt idx="6">
                  <c:v>5751</c:v>
                </c:pt>
                <c:pt idx="7">
                  <c:v>5202</c:v>
                </c:pt>
                <c:pt idx="8">
                  <c:v>4179</c:v>
                </c:pt>
              </c:numCache>
            </c:numRef>
          </c:val>
        </c:ser>
        <c:dLbls>
          <c:showVal val="1"/>
        </c:dLbls>
        <c:marker val="1"/>
        <c:axId val="88642304"/>
        <c:axId val="88643840"/>
      </c:lineChart>
      <c:catAx>
        <c:axId val="886423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8643840"/>
        <c:crosses val="autoZero"/>
        <c:auto val="1"/>
        <c:lblAlgn val="ctr"/>
        <c:lblOffset val="100"/>
      </c:catAx>
      <c:valAx>
        <c:axId val="8864384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8642304"/>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lv-LV"/>
  <c:chart>
    <c:plotArea>
      <c:layout>
        <c:manualLayout>
          <c:layoutTarget val="inner"/>
          <c:xMode val="edge"/>
          <c:yMode val="edge"/>
          <c:x val="8.8639912220295158E-2"/>
          <c:y val="2.9322738259412468E-2"/>
          <c:w val="0.84376040743252689"/>
          <c:h val="0.87181445012699565"/>
        </c:manualLayout>
      </c:layout>
      <c:barChart>
        <c:barDir val="col"/>
        <c:grouping val="percentStacked"/>
        <c:ser>
          <c:idx val="0"/>
          <c:order val="0"/>
          <c:tx>
            <c:strRef>
              <c:f>Sheet1!$A$2</c:f>
              <c:strCache>
                <c:ptCount val="1"/>
                <c:pt idx="0">
                  <c:v>Izglītība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(Sheet1!$B$2;Sheet1!$D$2;Sheet1!$H$2)</c:f>
              <c:numCache>
                <c:formatCode>0</c:formatCode>
                <c:ptCount val="3"/>
                <c:pt idx="0">
                  <c:v>2.9065200314218385</c:v>
                </c:pt>
                <c:pt idx="1">
                  <c:v>2.5975449364313894</c:v>
                </c:pt>
                <c:pt idx="2">
                  <c:v>1.0621413746795263</c:v>
                </c:pt>
              </c:numCache>
            </c:numRef>
          </c:val>
        </c:ser>
        <c:ser>
          <c:idx val="1"/>
          <c:order val="1"/>
          <c:tx>
            <c:strRef>
              <c:f>Sheet1!$A$3</c:f>
              <c:strCache>
                <c:ptCount val="1"/>
                <c:pt idx="0">
                  <c:v>Humanitārās zinātnes un māksla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(Sheet1!$B$3;Sheet1!$D$3;Sheet1!$H$3)</c:f>
              <c:numCache>
                <c:formatCode>0</c:formatCode>
                <c:ptCount val="3"/>
                <c:pt idx="0">
                  <c:v>6.1945909549993745</c:v>
                </c:pt>
                <c:pt idx="1">
                  <c:v>7.4309513371328384</c:v>
                </c:pt>
                <c:pt idx="2">
                  <c:v>6.8367720669026983</c:v>
                </c:pt>
              </c:numCache>
            </c:numRef>
          </c:val>
        </c:ser>
        <c:ser>
          <c:idx val="2"/>
          <c:order val="2"/>
          <c:tx>
            <c:strRef>
              <c:f>Sheet1!$A$4</c:f>
              <c:strCache>
                <c:ptCount val="1"/>
                <c:pt idx="0">
                  <c:v>Sociālās zinātnes, komerczinības un tiesības</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(Sheet1!$B$4;Sheet1!$D$4;Sheet1!$H$4)</c:f>
              <c:numCache>
                <c:formatCode>0</c:formatCode>
                <c:ptCount val="3"/>
                <c:pt idx="0">
                  <c:v>15.318146111547525</c:v>
                </c:pt>
                <c:pt idx="1">
                  <c:v>16.00175361683473</c:v>
                </c:pt>
                <c:pt idx="2">
                  <c:v>10.755707483823709</c:v>
                </c:pt>
              </c:numCache>
            </c:numRef>
          </c:val>
        </c:ser>
        <c:ser>
          <c:idx val="3"/>
          <c:order val="3"/>
          <c:tx>
            <c:strRef>
              <c:f>Sheet1!$A$5</c:f>
              <c:strCache>
                <c:ptCount val="1"/>
                <c:pt idx="0">
                  <c:v>Dabas zinātnes, matemātika un informācijas tehnoloģijas</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(Sheet1!$B$5;Sheet1!$D$5;Sheet1!$H$5)</c:f>
              <c:numCache>
                <c:formatCode>0</c:formatCode>
                <c:ptCount val="3"/>
                <c:pt idx="0">
                  <c:v>5.7344854673998356</c:v>
                </c:pt>
                <c:pt idx="1">
                  <c:v>5.8636562911003951</c:v>
                </c:pt>
                <c:pt idx="2">
                  <c:v>3.967769503113173</c:v>
                </c:pt>
              </c:numCache>
            </c:numRef>
          </c:val>
        </c:ser>
        <c:ser>
          <c:idx val="4"/>
          <c:order val="4"/>
          <c:tx>
            <c:strRef>
              <c:f>Sheet1!$A$6</c:f>
              <c:strCache>
                <c:ptCount val="1"/>
                <c:pt idx="0">
                  <c:v>Inženierzinātnes, ražošana  un būvniecība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(Sheet1!$B$6;Sheet1!$D$6;Sheet1!$H$6)</c:f>
              <c:numCache>
                <c:formatCode>0</c:formatCode>
                <c:ptCount val="3"/>
                <c:pt idx="0">
                  <c:v>41.263606778139383</c:v>
                </c:pt>
                <c:pt idx="1">
                  <c:v>40.124945199473913</c:v>
                </c:pt>
                <c:pt idx="2">
                  <c:v>41.631058478818204</c:v>
                </c:pt>
              </c:numCache>
            </c:numRef>
          </c:val>
        </c:ser>
        <c:ser>
          <c:idx val="5"/>
          <c:order val="5"/>
          <c:tx>
            <c:strRef>
              <c:f>Sheet1!$A$7</c:f>
              <c:strCache>
                <c:ptCount val="1"/>
                <c:pt idx="0">
                  <c:v>Lauksaimniecība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(Sheet1!$B$7;Sheet1!$D$7;Sheet1!$H$7)</c:f>
              <c:numCache>
                <c:formatCode>0</c:formatCode>
                <c:ptCount val="3"/>
                <c:pt idx="0">
                  <c:v>1.7843115250813621</c:v>
                </c:pt>
                <c:pt idx="1">
                  <c:v>2.4002630425252085</c:v>
                </c:pt>
                <c:pt idx="2">
                  <c:v>3.2840922964229811</c:v>
                </c:pt>
              </c:numCache>
            </c:numRef>
          </c:val>
        </c:ser>
        <c:ser>
          <c:idx val="6"/>
          <c:order val="6"/>
          <c:tx>
            <c:strRef>
              <c:f>Sheet1!$A$8</c:f>
              <c:strCache>
                <c:ptCount val="1"/>
                <c:pt idx="0">
                  <c:v>Veselības aprūpe un sociālā labklājība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(Sheet1!$B$8;Sheet1!$D$8;Sheet1!$H$8)</c:f>
              <c:numCache>
                <c:formatCode>0</c:formatCode>
                <c:ptCount val="3"/>
                <c:pt idx="0">
                  <c:v>4.1858377286499655</c:v>
                </c:pt>
                <c:pt idx="1">
                  <c:v>3.6825953529154458</c:v>
                </c:pt>
                <c:pt idx="2">
                  <c:v>6.3728482480771556</c:v>
                </c:pt>
              </c:numCache>
            </c:numRef>
          </c:val>
        </c:ser>
        <c:ser>
          <c:idx val="7"/>
          <c:order val="7"/>
          <c:tx>
            <c:strRef>
              <c:f>Sheet1!$A$9</c:f>
              <c:strCache>
                <c:ptCount val="1"/>
                <c:pt idx="0">
                  <c:v>Pakalpojumi</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(Sheet1!$B$9;Sheet1!$D$9;Sheet1!$H$9)</c:f>
              <c:numCache>
                <c:formatCode>0</c:formatCode>
                <c:ptCount val="3"/>
                <c:pt idx="0">
                  <c:v>22.612501402760632</c:v>
                </c:pt>
                <c:pt idx="1">
                  <c:v>21.898290223586127</c:v>
                </c:pt>
                <c:pt idx="2">
                  <c:v>26.089610548161904</c:v>
                </c:pt>
              </c:numCache>
            </c:numRef>
          </c:val>
        </c:ser>
        <c:dLbls/>
        <c:gapWidth val="50"/>
        <c:overlap val="100"/>
        <c:axId val="90848256"/>
        <c:axId val="90878720"/>
      </c:barChart>
      <c:catAx>
        <c:axId val="90848256"/>
        <c:scaling>
          <c:orientation val="minMax"/>
        </c:scaling>
        <c:axPos val="b"/>
        <c:numFmt formatCode="General" sourceLinked="1"/>
        <c:tickLblPos val="nextTo"/>
        <c:txPr>
          <a:bodyPr rot="0" vert="horz"/>
          <a:lstStyle/>
          <a:p>
            <a:pPr>
              <a:defRPr/>
            </a:pPr>
            <a:endParaRPr lang="lv-LV"/>
          </a:p>
        </c:txPr>
        <c:crossAx val="90878720"/>
        <c:crosses val="autoZero"/>
        <c:auto val="1"/>
        <c:lblAlgn val="ctr"/>
        <c:lblOffset val="100"/>
      </c:catAx>
      <c:valAx>
        <c:axId val="90878720"/>
        <c:scaling>
          <c:orientation val="minMax"/>
        </c:scaling>
        <c:axPos val="l"/>
        <c:numFmt formatCode="0%" sourceLinked="1"/>
        <c:tickLblPos val="nextTo"/>
        <c:txPr>
          <a:bodyPr rot="0" vert="horz"/>
          <a:lstStyle/>
          <a:p>
            <a:pPr>
              <a:defRPr/>
            </a:pPr>
            <a:endParaRPr lang="lv-LV"/>
          </a:p>
        </c:txPr>
        <c:crossAx val="90848256"/>
        <c:crosses val="autoZero"/>
        <c:crossBetween val="between"/>
        <c:majorUnit val="0.2"/>
      </c:valAx>
    </c:plotArea>
    <c:plotVisOnly val="1"/>
    <c:dispBlanksAs val="gap"/>
  </c:chart>
  <c:spPr>
    <a:ln>
      <a:noFill/>
    </a:ln>
  </c:spPr>
  <c:txPr>
    <a:bodyPr/>
    <a:lstStyle/>
    <a:p>
      <a:pPr>
        <a:defRPr sz="900">
          <a:latin typeface="Segoe UI Semilight" panose="020B0402040204020203" pitchFamily="34" charset="0"/>
          <a:cs typeface="Segoe UI Semilight" panose="020B0402040204020203" pitchFamily="34" charset="0"/>
        </a:defRPr>
      </a:pPr>
      <a:endParaRPr lang="lv-LV"/>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lv-LV"/>
  <c:chart>
    <c:plotArea>
      <c:layout>
        <c:manualLayout>
          <c:layoutTarget val="inner"/>
          <c:xMode val="edge"/>
          <c:yMode val="edge"/>
          <c:x val="0.42408868202446409"/>
          <c:y val="2.9322738259412468E-2"/>
          <c:w val="2.4619779670398342E-2"/>
          <c:h val="6.2573160428212302E-2"/>
        </c:manualLayout>
      </c:layout>
      <c:barChart>
        <c:barDir val="col"/>
        <c:grouping val="percentStacked"/>
        <c:ser>
          <c:idx val="0"/>
          <c:order val="0"/>
          <c:tx>
            <c:strRef>
              <c:f>Sheet1!$A$2</c:f>
              <c:strCache>
                <c:ptCount val="1"/>
                <c:pt idx="0">
                  <c:v>Izglītība</c:v>
                </c:pt>
              </c:strCache>
            </c:strRef>
          </c:tx>
          <c:cat>
            <c:numRef>
              <c:f>(Sheet1!$B$1;Sheet1!$D$1;Sheet1!$G$1)</c:f>
              <c:numCache>
                <c:formatCode>General</c:formatCode>
                <c:ptCount val="3"/>
                <c:pt idx="0">
                  <c:v>2008</c:v>
                </c:pt>
                <c:pt idx="1">
                  <c:v>2010</c:v>
                </c:pt>
                <c:pt idx="2">
                  <c:v>2013</c:v>
                </c:pt>
              </c:numCache>
            </c:numRef>
          </c:cat>
          <c:val>
            <c:numRef>
              <c:f>(Sheet1!$B$2;Sheet1!$D$2;Sheet1!$G$2)</c:f>
              <c:numCache>
                <c:formatCode>0.0</c:formatCode>
                <c:ptCount val="3"/>
                <c:pt idx="0">
                  <c:v>10.314439387670674</c:v>
                </c:pt>
                <c:pt idx="1">
                  <c:v>8.3104162742514767</c:v>
                </c:pt>
                <c:pt idx="2">
                  <c:v>7.487274409995373</c:v>
                </c:pt>
              </c:numCache>
            </c:numRef>
          </c:val>
        </c:ser>
        <c:ser>
          <c:idx val="1"/>
          <c:order val="1"/>
          <c:tx>
            <c:strRef>
              <c:f>Sheet1!$A$3</c:f>
              <c:strCache>
                <c:ptCount val="1"/>
                <c:pt idx="0">
                  <c:v>Humanitārās zinātnes un māksla</c:v>
                </c:pt>
              </c:strCache>
            </c:strRef>
          </c:tx>
          <c:cat>
            <c:numRef>
              <c:f>(Sheet1!$B$1;Sheet1!$D$1;Sheet1!$G$1)</c:f>
              <c:numCache>
                <c:formatCode>General</c:formatCode>
                <c:ptCount val="3"/>
                <c:pt idx="0">
                  <c:v>2008</c:v>
                </c:pt>
                <c:pt idx="1">
                  <c:v>2010</c:v>
                </c:pt>
                <c:pt idx="2">
                  <c:v>2013</c:v>
                </c:pt>
              </c:numCache>
            </c:numRef>
          </c:cat>
          <c:val>
            <c:numRef>
              <c:f>(Sheet1!$B$3;Sheet1!$D$3;Sheet1!$G$3)</c:f>
              <c:numCache>
                <c:formatCode>0.0</c:formatCode>
                <c:ptCount val="3"/>
                <c:pt idx="0">
                  <c:v>7.1452213487794785</c:v>
                </c:pt>
                <c:pt idx="1">
                  <c:v>7.2216990016952414</c:v>
                </c:pt>
                <c:pt idx="2">
                  <c:v>8.2415548357242248</c:v>
                </c:pt>
              </c:numCache>
            </c:numRef>
          </c:val>
        </c:ser>
        <c:ser>
          <c:idx val="2"/>
          <c:order val="2"/>
          <c:tx>
            <c:strRef>
              <c:f>Sheet1!$A$4</c:f>
              <c:strCache>
                <c:ptCount val="1"/>
                <c:pt idx="0">
                  <c:v>Sociālās zinātnes, komerczinības un tiesības</c:v>
                </c:pt>
              </c:strCache>
            </c:strRef>
          </c:tx>
          <c:cat>
            <c:numRef>
              <c:f>(Sheet1!$B$1;Sheet1!$D$1;Sheet1!$G$1)</c:f>
              <c:numCache>
                <c:formatCode>General</c:formatCode>
                <c:ptCount val="3"/>
                <c:pt idx="0">
                  <c:v>2008</c:v>
                </c:pt>
                <c:pt idx="1">
                  <c:v>2010</c:v>
                </c:pt>
                <c:pt idx="2">
                  <c:v>2013</c:v>
                </c:pt>
              </c:numCache>
            </c:numRef>
          </c:cat>
          <c:val>
            <c:numRef>
              <c:f>(Sheet1!$B$4;Sheet1!$D$4;Sheet1!$G$4)</c:f>
              <c:numCache>
                <c:formatCode>0.0</c:formatCode>
                <c:ptCount val="3"/>
                <c:pt idx="0">
                  <c:v>55.035167563094745</c:v>
                </c:pt>
                <c:pt idx="1">
                  <c:v>54.311546430589544</c:v>
                </c:pt>
                <c:pt idx="2">
                  <c:v>39.861175381767701</c:v>
                </c:pt>
              </c:numCache>
            </c:numRef>
          </c:val>
        </c:ser>
        <c:ser>
          <c:idx val="3"/>
          <c:order val="3"/>
          <c:tx>
            <c:strRef>
              <c:f>Sheet1!$A$5</c:f>
              <c:strCache>
                <c:ptCount val="1"/>
                <c:pt idx="0">
                  <c:v>Dabas zinātnes, matemātika un informācijas tehnoloģijas</c:v>
                </c:pt>
              </c:strCache>
            </c:strRef>
          </c:tx>
          <c:cat>
            <c:numRef>
              <c:f>(Sheet1!$B$1;Sheet1!$D$1;Sheet1!$G$1)</c:f>
              <c:numCache>
                <c:formatCode>General</c:formatCode>
                <c:ptCount val="3"/>
                <c:pt idx="0">
                  <c:v>2008</c:v>
                </c:pt>
                <c:pt idx="1">
                  <c:v>2010</c:v>
                </c:pt>
                <c:pt idx="2">
                  <c:v>2013</c:v>
                </c:pt>
              </c:numCache>
            </c:numRef>
          </c:cat>
          <c:val>
            <c:numRef>
              <c:f>(Sheet1!$B$5;Sheet1!$D$5;Sheet1!$G$5)</c:f>
              <c:numCache>
                <c:formatCode>0.0</c:formatCode>
                <c:ptCount val="3"/>
                <c:pt idx="0">
                  <c:v>5.0682664460074465</c:v>
                </c:pt>
                <c:pt idx="1">
                  <c:v>5.0329628932002324</c:v>
                </c:pt>
                <c:pt idx="2">
                  <c:v>5.9602036094400814</c:v>
                </c:pt>
              </c:numCache>
            </c:numRef>
          </c:val>
        </c:ser>
        <c:ser>
          <c:idx val="4"/>
          <c:order val="4"/>
          <c:tx>
            <c:strRef>
              <c:f>Sheet1!$A$6</c:f>
              <c:strCache>
                <c:ptCount val="1"/>
                <c:pt idx="0">
                  <c:v>Inženierzinātnes, ražošana  un būvniecība</c:v>
                </c:pt>
              </c:strCache>
            </c:strRef>
          </c:tx>
          <c:cat>
            <c:numRef>
              <c:f>(Sheet1!$B$1;Sheet1!$D$1;Sheet1!$G$1)</c:f>
              <c:numCache>
                <c:formatCode>General</c:formatCode>
                <c:ptCount val="3"/>
                <c:pt idx="0">
                  <c:v>2008</c:v>
                </c:pt>
                <c:pt idx="1">
                  <c:v>2010</c:v>
                </c:pt>
                <c:pt idx="2">
                  <c:v>2013</c:v>
                </c:pt>
              </c:numCache>
            </c:numRef>
          </c:cat>
          <c:val>
            <c:numRef>
              <c:f>(Sheet1!$B$6;Sheet1!$D$6;Sheet1!$G$6)</c:f>
              <c:numCache>
                <c:formatCode>0.0</c:formatCode>
                <c:ptCount val="3"/>
                <c:pt idx="0">
                  <c:v>7.5879189077368245</c:v>
                </c:pt>
                <c:pt idx="1">
                  <c:v>9.2861179129779625</c:v>
                </c:pt>
                <c:pt idx="2">
                  <c:v>11.943544655252326</c:v>
                </c:pt>
              </c:numCache>
            </c:numRef>
          </c:val>
        </c:ser>
        <c:ser>
          <c:idx val="5"/>
          <c:order val="5"/>
          <c:tx>
            <c:strRef>
              <c:f>Sheet1!$A$7</c:f>
              <c:strCache>
                <c:ptCount val="1"/>
                <c:pt idx="0">
                  <c:v>Lauksaimniecība</c:v>
                </c:pt>
              </c:strCache>
            </c:strRef>
          </c:tx>
          <c:cat>
            <c:numRef>
              <c:f>(Sheet1!$B$1;Sheet1!$D$1;Sheet1!$G$1)</c:f>
              <c:numCache>
                <c:formatCode>General</c:formatCode>
                <c:ptCount val="3"/>
                <c:pt idx="0">
                  <c:v>2008</c:v>
                </c:pt>
                <c:pt idx="1">
                  <c:v>2010</c:v>
                </c:pt>
                <c:pt idx="2">
                  <c:v>2013</c:v>
                </c:pt>
              </c:numCache>
            </c:numRef>
          </c:cat>
          <c:val>
            <c:numRef>
              <c:f>(Sheet1!$B$7;Sheet1!$D$7;Sheet1!$G$7)</c:f>
              <c:numCache>
                <c:formatCode>0.0</c:formatCode>
                <c:ptCount val="3"/>
                <c:pt idx="0">
                  <c:v>0.74472486553580775</c:v>
                </c:pt>
                <c:pt idx="1">
                  <c:v>0.86268600489734359</c:v>
                </c:pt>
                <c:pt idx="2">
                  <c:v>1.073577047663119</c:v>
                </c:pt>
              </c:numCache>
            </c:numRef>
          </c:val>
        </c:ser>
        <c:ser>
          <c:idx val="6"/>
          <c:order val="6"/>
          <c:tx>
            <c:strRef>
              <c:f>Sheet1!$A$8</c:f>
              <c:strCache>
                <c:ptCount val="1"/>
                <c:pt idx="0">
                  <c:v>Veselības aprūpe un sociālā labklājība</c:v>
                </c:pt>
              </c:strCache>
            </c:strRef>
          </c:tx>
          <c:cat>
            <c:numRef>
              <c:f>(Sheet1!$B$1;Sheet1!$D$1;Sheet1!$G$1)</c:f>
              <c:numCache>
                <c:formatCode>General</c:formatCode>
                <c:ptCount val="3"/>
                <c:pt idx="0">
                  <c:v>2008</c:v>
                </c:pt>
                <c:pt idx="1">
                  <c:v>2010</c:v>
                </c:pt>
                <c:pt idx="2">
                  <c:v>2013</c:v>
                </c:pt>
              </c:numCache>
            </c:numRef>
          </c:cat>
          <c:val>
            <c:numRef>
              <c:f>(Sheet1!$B$8;Sheet1!$D$8;Sheet1!$G$8)</c:f>
              <c:numCache>
                <c:formatCode>0.0</c:formatCode>
                <c:ptCount val="3"/>
                <c:pt idx="0">
                  <c:v>7.9313198179561439</c:v>
                </c:pt>
                <c:pt idx="1">
                  <c:v>9.2522132228291607</c:v>
                </c:pt>
                <c:pt idx="2">
                  <c:v>18.232299861174809</c:v>
                </c:pt>
              </c:numCache>
            </c:numRef>
          </c:val>
        </c:ser>
        <c:ser>
          <c:idx val="7"/>
          <c:order val="7"/>
          <c:tx>
            <c:strRef>
              <c:f>Sheet1!$A$9</c:f>
              <c:strCache>
                <c:ptCount val="1"/>
                <c:pt idx="0">
                  <c:v>Pakalpojumi</c:v>
                </c:pt>
              </c:strCache>
            </c:strRef>
          </c:tx>
          <c:cat>
            <c:numRef>
              <c:f>(Sheet1!$B$1;Sheet1!$D$1;Sheet1!$G$1)</c:f>
              <c:numCache>
                <c:formatCode>General</c:formatCode>
                <c:ptCount val="3"/>
                <c:pt idx="0">
                  <c:v>2008</c:v>
                </c:pt>
                <c:pt idx="1">
                  <c:v>2010</c:v>
                </c:pt>
                <c:pt idx="2">
                  <c:v>2013</c:v>
                </c:pt>
              </c:numCache>
            </c:numRef>
          </c:cat>
          <c:val>
            <c:numRef>
              <c:f>(Sheet1!$B$9;Sheet1!$D$9;Sheet1!$G$9)</c:f>
              <c:numCache>
                <c:formatCode>0.0</c:formatCode>
                <c:ptCount val="3"/>
                <c:pt idx="0">
                  <c:v>6.0322714108398934</c:v>
                </c:pt>
                <c:pt idx="1">
                  <c:v>5.6507816914673175</c:v>
                </c:pt>
                <c:pt idx="2">
                  <c:v>7.2003701989819522</c:v>
                </c:pt>
              </c:numCache>
            </c:numRef>
          </c:val>
        </c:ser>
        <c:dLbls/>
        <c:gapWidth val="40"/>
        <c:overlap val="100"/>
        <c:axId val="93725056"/>
        <c:axId val="93726592"/>
      </c:barChart>
      <c:catAx>
        <c:axId val="93725056"/>
        <c:scaling>
          <c:orientation val="minMax"/>
        </c:scaling>
        <c:delete val="1"/>
        <c:axPos val="b"/>
        <c:numFmt formatCode="General" sourceLinked="1"/>
        <c:tickLblPos val="none"/>
        <c:crossAx val="93726592"/>
        <c:crosses val="autoZero"/>
        <c:auto val="1"/>
        <c:lblAlgn val="ctr"/>
        <c:lblOffset val="100"/>
      </c:catAx>
      <c:valAx>
        <c:axId val="93726592"/>
        <c:scaling>
          <c:orientation val="minMax"/>
        </c:scaling>
        <c:delete val="1"/>
        <c:axPos val="l"/>
        <c:numFmt formatCode="0%" sourceLinked="1"/>
        <c:tickLblPos val="none"/>
        <c:crossAx val="93725056"/>
        <c:crosses val="autoZero"/>
        <c:crossBetween val="between"/>
        <c:majorUnit val="0.2"/>
      </c:valAx>
    </c:plotArea>
    <c:legend>
      <c:legendPos val="r"/>
      <c:layout>
        <c:manualLayout>
          <c:xMode val="edge"/>
          <c:yMode val="edge"/>
          <c:x val="2.4703747753691812E-3"/>
          <c:y val="2.2187990335970291E-2"/>
          <c:w val="0.99645730061030136"/>
          <c:h val="0.97590163097319704"/>
        </c:manualLayout>
      </c:layout>
      <c:spPr>
        <a:solidFill>
          <a:schemeClr val="bg1"/>
        </a:solidFill>
      </c:spPr>
    </c:legend>
    <c:plotVisOnly val="1"/>
    <c:dispBlanksAs val="gap"/>
  </c:chart>
  <c:spPr>
    <a:ln>
      <a:noFill/>
    </a:ln>
  </c:spPr>
  <c:txPr>
    <a:bodyPr/>
    <a:lstStyle/>
    <a:p>
      <a:pPr>
        <a:defRPr sz="900">
          <a:latin typeface="Segoe UI Semilight" panose="020B0402040204020203" pitchFamily="34" charset="0"/>
          <a:cs typeface="Segoe UI Semilight" panose="020B0402040204020203" pitchFamily="34" charset="0"/>
        </a:defRPr>
      </a:pPr>
      <a:endParaRPr lang="lv-LV"/>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lv-LV"/>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Sheet11!$C$19:$C$24</c:f>
              <c:strCache>
                <c:ptCount val="6"/>
                <c:pt idx="0">
                  <c:v>Izglītības tematiskā joma „Vides aizsardzība”</c:v>
                </c:pt>
                <c:pt idx="1">
                  <c:v>Izglītības tematiskā joma "Mākslas"</c:v>
                </c:pt>
                <c:pt idx="2">
                  <c:v>Izglītības tematiskā joma „Veselības aprūpe” </c:v>
                </c:pt>
                <c:pt idx="3">
                  <c:v>Izglītības tematiskā grupa "Lauksaimniecība" </c:v>
                </c:pt>
                <c:pt idx="4">
                  <c:v>Izglītības tematiskā grupa „Inženierzinātnes, ražošana un būvniecība”</c:v>
                </c:pt>
                <c:pt idx="5">
                  <c:v>Izglītības tematiskā grupa „Dabaszinātnes, matemātika un informācijas tehnoloģijas ”</c:v>
                </c:pt>
              </c:strCache>
            </c:strRef>
          </c:cat>
          <c:val>
            <c:numRef>
              <c:f>Sheet11!$D$19:$D$24</c:f>
              <c:numCache>
                <c:formatCode>General</c:formatCode>
                <c:ptCount val="6"/>
                <c:pt idx="0">
                  <c:v>19</c:v>
                </c:pt>
                <c:pt idx="1">
                  <c:v>114</c:v>
                </c:pt>
                <c:pt idx="2">
                  <c:v>2380</c:v>
                </c:pt>
                <c:pt idx="3">
                  <c:v>261</c:v>
                </c:pt>
                <c:pt idx="4">
                  <c:v>1404</c:v>
                </c:pt>
                <c:pt idx="5">
                  <c:v>538</c:v>
                </c:pt>
              </c:numCache>
            </c:numRef>
          </c:val>
        </c:ser>
        <c:dLbls>
          <c:showVal val="1"/>
        </c:dLbls>
        <c:gapWidth val="182"/>
        <c:axId val="93792512"/>
        <c:axId val="93806592"/>
      </c:barChart>
      <c:catAx>
        <c:axId val="937925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3806592"/>
        <c:crosses val="autoZero"/>
        <c:auto val="1"/>
        <c:lblAlgn val="ctr"/>
        <c:lblOffset val="100"/>
      </c:catAx>
      <c:valAx>
        <c:axId val="9380659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37925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lv-LV"/>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Sheet2!$C$10</c:f>
              <c:strCache>
                <c:ptCount val="1"/>
                <c:pt idx="0">
                  <c:v>audzēkņu skaits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Sheet2!$B$11:$B$27</c:f>
              <c:strCache>
                <c:ptCount val="17"/>
                <c:pt idx="0">
                  <c:v>Juridiskā koledža</c:v>
                </c:pt>
                <c:pt idx="1">
                  <c:v>Latvijas Biznesa koledža</c:v>
                </c:pt>
                <c:pt idx="2">
                  <c:v>Novikontas jūras koledža</c:v>
                </c:pt>
                <c:pt idx="3">
                  <c:v>Latvijas Kultūras akadēmijas Latvijas Kultūras koledža</c:v>
                </c:pt>
                <c:pt idx="4">
                  <c:v>Sociālās integrācijas valsts aģentūras koledža </c:v>
                </c:pt>
                <c:pt idx="5">
                  <c:v>Alberta koledža</c:v>
                </c:pt>
                <c:pt idx="6">
                  <c:v>Latvijas Universitātes P.Stradiņa medicīnas koledža</c:v>
                </c:pt>
                <c:pt idx="7">
                  <c:v>Latvijas Universitātes Rīgas Medicīnas koledža </c:v>
                </c:pt>
                <c:pt idx="8">
                  <c:v>Daugavpils medicīnas koledža</c:v>
                </c:pt>
                <c:pt idx="9">
                  <c:v>Rīgas Stradiņa universitātes Sarkanā Krusta medicīnas koledža</c:v>
                </c:pt>
                <c:pt idx="10">
                  <c:v>Jēkabpils Agrobiznesa koledža</c:v>
                </c:pt>
                <c:pt idx="11">
                  <c:v>Rīgas 1.medicīnas koledža</c:v>
                </c:pt>
                <c:pt idx="12">
                  <c:v>Olaines Mehānikas un tehnoloģijas koledža</c:v>
                </c:pt>
                <c:pt idx="13">
                  <c:v>Malnavas koledža</c:v>
                </c:pt>
                <c:pt idx="14">
                  <c:v>Liepājas Jūrniecības koledža</c:v>
                </c:pt>
                <c:pt idx="15">
                  <c:v>Rīgas Celtniecības koledža</c:v>
                </c:pt>
                <c:pt idx="16">
                  <c:v>PIKC Rīgas Tehniskā koledža</c:v>
                </c:pt>
              </c:strCache>
            </c:strRef>
          </c:cat>
          <c:val>
            <c:numRef>
              <c:f>Sheet2!$C$11:$C$27</c:f>
              <c:numCache>
                <c:formatCode>General</c:formatCode>
                <c:ptCount val="17"/>
                <c:pt idx="0">
                  <c:v>0</c:v>
                </c:pt>
                <c:pt idx="1">
                  <c:v>0</c:v>
                </c:pt>
                <c:pt idx="2">
                  <c:v>0</c:v>
                </c:pt>
                <c:pt idx="3">
                  <c:v>0</c:v>
                </c:pt>
                <c:pt idx="4">
                  <c:v>0</c:v>
                </c:pt>
                <c:pt idx="5">
                  <c:v>0</c:v>
                </c:pt>
                <c:pt idx="6">
                  <c:v>0</c:v>
                </c:pt>
                <c:pt idx="7">
                  <c:v>0</c:v>
                </c:pt>
                <c:pt idx="8">
                  <c:v>60</c:v>
                </c:pt>
                <c:pt idx="9">
                  <c:v>145</c:v>
                </c:pt>
                <c:pt idx="10">
                  <c:v>123</c:v>
                </c:pt>
                <c:pt idx="11">
                  <c:v>489</c:v>
                </c:pt>
                <c:pt idx="12">
                  <c:v>162</c:v>
                </c:pt>
                <c:pt idx="13">
                  <c:v>563</c:v>
                </c:pt>
                <c:pt idx="14">
                  <c:v>284</c:v>
                </c:pt>
                <c:pt idx="15">
                  <c:v>394</c:v>
                </c:pt>
                <c:pt idx="16">
                  <c:v>1010</c:v>
                </c:pt>
              </c:numCache>
            </c:numRef>
          </c:val>
        </c:ser>
        <c:ser>
          <c:idx val="1"/>
          <c:order val="1"/>
          <c:tx>
            <c:strRef>
              <c:f>Sheet2!$D$10</c:f>
              <c:strCache>
                <c:ptCount val="1"/>
                <c:pt idx="0">
                  <c:v>studējošo skaits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Lbls>
            <c:dLbl>
              <c:idx val="13"/>
              <c:layout>
                <c:manualLayout>
                  <c:x val="2.2831949088555786E-3"/>
                  <c:y val="1.217945501323422E-7"/>
                </c:manualLayout>
              </c:layout>
              <c:showVal val="1"/>
              <c:extLst>
                <c:ext xmlns:c15="http://schemas.microsoft.com/office/drawing/2012/chart" uri="{CE6537A1-D6FC-4f65-9D91-7224C49458BB}"/>
              </c:extLst>
            </c:dLbl>
            <c:dLbl>
              <c:idx val="15"/>
              <c:layout>
                <c:manualLayout>
                  <c:x val="2.2831949088556627E-3"/>
                  <c:y val="-1.8561367645618811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Sheet2!$B$11:$B$27</c:f>
              <c:strCache>
                <c:ptCount val="17"/>
                <c:pt idx="0">
                  <c:v>Juridiskā koledža</c:v>
                </c:pt>
                <c:pt idx="1">
                  <c:v>Latvijas Biznesa koledža</c:v>
                </c:pt>
                <c:pt idx="2">
                  <c:v>Novikontas jūras koledža</c:v>
                </c:pt>
                <c:pt idx="3">
                  <c:v>Latvijas Kultūras akadēmijas Latvijas Kultūras koledža</c:v>
                </c:pt>
                <c:pt idx="4">
                  <c:v>Sociālās integrācijas valsts aģentūras koledža </c:v>
                </c:pt>
                <c:pt idx="5">
                  <c:v>Alberta koledža</c:v>
                </c:pt>
                <c:pt idx="6">
                  <c:v>Latvijas Universitātes P.Stradiņa medicīnas koledža</c:v>
                </c:pt>
                <c:pt idx="7">
                  <c:v>Latvijas Universitātes Rīgas Medicīnas koledža </c:v>
                </c:pt>
                <c:pt idx="8">
                  <c:v>Daugavpils medicīnas koledža</c:v>
                </c:pt>
                <c:pt idx="9">
                  <c:v>Rīgas Stradiņa universitātes Sarkanā Krusta medicīnas koledža</c:v>
                </c:pt>
                <c:pt idx="10">
                  <c:v>Jēkabpils Agrobiznesa koledža</c:v>
                </c:pt>
                <c:pt idx="11">
                  <c:v>Rīgas 1.medicīnas koledža</c:v>
                </c:pt>
                <c:pt idx="12">
                  <c:v>Olaines Mehānikas un tehnoloģijas koledža</c:v>
                </c:pt>
                <c:pt idx="13">
                  <c:v>Malnavas koledža</c:v>
                </c:pt>
                <c:pt idx="14">
                  <c:v>Liepājas Jūrniecības koledža</c:v>
                </c:pt>
                <c:pt idx="15">
                  <c:v>Rīgas Celtniecības koledža</c:v>
                </c:pt>
                <c:pt idx="16">
                  <c:v>PIKC Rīgas Tehniskā koledža</c:v>
                </c:pt>
              </c:strCache>
            </c:strRef>
          </c:cat>
          <c:val>
            <c:numRef>
              <c:f>Sheet2!$D$11:$D$27</c:f>
              <c:numCache>
                <c:formatCode>General</c:formatCode>
                <c:ptCount val="17"/>
                <c:pt idx="0">
                  <c:v>33</c:v>
                </c:pt>
                <c:pt idx="1">
                  <c:v>89</c:v>
                </c:pt>
                <c:pt idx="2">
                  <c:v>65</c:v>
                </c:pt>
                <c:pt idx="3">
                  <c:v>40</c:v>
                </c:pt>
                <c:pt idx="4">
                  <c:v>52</c:v>
                </c:pt>
                <c:pt idx="5">
                  <c:v>195</c:v>
                </c:pt>
                <c:pt idx="6">
                  <c:v>618</c:v>
                </c:pt>
                <c:pt idx="7">
                  <c:v>578</c:v>
                </c:pt>
                <c:pt idx="8">
                  <c:v>175</c:v>
                </c:pt>
                <c:pt idx="9">
                  <c:v>464</c:v>
                </c:pt>
                <c:pt idx="10">
                  <c:v>46</c:v>
                </c:pt>
                <c:pt idx="11">
                  <c:v>545</c:v>
                </c:pt>
                <c:pt idx="12">
                  <c:v>122</c:v>
                </c:pt>
                <c:pt idx="13">
                  <c:v>317</c:v>
                </c:pt>
                <c:pt idx="14">
                  <c:v>306</c:v>
                </c:pt>
                <c:pt idx="15">
                  <c:v>478</c:v>
                </c:pt>
                <c:pt idx="16">
                  <c:v>593</c:v>
                </c:pt>
              </c:numCache>
            </c:numRef>
          </c:val>
        </c:ser>
        <c:dLbls>
          <c:showVal val="1"/>
        </c:dLbls>
        <c:shape val="box"/>
        <c:axId val="93977600"/>
        <c:axId val="93872896"/>
        <c:axId val="0"/>
      </c:bar3DChart>
      <c:catAx>
        <c:axId val="93977600"/>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3872896"/>
        <c:crosses val="autoZero"/>
        <c:auto val="1"/>
        <c:lblAlgn val="ctr"/>
        <c:lblOffset val="100"/>
      </c:catAx>
      <c:valAx>
        <c:axId val="9387289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397760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lv-LV"/>
  <c:chart>
    <c:autoTitleDeleted val="1"/>
    <c:plotArea>
      <c:layout/>
      <c:lineChart>
        <c:grouping val="standard"/>
        <c:ser>
          <c:idx val="0"/>
          <c:order val="0"/>
          <c:tx>
            <c:strRef>
              <c:f>Sheet2!$B$5</c:f>
              <c:strCache>
                <c:ptCount val="1"/>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Sheet2!$C$4:$G$4</c:f>
              <c:strCache>
                <c:ptCount val="5"/>
                <c:pt idx="0">
                  <c:v>2011./2012.</c:v>
                </c:pt>
                <c:pt idx="1">
                  <c:v>2012./2013.</c:v>
                </c:pt>
                <c:pt idx="2">
                  <c:v>2013./2014.</c:v>
                </c:pt>
                <c:pt idx="3">
                  <c:v>2014./2015.</c:v>
                </c:pt>
                <c:pt idx="4">
                  <c:v>2015./2016.</c:v>
                </c:pt>
              </c:strCache>
            </c:strRef>
          </c:cat>
          <c:val>
            <c:numRef>
              <c:f>Sheet2!$C$5:$G$5</c:f>
              <c:numCache>
                <c:formatCode>General</c:formatCode>
                <c:ptCount val="5"/>
              </c:numCache>
            </c:numRef>
          </c:val>
        </c:ser>
        <c:ser>
          <c:idx val="1"/>
          <c:order val="1"/>
          <c:tx>
            <c:strRef>
              <c:f>Sheet2!$B$6</c:f>
              <c:strCache>
                <c:ptCount val="1"/>
                <c:pt idx="0">
                  <c:v>Imatrikulēti</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Sheet2!$C$4:$G$4</c:f>
              <c:strCache>
                <c:ptCount val="5"/>
                <c:pt idx="0">
                  <c:v>2011./2012.</c:v>
                </c:pt>
                <c:pt idx="1">
                  <c:v>2012./2013.</c:v>
                </c:pt>
                <c:pt idx="2">
                  <c:v>2013./2014.</c:v>
                </c:pt>
                <c:pt idx="3">
                  <c:v>2014./2015.</c:v>
                </c:pt>
                <c:pt idx="4">
                  <c:v>2015./2016.</c:v>
                </c:pt>
              </c:strCache>
            </c:strRef>
          </c:cat>
          <c:val>
            <c:numRef>
              <c:f>Sheet2!$C$6:$G$6</c:f>
              <c:numCache>
                <c:formatCode>General</c:formatCode>
                <c:ptCount val="5"/>
                <c:pt idx="0">
                  <c:v>1771</c:v>
                </c:pt>
                <c:pt idx="1">
                  <c:v>2101</c:v>
                </c:pt>
                <c:pt idx="2">
                  <c:v>2576</c:v>
                </c:pt>
                <c:pt idx="3">
                  <c:v>1958</c:v>
                </c:pt>
                <c:pt idx="4">
                  <c:v>1982</c:v>
                </c:pt>
              </c:numCache>
            </c:numRef>
          </c:val>
        </c:ser>
        <c:ser>
          <c:idx val="2"/>
          <c:order val="2"/>
          <c:tx>
            <c:strRef>
              <c:f>Sheet2!$B$7</c:f>
              <c:strCache>
                <c:ptCount val="1"/>
                <c:pt idx="0">
                  <c:v>Studē</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Sheet2!$C$4:$G$4</c:f>
              <c:strCache>
                <c:ptCount val="5"/>
                <c:pt idx="0">
                  <c:v>2011./2012.</c:v>
                </c:pt>
                <c:pt idx="1">
                  <c:v>2012./2013.</c:v>
                </c:pt>
                <c:pt idx="2">
                  <c:v>2013./2014.</c:v>
                </c:pt>
                <c:pt idx="3">
                  <c:v>2014./2015.</c:v>
                </c:pt>
                <c:pt idx="4">
                  <c:v>2015./2016.</c:v>
                </c:pt>
              </c:strCache>
            </c:strRef>
          </c:cat>
          <c:val>
            <c:numRef>
              <c:f>Sheet2!$C$7:$G$7</c:f>
              <c:numCache>
                <c:formatCode>General</c:formatCode>
                <c:ptCount val="5"/>
                <c:pt idx="0">
                  <c:v>4438</c:v>
                </c:pt>
                <c:pt idx="1">
                  <c:v>4659</c:v>
                </c:pt>
                <c:pt idx="2">
                  <c:v>4870</c:v>
                </c:pt>
                <c:pt idx="3">
                  <c:v>4688</c:v>
                </c:pt>
                <c:pt idx="4">
                  <c:v>4716</c:v>
                </c:pt>
              </c:numCache>
            </c:numRef>
          </c:val>
        </c:ser>
        <c:ser>
          <c:idx val="3"/>
          <c:order val="3"/>
          <c:tx>
            <c:strRef>
              <c:f>Sheet2!$B$8</c:f>
              <c:strCache>
                <c:ptCount val="1"/>
                <c:pt idx="0">
                  <c:v>Ieguvuši kvalifikāciju</c:v>
                </c:pt>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t"/>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Sheet2!$C$4:$G$4</c:f>
              <c:strCache>
                <c:ptCount val="5"/>
                <c:pt idx="0">
                  <c:v>2011./2012.</c:v>
                </c:pt>
                <c:pt idx="1">
                  <c:v>2012./2013.</c:v>
                </c:pt>
                <c:pt idx="2">
                  <c:v>2013./2014.</c:v>
                </c:pt>
                <c:pt idx="3">
                  <c:v>2014./2015.</c:v>
                </c:pt>
                <c:pt idx="4">
                  <c:v>2015./2016.</c:v>
                </c:pt>
              </c:strCache>
            </c:strRef>
          </c:cat>
          <c:val>
            <c:numRef>
              <c:f>Sheet2!$C$8:$G$8</c:f>
              <c:numCache>
                <c:formatCode>General</c:formatCode>
                <c:ptCount val="5"/>
                <c:pt idx="0">
                  <c:v>1105</c:v>
                </c:pt>
                <c:pt idx="1">
                  <c:v>1407</c:v>
                </c:pt>
                <c:pt idx="2">
                  <c:v>1102</c:v>
                </c:pt>
                <c:pt idx="3">
                  <c:v>1256</c:v>
                </c:pt>
              </c:numCache>
            </c:numRef>
          </c:val>
        </c:ser>
        <c:dLbls>
          <c:showVal val="1"/>
        </c:dLbls>
        <c:marker val="1"/>
        <c:axId val="93982080"/>
        <c:axId val="93987968"/>
      </c:lineChart>
      <c:catAx>
        <c:axId val="939820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3987968"/>
        <c:crosses val="autoZero"/>
        <c:auto val="1"/>
        <c:lblAlgn val="ctr"/>
        <c:lblOffset val="100"/>
      </c:catAx>
      <c:valAx>
        <c:axId val="9398796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3982080"/>
        <c:crosses val="autoZero"/>
        <c:crossBetween val="between"/>
      </c:valAx>
      <c:spPr>
        <a:noFill/>
        <a:ln>
          <a:noFill/>
        </a:ln>
        <a:effectLst/>
      </c:spPr>
    </c:plotArea>
    <c:legend>
      <c:legendPos val="b"/>
      <c:legendEntry>
        <c:idx val="0"/>
        <c:delete val="1"/>
      </c:legendEntry>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lv-LV"/>
  <c:chart>
    <c:autoTitleDeleted val="1"/>
    <c:plotArea>
      <c:layout/>
      <c:barChart>
        <c:barDir val="bar"/>
        <c:grouping val="clustered"/>
        <c:ser>
          <c:idx val="0"/>
          <c:order val="0"/>
          <c:tx>
            <c:strRef>
              <c:f>Sheet4!$C$3</c:f>
              <c:strCache>
                <c:ptCount val="1"/>
                <c:pt idx="0">
                  <c:v>1.līmeņa profesionālās augstākās izglītības studiju programmu skaits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outEnd"/>
            <c:showVal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Sheet4!$B$4:$B$9</c:f>
              <c:strCache>
                <c:ptCount val="6"/>
                <c:pt idx="0">
                  <c:v>Izglītības tematiskā joma „Vides aizsardzība”</c:v>
                </c:pt>
                <c:pt idx="1">
                  <c:v>Izglītības tematiskā joma "Mākslas"</c:v>
                </c:pt>
                <c:pt idx="2">
                  <c:v>Izglītības tematiskā grupa "Lauksaimniecība"</c:v>
                </c:pt>
                <c:pt idx="3">
                  <c:v>Izglītības tematiskā joma „Veselības aprūpe” </c:v>
                </c:pt>
                <c:pt idx="4">
                  <c:v>Izglītības tematiskā grupa „Inženierzinātnes, ražošana un būvniecība”</c:v>
                </c:pt>
                <c:pt idx="5">
                  <c:v>Izglītības tematiskā grupa „Dabaszinātnes, matemātika un informācijas tehnoloģijas ”</c:v>
                </c:pt>
              </c:strCache>
            </c:strRef>
          </c:cat>
          <c:val>
            <c:numRef>
              <c:f>Sheet4!$C$4:$C$9</c:f>
              <c:numCache>
                <c:formatCode>General</c:formatCode>
                <c:ptCount val="6"/>
                <c:pt idx="0">
                  <c:v>1</c:v>
                </c:pt>
                <c:pt idx="1">
                  <c:v>1</c:v>
                </c:pt>
                <c:pt idx="2">
                  <c:v>1</c:v>
                </c:pt>
                <c:pt idx="3">
                  <c:v>4</c:v>
                </c:pt>
                <c:pt idx="4">
                  <c:v>17</c:v>
                </c:pt>
                <c:pt idx="5">
                  <c:v>2</c:v>
                </c:pt>
              </c:numCache>
            </c:numRef>
          </c:val>
        </c:ser>
        <c:ser>
          <c:idx val="1"/>
          <c:order val="1"/>
          <c:tx>
            <c:strRef>
              <c:f>Sheet4!$D$3</c:f>
              <c:strCache>
                <c:ptCount val="1"/>
                <c:pt idx="0">
                  <c:v>profesionālās vidējās izglītības un arodizglītības programmu skaits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outEnd"/>
            <c:showVal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Sheet4!$B$4:$B$9</c:f>
              <c:strCache>
                <c:ptCount val="6"/>
                <c:pt idx="0">
                  <c:v>Izglītības tematiskā joma „Vides aizsardzība”</c:v>
                </c:pt>
                <c:pt idx="1">
                  <c:v>Izglītības tematiskā joma "Mākslas"</c:v>
                </c:pt>
                <c:pt idx="2">
                  <c:v>Izglītības tematiskā grupa "Lauksaimniecība"</c:v>
                </c:pt>
                <c:pt idx="3">
                  <c:v>Izglītības tematiskā joma „Veselības aprūpe” </c:v>
                </c:pt>
                <c:pt idx="4">
                  <c:v>Izglītības tematiskā grupa „Inženierzinātnes, ražošana un būvniecība”</c:v>
                </c:pt>
                <c:pt idx="5">
                  <c:v>Izglītības tematiskā grupa „Dabaszinātnes, matemātika un informācijas tehnoloģijas ”</c:v>
                </c:pt>
              </c:strCache>
            </c:strRef>
          </c:cat>
          <c:val>
            <c:numRef>
              <c:f>Sheet4!$D$4:$D$9</c:f>
              <c:numCache>
                <c:formatCode>General</c:formatCode>
                <c:ptCount val="6"/>
                <c:pt idx="0">
                  <c:v>1</c:v>
                </c:pt>
                <c:pt idx="2">
                  <c:v>3</c:v>
                </c:pt>
                <c:pt idx="3">
                  <c:v>8</c:v>
                </c:pt>
                <c:pt idx="4">
                  <c:v>19</c:v>
                </c:pt>
                <c:pt idx="5">
                  <c:v>4</c:v>
                </c:pt>
              </c:numCache>
            </c:numRef>
          </c:val>
        </c:ser>
        <c:dLbls>
          <c:showVal val="1"/>
        </c:dLbls>
        <c:gapWidth val="100"/>
        <c:axId val="94148480"/>
        <c:axId val="94150016"/>
      </c:barChart>
      <c:catAx>
        <c:axId val="94148480"/>
        <c:scaling>
          <c:orientation val="minMax"/>
        </c:scaling>
        <c:axPos val="l"/>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94150016"/>
        <c:crosses val="autoZero"/>
        <c:auto val="1"/>
        <c:lblAlgn val="ctr"/>
        <c:lblOffset val="100"/>
      </c:catAx>
      <c:valAx>
        <c:axId val="94150016"/>
        <c:scaling>
          <c:orientation val="minMax"/>
        </c:scaling>
        <c:axPos val="b"/>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9414848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lv-LV"/>
  <c:chart>
    <c:autoTitleDeleted val="1"/>
    <c:plotArea>
      <c:layout>
        <c:manualLayout>
          <c:layoutTarget val="inner"/>
          <c:xMode val="edge"/>
          <c:yMode val="edge"/>
          <c:x val="0.44343244407881849"/>
          <c:y val="4.7159699892819033E-2"/>
          <c:w val="0.51149292905550958"/>
          <c:h val="0.85338363251218186"/>
        </c:manualLayout>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Sheet8!$B$33:$B$39</c:f>
              <c:strCache>
                <c:ptCount val="7"/>
                <c:pt idx="0">
                  <c:v>Lauksaimniecība</c:v>
                </c:pt>
                <c:pt idx="1">
                  <c:v>Humanitārās zinātnes un māksla</c:v>
                </c:pt>
                <c:pt idx="2">
                  <c:v>Sociālās zinātnes, komerczinības un tiesības</c:v>
                </c:pt>
                <c:pt idx="3">
                  <c:v>Pakalpojumi</c:v>
                </c:pt>
                <c:pt idx="4">
                  <c:v>Dabas zinātnes, matemātika un informācijas tehnoloģijas</c:v>
                </c:pt>
                <c:pt idx="5">
                  <c:v>Inženierzinātnes, ražošana un būvniecība</c:v>
                </c:pt>
                <c:pt idx="6">
                  <c:v>Veselības aprūpe un sociālā labklājība</c:v>
                </c:pt>
              </c:strCache>
            </c:strRef>
          </c:cat>
          <c:val>
            <c:numRef>
              <c:f>Sheet8!$C$33:$C$39</c:f>
              <c:numCache>
                <c:formatCode>General</c:formatCode>
                <c:ptCount val="7"/>
                <c:pt idx="0">
                  <c:v>34</c:v>
                </c:pt>
                <c:pt idx="1">
                  <c:v>44</c:v>
                </c:pt>
                <c:pt idx="2">
                  <c:v>95</c:v>
                </c:pt>
                <c:pt idx="3">
                  <c:v>115</c:v>
                </c:pt>
                <c:pt idx="4">
                  <c:v>134</c:v>
                </c:pt>
                <c:pt idx="5">
                  <c:v>827</c:v>
                </c:pt>
                <c:pt idx="6">
                  <c:v>1547</c:v>
                </c:pt>
              </c:numCache>
            </c:numRef>
          </c:val>
        </c:ser>
        <c:dLbls>
          <c:showVal val="1"/>
        </c:dLbls>
        <c:gapWidth val="182"/>
        <c:axId val="94166400"/>
        <c:axId val="94205056"/>
      </c:barChart>
      <c:catAx>
        <c:axId val="9416640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4205056"/>
        <c:crosses val="autoZero"/>
        <c:auto val="1"/>
        <c:lblAlgn val="ctr"/>
        <c:lblOffset val="100"/>
      </c:catAx>
      <c:valAx>
        <c:axId val="9420505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41664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lv-LV"/>
  <c:chart>
    <c:autoTitleDeleted val="1"/>
    <c:plotArea>
      <c:layout/>
      <c:barChart>
        <c:barDir val="bar"/>
        <c:grouping val="clustered"/>
        <c:ser>
          <c:idx val="0"/>
          <c:order val="0"/>
          <c:tx>
            <c:strRef>
              <c:f>prioritates_pamat_detali!$N$145:$N$255</c:f>
              <c:strCache>
                <c:ptCount val="111"/>
                <c:pt idx="110">
                  <c:v>2015/2016</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prioritates_pamat_detali!$M$256:$M$261</c:f>
              <c:strCache>
                <c:ptCount val="6"/>
                <c:pt idx="0">
                  <c:v>85.izglītības tematiskā joma „Vides aizsardzība”</c:v>
                </c:pt>
                <c:pt idx="1">
                  <c:v>21.izglītības tematiskā joma  „Mākslas"</c:v>
                </c:pt>
                <c:pt idx="2">
                  <c:v>72.izglītības tematiskā joma „Veselības aprūpe” </c:v>
                </c:pt>
                <c:pt idx="3">
                  <c:v>5.izglītības tematiskā grupa „Inženierzinātnes, ražošana un būvniecība”</c:v>
                </c:pt>
                <c:pt idx="4">
                  <c:v>4.izglītības tematiskā grupa „Dabaszinātnes, matemātika un informācijas tehnoloģijas”</c:v>
                </c:pt>
                <c:pt idx="5">
                  <c:v>kopā</c:v>
                </c:pt>
              </c:strCache>
            </c:strRef>
          </c:cat>
          <c:val>
            <c:numRef>
              <c:f>prioritates_pamat_detali!$N$256:$N$261</c:f>
              <c:numCache>
                <c:formatCode>General</c:formatCode>
                <c:ptCount val="6"/>
                <c:pt idx="0">
                  <c:v>19</c:v>
                </c:pt>
                <c:pt idx="1">
                  <c:v>74</c:v>
                </c:pt>
                <c:pt idx="2">
                  <c:v>2380</c:v>
                </c:pt>
                <c:pt idx="3">
                  <c:v>1131</c:v>
                </c:pt>
                <c:pt idx="4">
                  <c:v>175</c:v>
                </c:pt>
                <c:pt idx="5">
                  <c:v>3628</c:v>
                </c:pt>
              </c:numCache>
            </c:numRef>
          </c:val>
        </c:ser>
        <c:ser>
          <c:idx val="1"/>
          <c:order val="1"/>
          <c:tx>
            <c:strRef>
              <c:f>prioritates_pamat_detali!$O$145:$O$255</c:f>
              <c:strCache>
                <c:ptCount val="111"/>
                <c:pt idx="110">
                  <c:v>2007/2008</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prioritates_pamat_detali!$M$256:$M$261</c:f>
              <c:strCache>
                <c:ptCount val="6"/>
                <c:pt idx="0">
                  <c:v>85.izglītības tematiskā joma „Vides aizsardzība”</c:v>
                </c:pt>
                <c:pt idx="1">
                  <c:v>21.izglītības tematiskā joma  „Mākslas"</c:v>
                </c:pt>
                <c:pt idx="2">
                  <c:v>72.izglītības tematiskā joma „Veselības aprūpe” </c:v>
                </c:pt>
                <c:pt idx="3">
                  <c:v>5.izglītības tematiskā grupa „Inženierzinātnes, ražošana un būvniecība”</c:v>
                </c:pt>
                <c:pt idx="4">
                  <c:v>4.izglītības tematiskā grupa „Dabaszinātnes, matemātika un informācijas tehnoloģijas”</c:v>
                </c:pt>
                <c:pt idx="5">
                  <c:v>kopā</c:v>
                </c:pt>
              </c:strCache>
            </c:strRef>
          </c:cat>
          <c:val>
            <c:numRef>
              <c:f>prioritates_pamat_detali!$O$256:$O$261</c:f>
              <c:numCache>
                <c:formatCode>General</c:formatCode>
                <c:ptCount val="6"/>
                <c:pt idx="0">
                  <c:v>55</c:v>
                </c:pt>
                <c:pt idx="1">
                  <c:v>48</c:v>
                </c:pt>
                <c:pt idx="2">
                  <c:v>1683</c:v>
                </c:pt>
                <c:pt idx="3">
                  <c:v>1259</c:v>
                </c:pt>
                <c:pt idx="4">
                  <c:v>128</c:v>
                </c:pt>
                <c:pt idx="5">
                  <c:v>3173</c:v>
                </c:pt>
              </c:numCache>
            </c:numRef>
          </c:val>
        </c:ser>
        <c:dLbls>
          <c:showVal val="1"/>
        </c:dLbls>
        <c:gapWidth val="182"/>
        <c:axId val="94234112"/>
        <c:axId val="94235648"/>
      </c:barChart>
      <c:catAx>
        <c:axId val="942341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4235648"/>
        <c:crosses val="autoZero"/>
        <c:auto val="1"/>
        <c:lblAlgn val="ctr"/>
        <c:lblOffset val="100"/>
      </c:catAx>
      <c:valAx>
        <c:axId val="9423564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4234112"/>
        <c:crosses val="autoZero"/>
        <c:crossBetween val="between"/>
      </c:valAx>
      <c:spPr>
        <a:noFill/>
        <a:ln>
          <a:noFill/>
        </a:ln>
        <a:effectLst/>
      </c:spPr>
    </c:plotArea>
    <c:legend>
      <c:legendPos val="b"/>
      <c:layout>
        <c:manualLayout>
          <c:xMode val="edge"/>
          <c:yMode val="edge"/>
          <c:x val="0.33251937432461226"/>
          <c:y val="0.90936109879508653"/>
          <c:w val="0.44016774756257926"/>
          <c:h val="5.713818436012081E-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lv-LV"/>
  <c:chart>
    <c:autoTitleDeleted val="1"/>
    <c:plotArea>
      <c:layout/>
      <c:barChart>
        <c:barDir val="bar"/>
        <c:grouping val="clustered"/>
        <c:ser>
          <c:idx val="0"/>
          <c:order val="0"/>
          <c:tx>
            <c:strRef>
              <c:f>Sheet10!$E$3:$E$4</c:f>
              <c:strCache>
                <c:ptCount val="2"/>
                <c:pt idx="1">
                  <c:v>2015/2016</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Sheet10!$D$5:$D$7</c:f>
              <c:strCache>
                <c:ptCount val="3"/>
                <c:pt idx="0">
                  <c:v>Deja (LKuA LKK)</c:v>
                </c:pt>
                <c:pt idx="1">
                  <c:v>Datorsistēmu un datortīkla administrēšana (JAK)</c:v>
                </c:pt>
                <c:pt idx="2">
                  <c:v> Pārtikas produktu pārstrāde un ražošanas tehnoloģijas*  (RUK)</c:v>
                </c:pt>
              </c:strCache>
            </c:strRef>
          </c:cat>
          <c:val>
            <c:numRef>
              <c:f>Sheet10!$E$5:$E$7</c:f>
              <c:numCache>
                <c:formatCode>General</c:formatCode>
                <c:ptCount val="3"/>
                <c:pt idx="0">
                  <c:v>46</c:v>
                </c:pt>
                <c:pt idx="1">
                  <c:v>58</c:v>
                </c:pt>
                <c:pt idx="2">
                  <c:v>10</c:v>
                </c:pt>
              </c:numCache>
            </c:numRef>
          </c:val>
        </c:ser>
        <c:ser>
          <c:idx val="1"/>
          <c:order val="1"/>
          <c:tx>
            <c:strRef>
              <c:f>Sheet10!$F$3:$F$4</c:f>
              <c:strCache>
                <c:ptCount val="2"/>
                <c:pt idx="1">
                  <c:v>2007/2008</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Sheet10!$D$5:$D$7</c:f>
              <c:strCache>
                <c:ptCount val="3"/>
                <c:pt idx="0">
                  <c:v>Deja (LKuA LKK)</c:v>
                </c:pt>
                <c:pt idx="1">
                  <c:v>Datorsistēmu un datortīkla administrēšana (JAK)</c:v>
                </c:pt>
                <c:pt idx="2">
                  <c:v> Pārtikas produktu pārstrāde un ražošanas tehnoloģijas*  (RUK)</c:v>
                </c:pt>
              </c:strCache>
            </c:strRef>
          </c:cat>
          <c:val>
            <c:numRef>
              <c:f>Sheet10!$F$5:$F$7</c:f>
              <c:numCache>
                <c:formatCode>General</c:formatCode>
                <c:ptCount val="3"/>
                <c:pt idx="0">
                  <c:v>38</c:v>
                </c:pt>
                <c:pt idx="1">
                  <c:v>56</c:v>
                </c:pt>
                <c:pt idx="2">
                  <c:v>24</c:v>
                </c:pt>
              </c:numCache>
            </c:numRef>
          </c:val>
        </c:ser>
        <c:dLbls>
          <c:showVal val="1"/>
        </c:dLbls>
        <c:gapWidth val="182"/>
        <c:axId val="99725312"/>
        <c:axId val="99726848"/>
      </c:barChart>
      <c:catAx>
        <c:axId val="997253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9726848"/>
        <c:crosses val="autoZero"/>
        <c:auto val="1"/>
        <c:lblAlgn val="ctr"/>
        <c:lblOffset val="100"/>
      </c:catAx>
      <c:valAx>
        <c:axId val="9972684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972531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lv-LV"/>
  <c:chart>
    <c:autoTitleDeleted val="1"/>
    <c:plotArea>
      <c:layout/>
      <c:barChart>
        <c:barDir val="bar"/>
        <c:grouping val="clustered"/>
        <c:ser>
          <c:idx val="0"/>
          <c:order val="0"/>
          <c:tx>
            <c:strRef>
              <c:f>prioritates_pamat_detali!$F$271</c:f>
              <c:strCache>
                <c:ptCount val="1"/>
                <c:pt idx="0">
                  <c:v>2015/2016</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prioritates_pamat_detali!$E$272:$E$276</c:f>
              <c:strCache>
                <c:ptCount val="5"/>
                <c:pt idx="0">
                  <c:v>85.izglītības tematiskā joma „Vides aizsardzība”</c:v>
                </c:pt>
                <c:pt idx="1">
                  <c:v>21.izglītības tematiskā joma  „Mākslas"</c:v>
                </c:pt>
                <c:pt idx="2">
                  <c:v>72.izglītības tematiskā joma „Veselības aprūpe” </c:v>
                </c:pt>
                <c:pt idx="3">
                  <c:v>5.izglītības tematiskā grupa „Inženierzinātnes, ražošana un būvniecība”</c:v>
                </c:pt>
                <c:pt idx="4">
                  <c:v>4.izglītības tematiskā grupa „Dabaszinātnes, matemātika un informācijas tehnoloģijas”</c:v>
                </c:pt>
              </c:strCache>
            </c:strRef>
          </c:cat>
          <c:val>
            <c:numRef>
              <c:f>prioritates_pamat_detali!$F$272:$F$276</c:f>
              <c:numCache>
                <c:formatCode>General</c:formatCode>
                <c:ptCount val="5"/>
                <c:pt idx="0">
                  <c:v>1</c:v>
                </c:pt>
                <c:pt idx="1">
                  <c:v>1</c:v>
                </c:pt>
                <c:pt idx="2">
                  <c:v>18</c:v>
                </c:pt>
                <c:pt idx="3">
                  <c:v>17</c:v>
                </c:pt>
                <c:pt idx="4">
                  <c:v>3</c:v>
                </c:pt>
              </c:numCache>
            </c:numRef>
          </c:val>
        </c:ser>
        <c:ser>
          <c:idx val="1"/>
          <c:order val="1"/>
          <c:tx>
            <c:strRef>
              <c:f>prioritates_pamat_detali!$G$271</c:f>
              <c:strCache>
                <c:ptCount val="1"/>
                <c:pt idx="0">
                  <c:v>2007/2008</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prioritates_pamat_detali!$E$272:$E$276</c:f>
              <c:strCache>
                <c:ptCount val="5"/>
                <c:pt idx="0">
                  <c:v>85.izglītības tematiskā joma „Vides aizsardzība”</c:v>
                </c:pt>
                <c:pt idx="1">
                  <c:v>21.izglītības tematiskā joma  „Mākslas"</c:v>
                </c:pt>
                <c:pt idx="2">
                  <c:v>72.izglītības tematiskā joma „Veselības aprūpe” </c:v>
                </c:pt>
                <c:pt idx="3">
                  <c:v>5.izglītības tematiskā grupa „Inženierzinātnes, ražošana un būvniecība”</c:v>
                </c:pt>
                <c:pt idx="4">
                  <c:v>4.izglītības tematiskā grupa „Dabaszinātnes, matemātika un informācijas tehnoloģijas”</c:v>
                </c:pt>
              </c:strCache>
            </c:strRef>
          </c:cat>
          <c:val>
            <c:numRef>
              <c:f>prioritates_pamat_detali!$G$272:$G$276</c:f>
              <c:numCache>
                <c:formatCode>General</c:formatCode>
                <c:ptCount val="5"/>
                <c:pt idx="0">
                  <c:v>1</c:v>
                </c:pt>
                <c:pt idx="1">
                  <c:v>1</c:v>
                </c:pt>
                <c:pt idx="2">
                  <c:v>15</c:v>
                </c:pt>
                <c:pt idx="3">
                  <c:v>12</c:v>
                </c:pt>
                <c:pt idx="4">
                  <c:v>3</c:v>
                </c:pt>
              </c:numCache>
            </c:numRef>
          </c:val>
        </c:ser>
        <c:dLbls>
          <c:showVal val="1"/>
        </c:dLbls>
        <c:gapWidth val="182"/>
        <c:axId val="99756288"/>
        <c:axId val="99770368"/>
      </c:barChart>
      <c:catAx>
        <c:axId val="997562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9770368"/>
        <c:crosses val="autoZero"/>
        <c:auto val="1"/>
        <c:lblAlgn val="ctr"/>
        <c:lblOffset val="100"/>
      </c:catAx>
      <c:valAx>
        <c:axId val="9977036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99756288"/>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lv-LV"/>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Lbls>
            <c:dLbl>
              <c:idx val="0"/>
              <c:layout>
                <c:manualLayout>
                  <c:x val="-7.2607260726072612E-2"/>
                  <c:y val="-8.886712127491295E-3"/>
                </c:manualLayout>
              </c:layout>
              <c:tx>
                <c:rich>
                  <a:bodyPr rot="0" spcFirstLastPara="1" vertOverflow="ellipsis" vert="horz" wrap="square" lIns="38100" tIns="19050" rIns="38100" bIns="19050" anchor="ctr" anchorCtr="1">
                    <a:noAutofit/>
                  </a:bodyPr>
                  <a:lstStyle/>
                  <a:p>
                    <a:pPr>
                      <a:defRPr sz="1050" b="0" i="0" u="none" strike="noStrike" kern="1200" baseline="0">
                        <a:solidFill>
                          <a:sysClr val="windowText" lastClr="000000"/>
                        </a:solidFill>
                        <a:latin typeface="+mn-lt"/>
                        <a:ea typeface="+mn-ea"/>
                        <a:cs typeface="+mn-cs"/>
                      </a:defRPr>
                    </a:pPr>
                    <a:r>
                      <a:rPr lang="en-US">
                        <a:solidFill>
                          <a:sysClr val="windowText" lastClr="000000"/>
                        </a:solidFill>
                      </a:rPr>
                      <a:t>1610 (15%)</a:t>
                    </a:r>
                  </a:p>
                </c:rich>
              </c:tx>
              <c:spPr>
                <a:noFill/>
                <a:ln>
                  <a:noFill/>
                </a:ln>
                <a:effectLst/>
              </c:spPr>
              <c:dLblPos val="bestFit"/>
              <c:showVal val="1"/>
              <c:extLst>
                <c:ext xmlns:c15="http://schemas.microsoft.com/office/drawing/2012/chart" uri="{CE6537A1-D6FC-4f65-9D91-7224C49458BB}">
                  <c15:layout>
                    <c:manualLayout>
                      <c:w val="0.21650165016501649"/>
                      <c:h val="7.7546296296296294E-2"/>
                    </c:manualLayout>
                  </c15:layout>
                </c:ext>
              </c:extLst>
            </c:dLbl>
            <c:dLbl>
              <c:idx val="1"/>
              <c:layout/>
              <c:tx>
                <c:rich>
                  <a:bodyPr/>
                  <a:lstStyle/>
                  <a:p>
                    <a:r>
                      <a:rPr lang="en-US"/>
                      <a:t>5301 (49%)</a:t>
                    </a:r>
                  </a:p>
                </c:rich>
              </c:tx>
              <c:dLblPos val="bestFit"/>
              <c:showVal val="1"/>
              <c:extLst>
                <c:ext xmlns:c15="http://schemas.microsoft.com/office/drawing/2012/chart" uri="{CE6537A1-D6FC-4f65-9D91-7224C49458BB}">
                  <c15:layout/>
                </c:ext>
              </c:extLst>
            </c:dLbl>
            <c:dLbl>
              <c:idx val="2"/>
              <c:layout/>
              <c:tx>
                <c:rich>
                  <a:bodyPr/>
                  <a:lstStyle/>
                  <a:p>
                    <a:r>
                      <a:rPr lang="en-US"/>
                      <a:t>3867 (36%)</a:t>
                    </a:r>
                  </a:p>
                </c:rich>
              </c:tx>
              <c:dLblPos val="bestFi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lv-LV"/>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Sheet6!$B$4:$B$6</c:f>
              <c:strCache>
                <c:ptCount val="3"/>
                <c:pt idx="0">
                  <c:v>18 - 20 gadi </c:v>
                </c:pt>
                <c:pt idx="1">
                  <c:v>21 - 28 gadi</c:v>
                </c:pt>
                <c:pt idx="2">
                  <c:v>virs 29 gadiem </c:v>
                </c:pt>
              </c:strCache>
            </c:strRef>
          </c:cat>
          <c:val>
            <c:numRef>
              <c:f>Sheet6!$C$4:$C$6</c:f>
              <c:numCache>
                <c:formatCode>General</c:formatCode>
                <c:ptCount val="3"/>
                <c:pt idx="0">
                  <c:v>1610</c:v>
                </c:pt>
                <c:pt idx="1">
                  <c:v>5301</c:v>
                </c:pt>
                <c:pt idx="2">
                  <c:v>3867</c:v>
                </c:pt>
              </c:numCache>
            </c:numRef>
          </c:val>
        </c:ser>
        <c:dLbls>
          <c:showVal val="1"/>
        </c:dLbls>
      </c:pie3D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lv-LV"/>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Lbls>
            <c:dLbl>
              <c:idx val="0"/>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solidFill>
                          <a:schemeClr val="bg1"/>
                        </a:solidFill>
                      </a:rPr>
                      <a:t>2614 (62%)</a:t>
                    </a:r>
                  </a:p>
                </c:rich>
              </c:tx>
              <c:spPr>
                <a:noFill/>
                <a:ln>
                  <a:noFill/>
                </a:ln>
                <a:effectLst/>
              </c:spPr>
              <c:dLblPos val="bestFit"/>
              <c:showVal val="1"/>
              <c:extLst>
                <c:ext xmlns:c15="http://schemas.microsoft.com/office/drawing/2012/chart" uri="{CE6537A1-D6FC-4f65-9D91-7224C49458BB}">
                  <c15:layout/>
                </c:ext>
              </c:extLst>
            </c:dLbl>
            <c:dLbl>
              <c:idx val="1"/>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solidFill>
                          <a:schemeClr val="bg1"/>
                        </a:solidFill>
                      </a:rPr>
                      <a:t>1090 (26%)</a:t>
                    </a:r>
                  </a:p>
                </c:rich>
              </c:tx>
              <c:spPr>
                <a:noFill/>
                <a:ln>
                  <a:noFill/>
                </a:ln>
                <a:effectLst/>
              </c:spPr>
              <c:dLblPos val="bestFit"/>
              <c:showVal val="1"/>
              <c:extLst>
                <c:ext xmlns:c15="http://schemas.microsoft.com/office/drawing/2012/chart" uri="{CE6537A1-D6FC-4f65-9D91-7224C49458BB}">
                  <c15:layout/>
                </c:ext>
              </c:extLst>
            </c:dLbl>
            <c:dLbl>
              <c:idx val="2"/>
              <c:layout/>
              <c:tx>
                <c:rich>
                  <a:bodyPr/>
                  <a:lstStyle/>
                  <a:p>
                    <a:r>
                      <a:rPr lang="en-US"/>
                      <a:t>485 (12%)</a:t>
                    </a:r>
                  </a:p>
                </c:rich>
              </c:tx>
              <c:dLblPos val="bestFit"/>
              <c:showVal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Sheet6!$D$24:$D$26</c:f>
              <c:strCache>
                <c:ptCount val="3"/>
                <c:pt idx="0">
                  <c:v>vispārējā vidējā izglītība</c:v>
                </c:pt>
                <c:pt idx="1">
                  <c:v>profesionālā vidējā izglītībā</c:v>
                </c:pt>
                <c:pt idx="2">
                  <c:v>augstākā izglītība</c:v>
                </c:pt>
              </c:strCache>
            </c:strRef>
          </c:cat>
          <c:val>
            <c:numRef>
              <c:f>Sheet6!$E$24:$E$26</c:f>
              <c:numCache>
                <c:formatCode>General</c:formatCode>
                <c:ptCount val="3"/>
                <c:pt idx="0">
                  <c:v>2614</c:v>
                </c:pt>
                <c:pt idx="1">
                  <c:v>1090</c:v>
                </c:pt>
                <c:pt idx="2">
                  <c:v>485</c:v>
                </c:pt>
              </c:numCache>
            </c:numRef>
          </c:val>
        </c:ser>
        <c:dLbls>
          <c:showVal val="1"/>
        </c:dLbls>
      </c:pie3D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lv-LV"/>
  <c:chart>
    <c:plotArea>
      <c:layout>
        <c:manualLayout>
          <c:layoutTarget val="inner"/>
          <c:xMode val="edge"/>
          <c:yMode val="edge"/>
          <c:x val="5.9469907407407922E-2"/>
          <c:y val="4.6781439048017924E-2"/>
          <c:w val="0.92853560320724438"/>
          <c:h val="0.88582237276205456"/>
        </c:manualLayout>
      </c:layout>
      <c:barChart>
        <c:barDir val="col"/>
        <c:grouping val="clustered"/>
        <c:ser>
          <c:idx val="3"/>
          <c:order val="0"/>
          <c:tx>
            <c:strRef>
              <c:f>Sheet1!$B$1</c:f>
              <c:strCache>
                <c:ptCount val="1"/>
                <c:pt idx="0">
                  <c:v>piedāvājums</c:v>
                </c:pt>
              </c:strCache>
            </c:strRef>
          </c:tx>
          <c:spPr>
            <a:solidFill>
              <a:schemeClr val="accent1">
                <a:lumMod val="60000"/>
              </a:schemeClr>
            </a:solidFill>
            <a:ln>
              <a:noFill/>
            </a:ln>
            <a:effectLst/>
          </c:spPr>
          <c:dLbls>
            <c:delete val="1"/>
          </c:dLbls>
          <c:cat>
            <c:numRef>
              <c:f>Sheet1!$A$2:$A$9</c:f>
              <c:numCache>
                <c:formatCode>General</c:formatCode>
                <c:ptCount val="8"/>
              </c:numCache>
            </c:numRef>
          </c:cat>
          <c:val>
            <c:numRef>
              <c:f>Sheet1!$B$2:$B$9</c:f>
              <c:numCache>
                <c:formatCode>#,##0</c:formatCode>
                <c:ptCount val="8"/>
                <c:pt idx="0">
                  <c:v>100</c:v>
                </c:pt>
                <c:pt idx="1">
                  <c:v>100</c:v>
                </c:pt>
                <c:pt idx="2">
                  <c:v>100</c:v>
                </c:pt>
                <c:pt idx="3">
                  <c:v>100</c:v>
                </c:pt>
                <c:pt idx="4">
                  <c:v>100</c:v>
                </c:pt>
                <c:pt idx="5">
                  <c:v>100</c:v>
                </c:pt>
                <c:pt idx="6">
                  <c:v>100</c:v>
                </c:pt>
                <c:pt idx="7">
                  <c:v>100</c:v>
                </c:pt>
              </c:numCache>
            </c:numRef>
          </c:val>
        </c:ser>
        <c:ser>
          <c:idx val="0"/>
          <c:order val="1"/>
          <c:tx>
            <c:strRef>
              <c:f>Sheet1!$C$1</c:f>
              <c:strCache>
                <c:ptCount val="1"/>
                <c:pt idx="0">
                  <c:v>pieprasījums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dLblPos val="inEnd"/>
            <c:showVal val="1"/>
            <c:extLst>
              <c:ext xmlns:c15="http://schemas.microsoft.com/office/drawing/2012/chart" uri="{CE6537A1-D6FC-4f65-9D91-7224C49458BB}">
                <c15:layout/>
                <c15:showLeaderLines val="0"/>
              </c:ext>
            </c:extLst>
          </c:dLbls>
          <c:cat>
            <c:numRef>
              <c:f>Sheet1!$A$2:$A$9</c:f>
              <c:numCache>
                <c:formatCode>General</c:formatCode>
                <c:ptCount val="8"/>
              </c:numCache>
            </c:numRef>
          </c:cat>
          <c:val>
            <c:numRef>
              <c:f>Sheet1!$C$2:$C$9</c:f>
              <c:numCache>
                <c:formatCode>#,##0</c:formatCode>
                <c:ptCount val="8"/>
                <c:pt idx="0">
                  <c:v>96</c:v>
                </c:pt>
                <c:pt idx="1">
                  <c:v>79</c:v>
                </c:pt>
                <c:pt idx="2">
                  <c:v>92</c:v>
                </c:pt>
                <c:pt idx="3">
                  <c:v>127</c:v>
                </c:pt>
                <c:pt idx="4">
                  <c:v>115</c:v>
                </c:pt>
                <c:pt idx="5">
                  <c:v>106</c:v>
                </c:pt>
                <c:pt idx="6">
                  <c:v>107</c:v>
                </c:pt>
                <c:pt idx="7">
                  <c:v>81</c:v>
                </c:pt>
              </c:numCache>
            </c:numRef>
          </c:val>
        </c:ser>
        <c:dLbls>
          <c:showVal val="1"/>
        </c:dLbls>
        <c:gapWidth val="40"/>
        <c:overlap val="88"/>
        <c:axId val="88849024"/>
        <c:axId val="89076096"/>
      </c:barChart>
      <c:catAx>
        <c:axId val="88849024"/>
        <c:scaling>
          <c:orientation val="minMax"/>
        </c:scaling>
        <c:axPos val="b"/>
        <c:numFmt formatCode="General" sourceLinked="1"/>
        <c:tickLblPos val="nextTo"/>
        <c:spPr>
          <a:noFill/>
          <a:ln w="3175" cap="flat" cmpd="sng" algn="ctr">
            <a:solidFill>
              <a:schemeClr val="tx1">
                <a:tint val="75000"/>
                <a:shade val="95000"/>
                <a:satMod val="105000"/>
              </a:schemeClr>
            </a:solidFill>
            <a:prstDash val="solid"/>
            <a:round/>
          </a:ln>
          <a:effectLst/>
        </c:spPr>
        <c:txPr>
          <a:bodyPr rot="-5400000" spcFirstLastPara="1" vertOverflow="ellipsis" wrap="square" anchor="ctr" anchorCtr="1"/>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crossAx val="89076096"/>
        <c:crosses val="autoZero"/>
        <c:lblAlgn val="ctr"/>
        <c:lblOffset val="100"/>
        <c:tickLblSkip val="1"/>
        <c:tickMarkSkip val="1"/>
      </c:catAx>
      <c:valAx>
        <c:axId val="89076096"/>
        <c:scaling>
          <c:orientation val="minMax"/>
          <c:max val="140"/>
          <c:min val="60"/>
        </c:scaling>
        <c:axPos val="l"/>
        <c:numFmt formatCode="#,##0" sourceLinked="0"/>
        <c:tickLblPos val="nextTo"/>
        <c:spPr>
          <a:noFill/>
          <a:ln w="317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crossAx val="88849024"/>
        <c:crosses val="autoZero"/>
        <c:crossBetween val="between"/>
        <c:majorUnit val="20"/>
      </c:valAx>
      <c:spPr>
        <a:solidFill>
          <a:srgbClr val="FFFFFF"/>
        </a:solidFill>
        <a:ln>
          <a:noFill/>
        </a:ln>
        <a:effectLst/>
      </c:spPr>
    </c:plotArea>
    <c:legend>
      <c:legendPos val="l"/>
      <c:layout>
        <c:manualLayout>
          <c:xMode val="edge"/>
          <c:yMode val="edge"/>
          <c:x val="0.7830616898148145"/>
          <c:y val="1.3537922516486675E-2"/>
          <c:w val="0.17536759259259696"/>
          <c:h val="0.17090712087922744"/>
        </c:manualLayout>
      </c:layout>
      <c:overlay val="1"/>
      <c:spPr>
        <a:solidFill>
          <a:srgbClr val="FFFFFF"/>
        </a:solidFill>
        <a:ln>
          <a:noFill/>
        </a:ln>
        <a:effectLst/>
      </c:spPr>
      <c:txPr>
        <a:bodyPr rot="0" spcFirstLastPara="1" vertOverflow="ellipsis" vert="horz" wrap="square" anchor="ctr" anchorCtr="1"/>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legend>
    <c:plotVisOnly val="1"/>
    <c:dispBlanksAs val="gap"/>
  </c:chart>
  <c:spPr>
    <a:solidFill>
      <a:srgbClr val="FFFFFF"/>
    </a:solidFill>
    <a:ln w="9525" cap="flat" cmpd="sng" algn="ctr">
      <a:noFill/>
      <a:prstDash val="solid"/>
      <a:round/>
    </a:ln>
    <a:effectLst/>
  </c:spPr>
  <c:txPr>
    <a:bodyPr/>
    <a:lstStyle/>
    <a:p>
      <a:pPr>
        <a:defRPr sz="900" b="0">
          <a:latin typeface="Segoe UI Semilight" panose="020B0402040204020203" pitchFamily="34" charset="0"/>
          <a:cs typeface="Segoe UI Semilight" panose="020B0402040204020203" pitchFamily="34" charset="0"/>
        </a:defRPr>
      </a:pPr>
      <a:endParaRPr lang="lv-LV"/>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lang val="lv-LV"/>
  <c:chart>
    <c:plotArea>
      <c:layout>
        <c:manualLayout>
          <c:layoutTarget val="inner"/>
          <c:xMode val="edge"/>
          <c:yMode val="edge"/>
          <c:x val="5.9469907407407513E-2"/>
          <c:y val="4.6781439048017924E-2"/>
          <c:w val="0.92853560320724438"/>
          <c:h val="0.88582237276205456"/>
        </c:manualLayout>
      </c:layout>
      <c:barChart>
        <c:barDir val="col"/>
        <c:grouping val="clustered"/>
        <c:ser>
          <c:idx val="3"/>
          <c:order val="0"/>
          <c:tx>
            <c:strRef>
              <c:f>Sheet1!$B$1</c:f>
              <c:strCache>
                <c:ptCount val="1"/>
                <c:pt idx="0">
                  <c:v>piedāvājums</c:v>
                </c:pt>
              </c:strCache>
            </c:strRef>
          </c:tx>
          <c:spPr>
            <a:solidFill>
              <a:schemeClr val="accent1">
                <a:lumMod val="60000"/>
              </a:schemeClr>
            </a:solidFill>
            <a:ln>
              <a:noFill/>
            </a:ln>
            <a:effectLst/>
          </c:spPr>
          <c:dLbls>
            <c:delete val="1"/>
          </c:dLbls>
          <c:cat>
            <c:numRef>
              <c:f>Sheet1!$A$2:$A$9</c:f>
              <c:numCache>
                <c:formatCode>General</c:formatCode>
                <c:ptCount val="8"/>
              </c:numCache>
            </c:numRef>
          </c:cat>
          <c:val>
            <c:numRef>
              <c:f>Sheet1!$B$2:$B$9</c:f>
              <c:numCache>
                <c:formatCode>#,##0</c:formatCode>
                <c:ptCount val="8"/>
                <c:pt idx="0">
                  <c:v>100</c:v>
                </c:pt>
                <c:pt idx="1">
                  <c:v>100</c:v>
                </c:pt>
                <c:pt idx="2">
                  <c:v>100</c:v>
                </c:pt>
                <c:pt idx="3">
                  <c:v>100</c:v>
                </c:pt>
                <c:pt idx="4">
                  <c:v>100</c:v>
                </c:pt>
                <c:pt idx="5">
                  <c:v>100</c:v>
                </c:pt>
                <c:pt idx="6">
                  <c:v>100</c:v>
                </c:pt>
                <c:pt idx="7">
                  <c:v>100</c:v>
                </c:pt>
              </c:numCache>
            </c:numRef>
          </c:val>
        </c:ser>
        <c:ser>
          <c:idx val="0"/>
          <c:order val="1"/>
          <c:tx>
            <c:strRef>
              <c:f>Sheet1!$C$1</c:f>
              <c:strCache>
                <c:ptCount val="1"/>
                <c:pt idx="0">
                  <c:v>pieprasījums</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dLblPos val="inEnd"/>
            <c:showVal val="1"/>
            <c:extLst>
              <c:ext xmlns:c15="http://schemas.microsoft.com/office/drawing/2012/chart" uri="{CE6537A1-D6FC-4f65-9D91-7224C49458BB}">
                <c15:showLeaderLines val="0"/>
              </c:ext>
            </c:extLst>
          </c:dLbls>
          <c:cat>
            <c:numRef>
              <c:f>Sheet1!$A$2:$A$9</c:f>
              <c:numCache>
                <c:formatCode>General</c:formatCode>
                <c:ptCount val="8"/>
              </c:numCache>
            </c:numRef>
          </c:cat>
          <c:val>
            <c:numRef>
              <c:f>Sheet1!$C$2:$C$9</c:f>
              <c:numCache>
                <c:formatCode>#,##0</c:formatCode>
                <c:ptCount val="8"/>
                <c:pt idx="0">
                  <c:v>76</c:v>
                </c:pt>
                <c:pt idx="1">
                  <c:v>97</c:v>
                </c:pt>
                <c:pt idx="2">
                  <c:v>108</c:v>
                </c:pt>
                <c:pt idx="3">
                  <c:v>112</c:v>
                </c:pt>
                <c:pt idx="4">
                  <c:v>112</c:v>
                </c:pt>
                <c:pt idx="5">
                  <c:v>103</c:v>
                </c:pt>
                <c:pt idx="6">
                  <c:v>104</c:v>
                </c:pt>
                <c:pt idx="7">
                  <c:v>91</c:v>
                </c:pt>
              </c:numCache>
            </c:numRef>
          </c:val>
        </c:ser>
        <c:dLbls>
          <c:showVal val="1"/>
        </c:dLbls>
        <c:gapWidth val="40"/>
        <c:overlap val="88"/>
        <c:axId val="89166592"/>
        <c:axId val="89168128"/>
      </c:barChart>
      <c:catAx>
        <c:axId val="89166592"/>
        <c:scaling>
          <c:orientation val="minMax"/>
        </c:scaling>
        <c:axPos val="b"/>
        <c:numFmt formatCode="General" sourceLinked="1"/>
        <c:tickLblPos val="nextTo"/>
        <c:spPr>
          <a:noFill/>
          <a:ln w="3175" cap="flat" cmpd="sng" algn="ctr">
            <a:solidFill>
              <a:schemeClr val="tx1">
                <a:tint val="75000"/>
                <a:shade val="95000"/>
                <a:satMod val="105000"/>
              </a:schemeClr>
            </a:solidFill>
            <a:prstDash val="solid"/>
            <a:round/>
          </a:ln>
          <a:effectLst/>
        </c:spPr>
        <c:txPr>
          <a:bodyPr rot="-5400000" spcFirstLastPara="1" vertOverflow="ellipsis" wrap="square" anchor="ctr" anchorCtr="1"/>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crossAx val="89168128"/>
        <c:crosses val="autoZero"/>
        <c:lblAlgn val="ctr"/>
        <c:lblOffset val="100"/>
        <c:tickLblSkip val="1"/>
        <c:tickMarkSkip val="1"/>
      </c:catAx>
      <c:valAx>
        <c:axId val="89168128"/>
        <c:scaling>
          <c:orientation val="minMax"/>
          <c:max val="120"/>
          <c:min val="40"/>
        </c:scaling>
        <c:axPos val="l"/>
        <c:numFmt formatCode="#,##0" sourceLinked="0"/>
        <c:tickLblPos val="nextTo"/>
        <c:spPr>
          <a:noFill/>
          <a:ln w="317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crossAx val="89166592"/>
        <c:crosses val="autoZero"/>
        <c:crossBetween val="between"/>
        <c:majorUnit val="20"/>
      </c:valAx>
      <c:spPr>
        <a:solidFill>
          <a:srgbClr val="FFFFFF"/>
        </a:solidFill>
        <a:ln>
          <a:noFill/>
        </a:ln>
        <a:effectLst/>
      </c:spPr>
    </c:plotArea>
    <c:legend>
      <c:legendPos val="l"/>
      <c:layout>
        <c:manualLayout>
          <c:xMode val="edge"/>
          <c:yMode val="edge"/>
          <c:x val="0.7830616898148145"/>
          <c:y val="1.3537922516486675E-2"/>
          <c:w val="0.17536759259259696"/>
          <c:h val="0.17090712087922744"/>
        </c:manualLayout>
      </c:layout>
      <c:overlay val="1"/>
      <c:spPr>
        <a:solidFill>
          <a:srgbClr val="FFFFFF"/>
        </a:solidFill>
        <a:ln>
          <a:noFill/>
        </a:ln>
        <a:effectLst/>
      </c:spPr>
      <c:txPr>
        <a:bodyPr rot="0" spcFirstLastPara="1" vertOverflow="ellipsis" vert="horz" wrap="square" anchor="ctr" anchorCtr="1"/>
        <a:lstStyle/>
        <a:p>
          <a:pPr>
            <a:defRPr sz="900" b="0" i="0" u="none" strike="noStrike" kern="1200" baseline="0">
              <a:solidFill>
                <a:schemeClr val="tx1"/>
              </a:solidFill>
              <a:latin typeface="Segoe UI Semilight" panose="020B0402040204020203" pitchFamily="34" charset="0"/>
              <a:ea typeface="+mn-ea"/>
              <a:cs typeface="Segoe UI Semilight" panose="020B0402040204020203" pitchFamily="34" charset="0"/>
            </a:defRPr>
          </a:pPr>
          <a:endParaRPr lang="lv-LV"/>
        </a:p>
      </c:txPr>
    </c:legend>
    <c:plotVisOnly val="1"/>
    <c:dispBlanksAs val="gap"/>
  </c:chart>
  <c:spPr>
    <a:solidFill>
      <a:srgbClr val="FFFFFF"/>
    </a:solidFill>
    <a:ln w="9525" cap="flat" cmpd="sng" algn="ctr">
      <a:noFill/>
      <a:prstDash val="solid"/>
      <a:round/>
    </a:ln>
    <a:effectLst/>
  </c:spPr>
  <c:txPr>
    <a:bodyPr/>
    <a:lstStyle/>
    <a:p>
      <a:pPr>
        <a:defRPr sz="900" b="0">
          <a:latin typeface="Segoe UI Semilight" panose="020B0402040204020203" pitchFamily="34" charset="0"/>
          <a:cs typeface="Segoe UI Semilight" panose="020B0402040204020203" pitchFamily="34" charset="0"/>
        </a:defRPr>
      </a:pPr>
      <a:endParaRPr lang="lv-LV"/>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lang val="lv-LV"/>
  <c:chart>
    <c:plotArea>
      <c:layout>
        <c:manualLayout>
          <c:layoutTarget val="inner"/>
          <c:xMode val="edge"/>
          <c:yMode val="edge"/>
          <c:x val="0.16698261118683241"/>
          <c:y val="3.2516032383797001E-2"/>
          <c:w val="0.79547560965022701"/>
          <c:h val="0.864667169916298"/>
        </c:manualLayout>
      </c:layout>
      <c:barChart>
        <c:barDir val="col"/>
        <c:grouping val="percentStacked"/>
        <c:ser>
          <c:idx val="0"/>
          <c:order val="0"/>
          <c:tx>
            <c:strRef>
              <c:f>Sheet1!$A$2</c:f>
              <c:strCache>
                <c:ptCount val="1"/>
                <c:pt idx="0">
                  <c:v>Izglītība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(Sheet1!$B$2;Sheet1!$D$2;Sheet1!$H$2)</c:f>
              <c:numCache>
                <c:formatCode>0</c:formatCode>
                <c:ptCount val="3"/>
                <c:pt idx="0">
                  <c:v>8.139115376289773</c:v>
                </c:pt>
                <c:pt idx="1">
                  <c:v>5.6010576551012505</c:v>
                </c:pt>
                <c:pt idx="2">
                  <c:v>6.4488451110272171</c:v>
                </c:pt>
              </c:numCache>
            </c:numRef>
          </c:val>
        </c:ser>
        <c:ser>
          <c:idx val="1"/>
          <c:order val="1"/>
          <c:tx>
            <c:strRef>
              <c:f>Sheet1!$A$3</c:f>
              <c:strCache>
                <c:ptCount val="1"/>
                <c:pt idx="0">
                  <c:v>Humanitārās zinātnes un māksla</c:v>
                </c:pt>
              </c:strCache>
            </c:strRef>
          </c:tx>
          <c:dLbls>
            <c:dLbl>
              <c:idx val="2"/>
              <c:layout/>
              <c:tx>
                <c:rich>
                  <a:bodyPr/>
                  <a:lstStyle/>
                  <a:p>
                    <a:r>
                      <a:rPr lang="en-US" strike="noStrike"/>
                      <a:t>9</a:t>
                    </a:r>
                    <a:endParaRPr lang="en-US" strike="sngStrike"/>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(Sheet1!$B$3;Sheet1!$D$3;Sheet1!$H$3)</c:f>
              <c:numCache>
                <c:formatCode>0</c:formatCode>
                <c:ptCount val="3"/>
                <c:pt idx="0">
                  <c:v>8.2593741732207686</c:v>
                </c:pt>
                <c:pt idx="1">
                  <c:v>9.6543273571520682</c:v>
                </c:pt>
                <c:pt idx="2">
                  <c:v>8.827264303119744</c:v>
                </c:pt>
              </c:numCache>
            </c:numRef>
          </c:val>
        </c:ser>
        <c:ser>
          <c:idx val="2"/>
          <c:order val="2"/>
          <c:tx>
            <c:strRef>
              <c:f>Sheet1!$A$4</c:f>
              <c:strCache>
                <c:ptCount val="1"/>
                <c:pt idx="0">
                  <c:v>Sociālās zinātnes, komerczinības un tiesības</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(Sheet1!$B$4;Sheet1!$D$4;Sheet1!$H$4)</c:f>
              <c:numCache>
                <c:formatCode>0</c:formatCode>
                <c:ptCount val="3"/>
                <c:pt idx="0">
                  <c:v>50.386030738148492</c:v>
                </c:pt>
                <c:pt idx="1">
                  <c:v>41.374306719979366</c:v>
                </c:pt>
                <c:pt idx="2">
                  <c:v>36.489686652708471</c:v>
                </c:pt>
              </c:numCache>
            </c:numRef>
          </c:val>
        </c:ser>
        <c:ser>
          <c:idx val="3"/>
          <c:order val="3"/>
          <c:tx>
            <c:strRef>
              <c:f>Sheet1!$A$5</c:f>
              <c:strCache>
                <c:ptCount val="1"/>
                <c:pt idx="0">
                  <c:v>Dabas zinātnes, matemātika un informācijas tehnoloģijas</c:v>
                </c:pt>
              </c:strCache>
            </c:strRef>
          </c:tx>
          <c:dLbls>
            <c:dLbl>
              <c:idx val="0"/>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(Sheet1!$B$5;Sheet1!$D$5;Sheet1!$H$5)</c:f>
              <c:numCache>
                <c:formatCode>0</c:formatCode>
                <c:ptCount val="3"/>
                <c:pt idx="0">
                  <c:v>5.668999687327128</c:v>
                </c:pt>
                <c:pt idx="1">
                  <c:v>7.6647749258351245</c:v>
                </c:pt>
                <c:pt idx="2">
                  <c:v>9.0263239180423511</c:v>
                </c:pt>
              </c:numCache>
            </c:numRef>
          </c:val>
        </c:ser>
        <c:ser>
          <c:idx val="4"/>
          <c:order val="4"/>
          <c:tx>
            <c:strRef>
              <c:f>Sheet1!$A$6</c:f>
              <c:strCache>
                <c:ptCount val="1"/>
                <c:pt idx="0">
                  <c:v>Inženierzinātnes, ražošana  un būvniecība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(Sheet1!$B$6;Sheet1!$D$6;Sheet1!$H$6)</c:f>
              <c:numCache>
                <c:formatCode>0</c:formatCode>
                <c:ptCount val="3"/>
                <c:pt idx="0">
                  <c:v>13.050484642951726</c:v>
                </c:pt>
                <c:pt idx="1">
                  <c:v>16.055075454662731</c:v>
                </c:pt>
                <c:pt idx="2">
                  <c:v>17.541270549473179</c:v>
                </c:pt>
              </c:numCache>
            </c:numRef>
          </c:val>
        </c:ser>
        <c:ser>
          <c:idx val="5"/>
          <c:order val="5"/>
          <c:tx>
            <c:strRef>
              <c:f>Sheet1!$A$7</c:f>
              <c:strCache>
                <c:ptCount val="1"/>
                <c:pt idx="0">
                  <c:v>Lauksaimniecība</c:v>
                </c:pt>
              </c:strCache>
            </c:strRef>
          </c:tx>
          <c:cat>
            <c:numRef>
              <c:f>(Sheet1!$B$1;Sheet1!$D$1;Sheet1!$H$1)</c:f>
              <c:numCache>
                <c:formatCode>General</c:formatCode>
                <c:ptCount val="3"/>
                <c:pt idx="0">
                  <c:v>2008</c:v>
                </c:pt>
                <c:pt idx="1">
                  <c:v>2010</c:v>
                </c:pt>
                <c:pt idx="2">
                  <c:v>2014</c:v>
                </c:pt>
              </c:numCache>
            </c:numRef>
          </c:cat>
          <c:val>
            <c:numRef>
              <c:f>(Sheet1!$B$7;Sheet1!$D$7;Sheet1!$H$7)</c:f>
              <c:numCache>
                <c:formatCode>0</c:formatCode>
                <c:ptCount val="3"/>
                <c:pt idx="0">
                  <c:v>0.84662193039422473</c:v>
                </c:pt>
                <c:pt idx="1">
                  <c:v>1.3188443183283878</c:v>
                </c:pt>
                <c:pt idx="2">
                  <c:v>1.6885746645159081</c:v>
                </c:pt>
              </c:numCache>
            </c:numRef>
          </c:val>
        </c:ser>
        <c:ser>
          <c:idx val="6"/>
          <c:order val="6"/>
          <c:tx>
            <c:strRef>
              <c:f>Sheet1!$A$8</c:f>
              <c:strCache>
                <c:ptCount val="1"/>
                <c:pt idx="0">
                  <c:v>Veselības aprūpe un sociālā labklājība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(Sheet1!$B$8;Sheet1!$D$8;Sheet1!$H$8)</c:f>
              <c:numCache>
                <c:formatCode>0</c:formatCode>
                <c:ptCount val="3"/>
                <c:pt idx="0">
                  <c:v>7.0832431392357034</c:v>
                </c:pt>
                <c:pt idx="1">
                  <c:v>10.060621694827807</c:v>
                </c:pt>
                <c:pt idx="2">
                  <c:v>12.389744997769535</c:v>
                </c:pt>
              </c:numCache>
            </c:numRef>
          </c:val>
        </c:ser>
        <c:ser>
          <c:idx val="7"/>
          <c:order val="7"/>
          <c:tx>
            <c:strRef>
              <c:f>Sheet1!$A$9</c:f>
              <c:strCache>
                <c:ptCount val="1"/>
                <c:pt idx="0">
                  <c:v>Pakalpojumi</c:v>
                </c:pt>
              </c:strCache>
            </c:strRef>
          </c:tx>
          <c:dLbls>
            <c:dLbl>
              <c:idx val="0"/>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(Sheet1!$B$9;Sheet1!$D$9;Sheet1!$H$9)</c:f>
              <c:numCache>
                <c:formatCode>0</c:formatCode>
                <c:ptCount val="3"/>
                <c:pt idx="0">
                  <c:v>6.501190562089616</c:v>
                </c:pt>
                <c:pt idx="1">
                  <c:v>8.2355217335224999</c:v>
                </c:pt>
                <c:pt idx="2">
                  <c:v>7.5882898033428434</c:v>
                </c:pt>
              </c:numCache>
            </c:numRef>
          </c:val>
        </c:ser>
        <c:dLbls/>
        <c:gapWidth val="50"/>
        <c:overlap val="100"/>
        <c:axId val="89008384"/>
        <c:axId val="89030656"/>
      </c:barChart>
      <c:catAx>
        <c:axId val="89008384"/>
        <c:scaling>
          <c:orientation val="minMax"/>
        </c:scaling>
        <c:axPos val="b"/>
        <c:numFmt formatCode="General" sourceLinked="1"/>
        <c:tickLblPos val="nextTo"/>
        <c:spPr>
          <a:ln w="3175"/>
        </c:spPr>
        <c:txPr>
          <a:bodyPr rot="0" vert="horz"/>
          <a:lstStyle/>
          <a:p>
            <a:pPr>
              <a:defRPr/>
            </a:pPr>
            <a:endParaRPr lang="lv-LV"/>
          </a:p>
        </c:txPr>
        <c:crossAx val="89030656"/>
        <c:crosses val="autoZero"/>
        <c:auto val="1"/>
        <c:lblAlgn val="ctr"/>
        <c:lblOffset val="100"/>
      </c:catAx>
      <c:valAx>
        <c:axId val="89030656"/>
        <c:scaling>
          <c:orientation val="minMax"/>
        </c:scaling>
        <c:axPos val="l"/>
        <c:numFmt formatCode="0%" sourceLinked="1"/>
        <c:tickLblPos val="nextTo"/>
        <c:spPr>
          <a:ln w="3175"/>
        </c:spPr>
        <c:txPr>
          <a:bodyPr rot="0" vert="horz"/>
          <a:lstStyle/>
          <a:p>
            <a:pPr>
              <a:defRPr/>
            </a:pPr>
            <a:endParaRPr lang="lv-LV"/>
          </a:p>
        </c:txPr>
        <c:crossAx val="89008384"/>
        <c:crosses val="autoZero"/>
        <c:crossBetween val="between"/>
        <c:majorUnit val="0.2"/>
      </c:valAx>
    </c:plotArea>
    <c:plotVisOnly val="1"/>
    <c:dispBlanksAs val="gap"/>
  </c:chart>
  <c:spPr>
    <a:ln>
      <a:noFill/>
    </a:ln>
  </c:spPr>
  <c:txPr>
    <a:bodyPr/>
    <a:lstStyle/>
    <a:p>
      <a:pPr>
        <a:defRPr sz="900">
          <a:latin typeface="Segoe UI Semilight" panose="020B0402040204020203" pitchFamily="34" charset="0"/>
          <a:cs typeface="Segoe UI Semilight" panose="020B0402040204020203" pitchFamily="34" charset="0"/>
        </a:defRPr>
      </a:pPr>
      <a:endParaRPr lang="lv-LV"/>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lv-LV"/>
  <c:chart>
    <c:plotArea>
      <c:layout>
        <c:manualLayout>
          <c:layoutTarget val="inner"/>
          <c:xMode val="edge"/>
          <c:yMode val="edge"/>
          <c:x val="8.8639912220295158E-2"/>
          <c:y val="2.9322738259412468E-2"/>
          <c:w val="0.83329554037277864"/>
          <c:h val="0.87181445012699565"/>
        </c:manualLayout>
      </c:layout>
      <c:barChart>
        <c:barDir val="col"/>
        <c:grouping val="percentStacked"/>
        <c:ser>
          <c:idx val="0"/>
          <c:order val="0"/>
          <c:tx>
            <c:strRef>
              <c:f>Sheet1!$A$2</c:f>
              <c:strCache>
                <c:ptCount val="1"/>
                <c:pt idx="0">
                  <c:v>Izglītība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(Sheet1!$B$2;Sheet1!$D$2;Sheet1!$H$2)</c:f>
              <c:numCache>
                <c:formatCode>0</c:formatCode>
                <c:ptCount val="3"/>
                <c:pt idx="0">
                  <c:v>10.314439387670674</c:v>
                </c:pt>
                <c:pt idx="1">
                  <c:v>8.3104162742514767</c:v>
                </c:pt>
                <c:pt idx="2">
                  <c:v>6.2727010665897946</c:v>
                </c:pt>
              </c:numCache>
            </c:numRef>
          </c:val>
        </c:ser>
        <c:ser>
          <c:idx val="1"/>
          <c:order val="1"/>
          <c:tx>
            <c:strRef>
              <c:f>Sheet1!$A$3</c:f>
              <c:strCache>
                <c:ptCount val="1"/>
                <c:pt idx="0">
                  <c:v>Humanitārās zinātnes un māksla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(Sheet1!$B$3;Sheet1!$D$3;Sheet1!$H$3)</c:f>
              <c:numCache>
                <c:formatCode>0</c:formatCode>
                <c:ptCount val="3"/>
                <c:pt idx="0">
                  <c:v>7.1452213487794785</c:v>
                </c:pt>
                <c:pt idx="1">
                  <c:v>7.2216990016952414</c:v>
                </c:pt>
                <c:pt idx="2">
                  <c:v>9.6166042087057768</c:v>
                </c:pt>
              </c:numCache>
            </c:numRef>
          </c:val>
        </c:ser>
        <c:ser>
          <c:idx val="2"/>
          <c:order val="2"/>
          <c:tx>
            <c:strRef>
              <c:f>Sheet1!$A$4</c:f>
              <c:strCache>
                <c:ptCount val="1"/>
                <c:pt idx="0">
                  <c:v>Sociālās zinātnes, komerczinības un tiesības</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(Sheet1!$B$4;Sheet1!$D$4;Sheet1!$H$4)</c:f>
              <c:numCache>
                <c:formatCode>0</c:formatCode>
                <c:ptCount val="3"/>
                <c:pt idx="0">
                  <c:v>55.035167563094745</c:v>
                </c:pt>
                <c:pt idx="1">
                  <c:v>54.311546430589544</c:v>
                </c:pt>
                <c:pt idx="2">
                  <c:v>41.539348515422304</c:v>
                </c:pt>
              </c:numCache>
            </c:numRef>
          </c:val>
        </c:ser>
        <c:ser>
          <c:idx val="3"/>
          <c:order val="3"/>
          <c:tx>
            <c:strRef>
              <c:f>Sheet1!$A$5</c:f>
              <c:strCache>
                <c:ptCount val="1"/>
                <c:pt idx="0">
                  <c:v>Dabas zinātnes, matemātika un informācijas tehnoloģijas</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(Sheet1!$B$5;Sheet1!$D$5;Sheet1!$H$5)</c:f>
              <c:numCache>
                <c:formatCode>0</c:formatCode>
                <c:ptCount val="3"/>
                <c:pt idx="0">
                  <c:v>5.0682664460074465</c:v>
                </c:pt>
                <c:pt idx="1">
                  <c:v>5.0329628932002324</c:v>
                </c:pt>
                <c:pt idx="2">
                  <c:v>6.7281637359469588</c:v>
                </c:pt>
              </c:numCache>
            </c:numRef>
          </c:val>
        </c:ser>
        <c:ser>
          <c:idx val="4"/>
          <c:order val="4"/>
          <c:tx>
            <c:strRef>
              <c:f>Sheet1!$A$6</c:f>
              <c:strCache>
                <c:ptCount val="1"/>
                <c:pt idx="0">
                  <c:v>Inženierzinātnes, ražošana  un būvniecība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(Sheet1!$B$6;Sheet1!$D$6;Sheet1!$H$6)</c:f>
              <c:numCache>
                <c:formatCode>0</c:formatCode>
                <c:ptCount val="3"/>
                <c:pt idx="0">
                  <c:v>7.5879189077368245</c:v>
                </c:pt>
                <c:pt idx="1">
                  <c:v>9.2861179129779625</c:v>
                </c:pt>
                <c:pt idx="2">
                  <c:v>13.554338426059385</c:v>
                </c:pt>
              </c:numCache>
            </c:numRef>
          </c:val>
        </c:ser>
        <c:ser>
          <c:idx val="5"/>
          <c:order val="5"/>
          <c:tx>
            <c:strRef>
              <c:f>Sheet1!$A$7</c:f>
              <c:strCache>
                <c:ptCount val="1"/>
                <c:pt idx="0">
                  <c:v>Lauksaimniecība</c:v>
                </c:pt>
              </c:strCache>
            </c:strRef>
          </c:tx>
          <c:cat>
            <c:numRef>
              <c:f>(Sheet1!$B$1;Sheet1!$D$1;Sheet1!$H$1)</c:f>
              <c:numCache>
                <c:formatCode>General</c:formatCode>
                <c:ptCount val="3"/>
                <c:pt idx="0">
                  <c:v>2008</c:v>
                </c:pt>
                <c:pt idx="1">
                  <c:v>2010</c:v>
                </c:pt>
                <c:pt idx="2">
                  <c:v>2014</c:v>
                </c:pt>
              </c:numCache>
            </c:numRef>
          </c:cat>
          <c:val>
            <c:numRef>
              <c:f>(Sheet1!$B$7;Sheet1!$D$7;Sheet1!$H$7)</c:f>
              <c:numCache>
                <c:formatCode>0</c:formatCode>
                <c:ptCount val="3"/>
                <c:pt idx="0">
                  <c:v>0.74472486553580775</c:v>
                </c:pt>
                <c:pt idx="1">
                  <c:v>0.86268600489734359</c:v>
                </c:pt>
                <c:pt idx="2">
                  <c:v>1.406745459786682</c:v>
                </c:pt>
              </c:numCache>
            </c:numRef>
          </c:val>
        </c:ser>
        <c:ser>
          <c:idx val="6"/>
          <c:order val="6"/>
          <c:tx>
            <c:strRef>
              <c:f>Sheet1!$A$8</c:f>
              <c:strCache>
                <c:ptCount val="1"/>
                <c:pt idx="0">
                  <c:v>Veselības aprūpe un sociālā labklājība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(Sheet1!$B$8;Sheet1!$D$8;Sheet1!$H$8)</c:f>
              <c:numCache>
                <c:formatCode>0</c:formatCode>
                <c:ptCount val="3"/>
                <c:pt idx="0">
                  <c:v>7.9313198179561439</c:v>
                </c:pt>
                <c:pt idx="1">
                  <c:v>9.2522132228291607</c:v>
                </c:pt>
                <c:pt idx="2">
                  <c:v>12.776016142980687</c:v>
                </c:pt>
              </c:numCache>
            </c:numRef>
          </c:val>
        </c:ser>
        <c:ser>
          <c:idx val="7"/>
          <c:order val="7"/>
          <c:tx>
            <c:strRef>
              <c:f>Sheet1!$A$9</c:f>
              <c:strCache>
                <c:ptCount val="1"/>
                <c:pt idx="0">
                  <c:v>Pakalpojumi</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(Sheet1!$B$9;Sheet1!$D$9;Sheet1!$H$9)</c:f>
              <c:numCache>
                <c:formatCode>0</c:formatCode>
                <c:ptCount val="3"/>
                <c:pt idx="0">
                  <c:v>6.0322714108398934</c:v>
                </c:pt>
                <c:pt idx="1">
                  <c:v>5.6507816914673175</c:v>
                </c:pt>
                <c:pt idx="2">
                  <c:v>8.1060824445085036</c:v>
                </c:pt>
              </c:numCache>
            </c:numRef>
          </c:val>
        </c:ser>
        <c:dLbls/>
        <c:gapWidth val="50"/>
        <c:overlap val="100"/>
        <c:axId val="90496384"/>
        <c:axId val="90576000"/>
      </c:barChart>
      <c:catAx>
        <c:axId val="90496384"/>
        <c:scaling>
          <c:orientation val="minMax"/>
        </c:scaling>
        <c:axPos val="b"/>
        <c:numFmt formatCode="General" sourceLinked="1"/>
        <c:tickLblPos val="nextTo"/>
        <c:spPr>
          <a:ln w="3175"/>
        </c:spPr>
        <c:txPr>
          <a:bodyPr rot="0" vert="horz"/>
          <a:lstStyle/>
          <a:p>
            <a:pPr>
              <a:defRPr/>
            </a:pPr>
            <a:endParaRPr lang="lv-LV"/>
          </a:p>
        </c:txPr>
        <c:crossAx val="90576000"/>
        <c:crosses val="autoZero"/>
        <c:auto val="1"/>
        <c:lblAlgn val="ctr"/>
        <c:lblOffset val="100"/>
      </c:catAx>
      <c:valAx>
        <c:axId val="90576000"/>
        <c:scaling>
          <c:orientation val="minMax"/>
        </c:scaling>
        <c:axPos val="l"/>
        <c:numFmt formatCode="0%" sourceLinked="1"/>
        <c:tickLblPos val="nextTo"/>
        <c:spPr>
          <a:ln w="3175"/>
        </c:spPr>
        <c:txPr>
          <a:bodyPr rot="0" vert="horz"/>
          <a:lstStyle/>
          <a:p>
            <a:pPr>
              <a:defRPr/>
            </a:pPr>
            <a:endParaRPr lang="lv-LV"/>
          </a:p>
        </c:txPr>
        <c:crossAx val="90496384"/>
        <c:crosses val="autoZero"/>
        <c:crossBetween val="between"/>
        <c:majorUnit val="0.2"/>
      </c:valAx>
    </c:plotArea>
    <c:plotVisOnly val="1"/>
    <c:dispBlanksAs val="gap"/>
  </c:chart>
  <c:spPr>
    <a:ln>
      <a:noFill/>
    </a:ln>
  </c:spPr>
  <c:txPr>
    <a:bodyPr/>
    <a:lstStyle/>
    <a:p>
      <a:pPr>
        <a:defRPr sz="900">
          <a:latin typeface="Segoe UI Semilight" panose="020B0402040204020203" pitchFamily="34" charset="0"/>
          <a:cs typeface="Segoe UI Semilight" panose="020B0402040204020203" pitchFamily="34" charset="0"/>
        </a:defRPr>
      </a:pPr>
      <a:endParaRPr lang="lv-LV"/>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lv-LV"/>
  <c:chart>
    <c:plotArea>
      <c:layout>
        <c:manualLayout>
          <c:layoutTarget val="inner"/>
          <c:xMode val="edge"/>
          <c:yMode val="edge"/>
          <c:x val="0.43790778137211051"/>
          <c:y val="2.9322738259412468E-2"/>
          <c:w val="3.6856226305045203E-2"/>
          <c:h val="6.1313601603974734E-2"/>
        </c:manualLayout>
      </c:layout>
      <c:barChart>
        <c:barDir val="col"/>
        <c:grouping val="percentStacked"/>
        <c:ser>
          <c:idx val="0"/>
          <c:order val="0"/>
          <c:tx>
            <c:strRef>
              <c:f>Sheet1!$A$2</c:f>
              <c:strCache>
                <c:ptCount val="1"/>
                <c:pt idx="0">
                  <c:v>Izglītība</c:v>
                </c:pt>
              </c:strCache>
            </c:strRef>
          </c:tx>
          <c:cat>
            <c:numRef>
              <c:f>(Sheet1!$B$1;Sheet1!$D$1;Sheet1!$G$1)</c:f>
              <c:numCache>
                <c:formatCode>General</c:formatCode>
                <c:ptCount val="3"/>
                <c:pt idx="0">
                  <c:v>2008</c:v>
                </c:pt>
                <c:pt idx="1">
                  <c:v>2010</c:v>
                </c:pt>
                <c:pt idx="2">
                  <c:v>2013</c:v>
                </c:pt>
              </c:numCache>
            </c:numRef>
          </c:cat>
          <c:val>
            <c:numRef>
              <c:f>(Sheet1!$B$2;Sheet1!$D$2;Sheet1!$G$2)</c:f>
              <c:numCache>
                <c:formatCode>0.0</c:formatCode>
                <c:ptCount val="3"/>
                <c:pt idx="0">
                  <c:v>10.314439387670674</c:v>
                </c:pt>
                <c:pt idx="1">
                  <c:v>8.3104162742514767</c:v>
                </c:pt>
                <c:pt idx="2">
                  <c:v>7.487274409995373</c:v>
                </c:pt>
              </c:numCache>
            </c:numRef>
          </c:val>
        </c:ser>
        <c:ser>
          <c:idx val="1"/>
          <c:order val="1"/>
          <c:tx>
            <c:strRef>
              <c:f>Sheet1!$A$3</c:f>
              <c:strCache>
                <c:ptCount val="1"/>
                <c:pt idx="0">
                  <c:v>Humanitārās zinātnes un māksla</c:v>
                </c:pt>
              </c:strCache>
            </c:strRef>
          </c:tx>
          <c:cat>
            <c:numRef>
              <c:f>(Sheet1!$B$1;Sheet1!$D$1;Sheet1!$G$1)</c:f>
              <c:numCache>
                <c:formatCode>General</c:formatCode>
                <c:ptCount val="3"/>
                <c:pt idx="0">
                  <c:v>2008</c:v>
                </c:pt>
                <c:pt idx="1">
                  <c:v>2010</c:v>
                </c:pt>
                <c:pt idx="2">
                  <c:v>2013</c:v>
                </c:pt>
              </c:numCache>
            </c:numRef>
          </c:cat>
          <c:val>
            <c:numRef>
              <c:f>(Sheet1!$B$3;Sheet1!$D$3;Sheet1!$G$3)</c:f>
              <c:numCache>
                <c:formatCode>0.0</c:formatCode>
                <c:ptCount val="3"/>
                <c:pt idx="0">
                  <c:v>7.1452213487794785</c:v>
                </c:pt>
                <c:pt idx="1">
                  <c:v>7.2216990016952414</c:v>
                </c:pt>
                <c:pt idx="2">
                  <c:v>8.2415548357242248</c:v>
                </c:pt>
              </c:numCache>
            </c:numRef>
          </c:val>
        </c:ser>
        <c:ser>
          <c:idx val="2"/>
          <c:order val="2"/>
          <c:tx>
            <c:strRef>
              <c:f>Sheet1!$A$4</c:f>
              <c:strCache>
                <c:ptCount val="1"/>
                <c:pt idx="0">
                  <c:v>Sociālās zinātnes, komerczinības un tiesības</c:v>
                </c:pt>
              </c:strCache>
            </c:strRef>
          </c:tx>
          <c:cat>
            <c:numRef>
              <c:f>(Sheet1!$B$1;Sheet1!$D$1;Sheet1!$G$1)</c:f>
              <c:numCache>
                <c:formatCode>General</c:formatCode>
                <c:ptCount val="3"/>
                <c:pt idx="0">
                  <c:v>2008</c:v>
                </c:pt>
                <c:pt idx="1">
                  <c:v>2010</c:v>
                </c:pt>
                <c:pt idx="2">
                  <c:v>2013</c:v>
                </c:pt>
              </c:numCache>
            </c:numRef>
          </c:cat>
          <c:val>
            <c:numRef>
              <c:f>(Sheet1!$B$4;Sheet1!$D$4;Sheet1!$G$4)</c:f>
              <c:numCache>
                <c:formatCode>0.0</c:formatCode>
                <c:ptCount val="3"/>
                <c:pt idx="0">
                  <c:v>55.035167563094745</c:v>
                </c:pt>
                <c:pt idx="1">
                  <c:v>54.311546430589544</c:v>
                </c:pt>
                <c:pt idx="2">
                  <c:v>39.861175381767701</c:v>
                </c:pt>
              </c:numCache>
            </c:numRef>
          </c:val>
        </c:ser>
        <c:ser>
          <c:idx val="3"/>
          <c:order val="3"/>
          <c:tx>
            <c:strRef>
              <c:f>Sheet1!$A$5</c:f>
              <c:strCache>
                <c:ptCount val="1"/>
                <c:pt idx="0">
                  <c:v>Dabas zinātnes, matemātika un informācijas tehnoloģijas</c:v>
                </c:pt>
              </c:strCache>
            </c:strRef>
          </c:tx>
          <c:cat>
            <c:numRef>
              <c:f>(Sheet1!$B$1;Sheet1!$D$1;Sheet1!$G$1)</c:f>
              <c:numCache>
                <c:formatCode>General</c:formatCode>
                <c:ptCount val="3"/>
                <c:pt idx="0">
                  <c:v>2008</c:v>
                </c:pt>
                <c:pt idx="1">
                  <c:v>2010</c:v>
                </c:pt>
                <c:pt idx="2">
                  <c:v>2013</c:v>
                </c:pt>
              </c:numCache>
            </c:numRef>
          </c:cat>
          <c:val>
            <c:numRef>
              <c:f>(Sheet1!$B$5;Sheet1!$D$5;Sheet1!$G$5)</c:f>
              <c:numCache>
                <c:formatCode>0.0</c:formatCode>
                <c:ptCount val="3"/>
                <c:pt idx="0">
                  <c:v>5.0682664460074465</c:v>
                </c:pt>
                <c:pt idx="1">
                  <c:v>5.0329628932002324</c:v>
                </c:pt>
                <c:pt idx="2">
                  <c:v>5.9602036094400814</c:v>
                </c:pt>
              </c:numCache>
            </c:numRef>
          </c:val>
        </c:ser>
        <c:ser>
          <c:idx val="4"/>
          <c:order val="4"/>
          <c:tx>
            <c:strRef>
              <c:f>Sheet1!$A$6</c:f>
              <c:strCache>
                <c:ptCount val="1"/>
                <c:pt idx="0">
                  <c:v>Inženierzinātnes, ražošana  un būvniecība</c:v>
                </c:pt>
              </c:strCache>
            </c:strRef>
          </c:tx>
          <c:cat>
            <c:numRef>
              <c:f>(Sheet1!$B$1;Sheet1!$D$1;Sheet1!$G$1)</c:f>
              <c:numCache>
                <c:formatCode>General</c:formatCode>
                <c:ptCount val="3"/>
                <c:pt idx="0">
                  <c:v>2008</c:v>
                </c:pt>
                <c:pt idx="1">
                  <c:v>2010</c:v>
                </c:pt>
                <c:pt idx="2">
                  <c:v>2013</c:v>
                </c:pt>
              </c:numCache>
            </c:numRef>
          </c:cat>
          <c:val>
            <c:numRef>
              <c:f>(Sheet1!$B$6;Sheet1!$D$6;Sheet1!$G$6)</c:f>
              <c:numCache>
                <c:formatCode>0.0</c:formatCode>
                <c:ptCount val="3"/>
                <c:pt idx="0">
                  <c:v>7.5879189077368245</c:v>
                </c:pt>
                <c:pt idx="1">
                  <c:v>9.2861179129779625</c:v>
                </c:pt>
                <c:pt idx="2">
                  <c:v>11.943544655252326</c:v>
                </c:pt>
              </c:numCache>
            </c:numRef>
          </c:val>
        </c:ser>
        <c:ser>
          <c:idx val="5"/>
          <c:order val="5"/>
          <c:tx>
            <c:strRef>
              <c:f>Sheet1!$A$7</c:f>
              <c:strCache>
                <c:ptCount val="1"/>
                <c:pt idx="0">
                  <c:v>Lauksaimniecība</c:v>
                </c:pt>
              </c:strCache>
            </c:strRef>
          </c:tx>
          <c:cat>
            <c:numRef>
              <c:f>(Sheet1!$B$1;Sheet1!$D$1;Sheet1!$G$1)</c:f>
              <c:numCache>
                <c:formatCode>General</c:formatCode>
                <c:ptCount val="3"/>
                <c:pt idx="0">
                  <c:v>2008</c:v>
                </c:pt>
                <c:pt idx="1">
                  <c:v>2010</c:v>
                </c:pt>
                <c:pt idx="2">
                  <c:v>2013</c:v>
                </c:pt>
              </c:numCache>
            </c:numRef>
          </c:cat>
          <c:val>
            <c:numRef>
              <c:f>(Sheet1!$B$7;Sheet1!$D$7;Sheet1!$G$7)</c:f>
              <c:numCache>
                <c:formatCode>0.0</c:formatCode>
                <c:ptCount val="3"/>
                <c:pt idx="0">
                  <c:v>0.74472486553580775</c:v>
                </c:pt>
                <c:pt idx="1">
                  <c:v>0.86268600489734359</c:v>
                </c:pt>
                <c:pt idx="2">
                  <c:v>1.073577047663119</c:v>
                </c:pt>
              </c:numCache>
            </c:numRef>
          </c:val>
        </c:ser>
        <c:ser>
          <c:idx val="6"/>
          <c:order val="6"/>
          <c:tx>
            <c:strRef>
              <c:f>Sheet1!$A$8</c:f>
              <c:strCache>
                <c:ptCount val="1"/>
                <c:pt idx="0">
                  <c:v>Veselības aprūpe un sociālā labklājība</c:v>
                </c:pt>
              </c:strCache>
            </c:strRef>
          </c:tx>
          <c:cat>
            <c:numRef>
              <c:f>(Sheet1!$B$1;Sheet1!$D$1;Sheet1!$G$1)</c:f>
              <c:numCache>
                <c:formatCode>General</c:formatCode>
                <c:ptCount val="3"/>
                <c:pt idx="0">
                  <c:v>2008</c:v>
                </c:pt>
                <c:pt idx="1">
                  <c:v>2010</c:v>
                </c:pt>
                <c:pt idx="2">
                  <c:v>2013</c:v>
                </c:pt>
              </c:numCache>
            </c:numRef>
          </c:cat>
          <c:val>
            <c:numRef>
              <c:f>(Sheet1!$B$8;Sheet1!$D$8;Sheet1!$G$8)</c:f>
              <c:numCache>
                <c:formatCode>0.0</c:formatCode>
                <c:ptCount val="3"/>
                <c:pt idx="0">
                  <c:v>7.9313198179561439</c:v>
                </c:pt>
                <c:pt idx="1">
                  <c:v>9.2522132228291607</c:v>
                </c:pt>
                <c:pt idx="2">
                  <c:v>18.232299861174809</c:v>
                </c:pt>
              </c:numCache>
            </c:numRef>
          </c:val>
        </c:ser>
        <c:ser>
          <c:idx val="7"/>
          <c:order val="7"/>
          <c:tx>
            <c:strRef>
              <c:f>Sheet1!$A$9</c:f>
              <c:strCache>
                <c:ptCount val="1"/>
                <c:pt idx="0">
                  <c:v>Pakalpojumi</c:v>
                </c:pt>
              </c:strCache>
            </c:strRef>
          </c:tx>
          <c:cat>
            <c:numRef>
              <c:f>(Sheet1!$B$1;Sheet1!$D$1;Sheet1!$G$1)</c:f>
              <c:numCache>
                <c:formatCode>General</c:formatCode>
                <c:ptCount val="3"/>
                <c:pt idx="0">
                  <c:v>2008</c:v>
                </c:pt>
                <c:pt idx="1">
                  <c:v>2010</c:v>
                </c:pt>
                <c:pt idx="2">
                  <c:v>2013</c:v>
                </c:pt>
              </c:numCache>
            </c:numRef>
          </c:cat>
          <c:val>
            <c:numRef>
              <c:f>(Sheet1!$B$9;Sheet1!$D$9;Sheet1!$G$9)</c:f>
              <c:numCache>
                <c:formatCode>0.0</c:formatCode>
                <c:ptCount val="3"/>
                <c:pt idx="0">
                  <c:v>6.0322714108398934</c:v>
                </c:pt>
                <c:pt idx="1">
                  <c:v>5.6507816914673175</c:v>
                </c:pt>
                <c:pt idx="2">
                  <c:v>7.2003701989819522</c:v>
                </c:pt>
              </c:numCache>
            </c:numRef>
          </c:val>
        </c:ser>
        <c:dLbls/>
        <c:gapWidth val="40"/>
        <c:overlap val="100"/>
        <c:axId val="90653440"/>
        <c:axId val="90654976"/>
      </c:barChart>
      <c:catAx>
        <c:axId val="90653440"/>
        <c:scaling>
          <c:orientation val="minMax"/>
        </c:scaling>
        <c:delete val="1"/>
        <c:axPos val="b"/>
        <c:numFmt formatCode="General" sourceLinked="1"/>
        <c:tickLblPos val="none"/>
        <c:crossAx val="90654976"/>
        <c:crosses val="autoZero"/>
        <c:auto val="1"/>
        <c:lblAlgn val="ctr"/>
        <c:lblOffset val="100"/>
      </c:catAx>
      <c:valAx>
        <c:axId val="90654976"/>
        <c:scaling>
          <c:orientation val="minMax"/>
        </c:scaling>
        <c:delete val="1"/>
        <c:axPos val="l"/>
        <c:numFmt formatCode="0%" sourceLinked="1"/>
        <c:tickLblPos val="none"/>
        <c:crossAx val="90653440"/>
        <c:crosses val="autoZero"/>
        <c:crossBetween val="between"/>
        <c:majorUnit val="0.2"/>
      </c:valAx>
    </c:plotArea>
    <c:legend>
      <c:legendPos val="r"/>
      <c:layout>
        <c:manualLayout>
          <c:xMode val="edge"/>
          <c:yMode val="edge"/>
          <c:x val="0"/>
          <c:y val="1.5337423312883501E-2"/>
          <c:w val="1"/>
          <c:h val="0.98466298095714433"/>
        </c:manualLayout>
      </c:layout>
      <c:spPr>
        <a:solidFill>
          <a:schemeClr val="bg1"/>
        </a:solidFill>
      </c:spPr>
      <c:txPr>
        <a:bodyPr/>
        <a:lstStyle/>
        <a:p>
          <a:pPr>
            <a:defRPr sz="900"/>
          </a:pPr>
          <a:endParaRPr lang="lv-LV"/>
        </a:p>
      </c:txPr>
    </c:legend>
    <c:plotVisOnly val="1"/>
    <c:dispBlanksAs val="gap"/>
  </c:chart>
  <c:spPr>
    <a:ln>
      <a:noFill/>
    </a:ln>
  </c:spPr>
  <c:txPr>
    <a:bodyPr/>
    <a:lstStyle/>
    <a:p>
      <a:pPr>
        <a:defRPr sz="900">
          <a:latin typeface="Segoe UI Semilight" panose="020B0402040204020203" pitchFamily="34" charset="0"/>
          <a:cs typeface="Segoe UI Semilight" panose="020B0402040204020203" pitchFamily="34" charset="0"/>
        </a:defRPr>
      </a:pPr>
      <a:endParaRPr lang="lv-LV"/>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lv-LV"/>
  <c:chart>
    <c:plotArea>
      <c:layout>
        <c:manualLayout>
          <c:layoutTarget val="inner"/>
          <c:xMode val="edge"/>
          <c:yMode val="edge"/>
          <c:x val="8.8639912220295158E-2"/>
          <c:y val="2.9322738259412468E-2"/>
          <c:w val="0.8406045436373436"/>
          <c:h val="0.87181445012699565"/>
        </c:manualLayout>
      </c:layout>
      <c:barChart>
        <c:barDir val="col"/>
        <c:grouping val="percentStacked"/>
        <c:ser>
          <c:idx val="0"/>
          <c:order val="0"/>
          <c:tx>
            <c:strRef>
              <c:f>Sheet1!$A$2</c:f>
              <c:strCache>
                <c:ptCount val="1"/>
                <c:pt idx="0">
                  <c:v>Vispārējā izglītība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(Sheet1!$B$2;Sheet1!$D$2;Sheet1!$H$2)</c:f>
              <c:numCache>
                <c:formatCode>0</c:formatCode>
                <c:ptCount val="3"/>
                <c:pt idx="0">
                  <c:v>2.4850536627530073</c:v>
                </c:pt>
                <c:pt idx="1">
                  <c:v>2.3166023166023164</c:v>
                </c:pt>
                <c:pt idx="2">
                  <c:v>1.8337190671176598</c:v>
                </c:pt>
              </c:numCache>
            </c:numRef>
          </c:val>
        </c:ser>
        <c:ser>
          <c:idx val="1"/>
          <c:order val="1"/>
          <c:tx>
            <c:strRef>
              <c:f>Sheet1!$A$3</c:f>
              <c:strCache>
                <c:ptCount val="1"/>
                <c:pt idx="0">
                  <c:v>Humanitārās zinātnes un māksla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(Sheet1!$B$3;Sheet1!$D$3;Sheet1!$H$3)</c:f>
              <c:numCache>
                <c:formatCode>0</c:formatCode>
                <c:ptCount val="3"/>
                <c:pt idx="0">
                  <c:v>7.2462724195058934</c:v>
                </c:pt>
                <c:pt idx="1">
                  <c:v>8.0661406748363262</c:v>
                </c:pt>
                <c:pt idx="2">
                  <c:v>8.9727612604593201</c:v>
                </c:pt>
              </c:numCache>
            </c:numRef>
          </c:val>
        </c:ser>
        <c:ser>
          <c:idx val="2"/>
          <c:order val="2"/>
          <c:tx>
            <c:strRef>
              <c:f>Sheet1!$A$4</c:f>
              <c:strCache>
                <c:ptCount val="1"/>
                <c:pt idx="0">
                  <c:v>Sociālās zinātnes, komerczinības un tiesības</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(Sheet1!$B$4;Sheet1!$D$4;Sheet1!$H$4)</c:f>
              <c:numCache>
                <c:formatCode>0</c:formatCode>
                <c:ptCount val="3"/>
                <c:pt idx="0">
                  <c:v>14.852697543758845</c:v>
                </c:pt>
                <c:pt idx="1">
                  <c:v>12.246097028705725</c:v>
                </c:pt>
                <c:pt idx="2">
                  <c:v>11.500801139398256</c:v>
                </c:pt>
              </c:numCache>
            </c:numRef>
          </c:val>
        </c:ser>
        <c:ser>
          <c:idx val="3"/>
          <c:order val="3"/>
          <c:tx>
            <c:strRef>
              <c:f>Sheet1!$A$5</c:f>
              <c:strCache>
                <c:ptCount val="1"/>
                <c:pt idx="0">
                  <c:v>Dabas zinātnes, matemātika un informācijas tehnoloģijas</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(Sheet1!$B$5;Sheet1!$D$5;Sheet1!$H$5)</c:f>
              <c:numCache>
                <c:formatCode>0</c:formatCode>
                <c:ptCount val="3"/>
                <c:pt idx="0">
                  <c:v>5.3662753007275086</c:v>
                </c:pt>
                <c:pt idx="1">
                  <c:v>4.6332046332046524</c:v>
                </c:pt>
                <c:pt idx="2">
                  <c:v>5.0382766601388704</c:v>
                </c:pt>
              </c:numCache>
            </c:numRef>
          </c:val>
        </c:ser>
        <c:ser>
          <c:idx val="4"/>
          <c:order val="4"/>
          <c:tx>
            <c:strRef>
              <c:f>Sheet1!$A$6</c:f>
              <c:strCache>
                <c:ptCount val="1"/>
                <c:pt idx="0">
                  <c:v>Inženierzinātnes, ražošana  un būvniecība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(Sheet1!$B$6;Sheet1!$D$6;Sheet1!$H$6)</c:f>
              <c:numCache>
                <c:formatCode>0</c:formatCode>
                <c:ptCount val="3"/>
                <c:pt idx="0">
                  <c:v>41.813729021104947</c:v>
                </c:pt>
                <c:pt idx="1">
                  <c:v>40.968608359912707</c:v>
                </c:pt>
                <c:pt idx="2">
                  <c:v>36.709987537831545</c:v>
                </c:pt>
              </c:numCache>
            </c:numRef>
          </c:val>
        </c:ser>
        <c:ser>
          <c:idx val="5"/>
          <c:order val="5"/>
          <c:tx>
            <c:strRef>
              <c:f>Sheet1!$A$7</c:f>
              <c:strCache>
                <c:ptCount val="1"/>
                <c:pt idx="0">
                  <c:v>Lauksaimniecība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(Sheet1!$B$7;Sheet1!$D$7;Sheet1!$H$7)</c:f>
              <c:numCache>
                <c:formatCode>0</c:formatCode>
                <c:ptCount val="3"/>
                <c:pt idx="0">
                  <c:v>2.593099474177051</c:v>
                </c:pt>
                <c:pt idx="1">
                  <c:v>2.3082088299479597</c:v>
                </c:pt>
                <c:pt idx="2">
                  <c:v>2.5369414278084377</c:v>
                </c:pt>
              </c:numCache>
            </c:numRef>
          </c:val>
        </c:ser>
        <c:ser>
          <c:idx val="6"/>
          <c:order val="6"/>
          <c:tx>
            <c:strRef>
              <c:f>Sheet1!$A$8</c:f>
              <c:strCache>
                <c:ptCount val="1"/>
                <c:pt idx="0">
                  <c:v>Veselības aprūpe un sociālā labklājība</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(Sheet1!$B$8;Sheet1!$D$8;Sheet1!$H$8)</c:f>
              <c:numCache>
                <c:formatCode>0</c:formatCode>
                <c:ptCount val="3"/>
                <c:pt idx="0">
                  <c:v>3.6015270474681831</c:v>
                </c:pt>
                <c:pt idx="1">
                  <c:v>3.8190364277320787</c:v>
                </c:pt>
                <c:pt idx="2">
                  <c:v>6.1064625244792596</c:v>
                </c:pt>
              </c:numCache>
            </c:numRef>
          </c:val>
        </c:ser>
        <c:ser>
          <c:idx val="7"/>
          <c:order val="7"/>
          <c:tx>
            <c:strRef>
              <c:f>Sheet1!$A$9</c:f>
              <c:strCache>
                <c:ptCount val="1"/>
                <c:pt idx="0">
                  <c:v>Pakalpojumi</c:v>
                </c:pt>
              </c:strCache>
            </c:strRef>
          </c:tx>
          <c:dLbls>
            <c:spPr>
              <a:noFill/>
              <a:ln>
                <a:noFill/>
              </a:ln>
              <a:effectLst/>
            </c:spPr>
            <c:showVal val="1"/>
            <c:extLst>
              <c:ext xmlns:c15="http://schemas.microsoft.com/office/drawing/2012/chart" uri="{CE6537A1-D6FC-4f65-9D91-7224C49458BB}">
                <c15:showLeaderLines val="0"/>
              </c:ext>
            </c:extLst>
          </c:dLbls>
          <c:cat>
            <c:numRef>
              <c:f>(Sheet1!$B$1;Sheet1!$D$1;Sheet1!$H$1)</c:f>
              <c:numCache>
                <c:formatCode>General</c:formatCode>
                <c:ptCount val="3"/>
                <c:pt idx="0">
                  <c:v>2008</c:v>
                </c:pt>
                <c:pt idx="1">
                  <c:v>2010</c:v>
                </c:pt>
                <c:pt idx="2">
                  <c:v>2014</c:v>
                </c:pt>
              </c:numCache>
            </c:numRef>
          </c:cat>
          <c:val>
            <c:numRef>
              <c:f>(Sheet1!$B$9;Sheet1!$D$9;Sheet1!$H$9)</c:f>
              <c:numCache>
                <c:formatCode>0</c:formatCode>
                <c:ptCount val="3"/>
                <c:pt idx="0">
                  <c:v>22.041345530504689</c:v>
                </c:pt>
                <c:pt idx="1">
                  <c:v>25.642101729058794</c:v>
                </c:pt>
                <c:pt idx="2">
                  <c:v>27.301050382766601</c:v>
                </c:pt>
              </c:numCache>
            </c:numRef>
          </c:val>
        </c:ser>
        <c:dLbls/>
        <c:gapWidth val="50"/>
        <c:overlap val="100"/>
        <c:axId val="90769664"/>
        <c:axId val="90796032"/>
      </c:barChart>
      <c:catAx>
        <c:axId val="90769664"/>
        <c:scaling>
          <c:orientation val="minMax"/>
        </c:scaling>
        <c:axPos val="b"/>
        <c:numFmt formatCode="General" sourceLinked="1"/>
        <c:tickLblPos val="nextTo"/>
        <c:txPr>
          <a:bodyPr rot="0" vert="horz"/>
          <a:lstStyle/>
          <a:p>
            <a:pPr>
              <a:defRPr/>
            </a:pPr>
            <a:endParaRPr lang="lv-LV"/>
          </a:p>
        </c:txPr>
        <c:crossAx val="90796032"/>
        <c:crosses val="autoZero"/>
        <c:auto val="1"/>
        <c:lblAlgn val="ctr"/>
        <c:lblOffset val="100"/>
      </c:catAx>
      <c:valAx>
        <c:axId val="90796032"/>
        <c:scaling>
          <c:orientation val="minMax"/>
        </c:scaling>
        <c:axPos val="l"/>
        <c:numFmt formatCode="0%" sourceLinked="1"/>
        <c:tickLblPos val="nextTo"/>
        <c:txPr>
          <a:bodyPr rot="0" vert="horz"/>
          <a:lstStyle/>
          <a:p>
            <a:pPr>
              <a:defRPr/>
            </a:pPr>
            <a:endParaRPr lang="lv-LV"/>
          </a:p>
        </c:txPr>
        <c:crossAx val="90769664"/>
        <c:crosses val="autoZero"/>
        <c:crossBetween val="between"/>
        <c:majorUnit val="0.2"/>
      </c:valAx>
    </c:plotArea>
    <c:plotVisOnly val="1"/>
    <c:dispBlanksAs val="gap"/>
  </c:chart>
  <c:spPr>
    <a:ln>
      <a:noFill/>
    </a:ln>
  </c:spPr>
  <c:txPr>
    <a:bodyPr/>
    <a:lstStyle/>
    <a:p>
      <a:pPr>
        <a:defRPr sz="900">
          <a:latin typeface="Segoe UI Semilight" panose="020B0402040204020203" pitchFamily="34" charset="0"/>
          <a:cs typeface="Segoe UI Semilight" panose="020B0402040204020203" pitchFamily="34" charset="0"/>
        </a:defRPr>
      </a:pPr>
      <a:endParaRPr lang="lv-LV"/>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0.31025</cdr:x>
      <cdr:y>0.557</cdr:y>
    </cdr:from>
    <cdr:to>
      <cdr:x>0.3155</cdr:x>
      <cdr:y>0.66475</cdr:y>
    </cdr:to>
    <cdr:sp macro="" textlink="">
      <cdr:nvSpPr>
        <cdr:cNvPr id="1028" name="Text Box 4"/>
        <cdr:cNvSpPr txBox="1">
          <a:spLocks xmlns:a="http://schemas.openxmlformats.org/drawingml/2006/main" noChangeArrowheads="1"/>
        </cdr:cNvSpPr>
      </cdr:nvSpPr>
      <cdr:spPr bwMode="auto">
        <a:xfrm xmlns:a="http://schemas.openxmlformats.org/drawingml/2006/main">
          <a:off x="1717700" y="1147405"/>
          <a:ext cx="28904" cy="20976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drawings/drawing2.xml><?xml version="1.0" encoding="utf-8"?>
<c:userShapes xmlns:c="http://schemas.openxmlformats.org/drawingml/2006/chart">
  <cdr:relSizeAnchor xmlns:cdr="http://schemas.openxmlformats.org/drawingml/2006/chartDrawing">
    <cdr:from>
      <cdr:x>0.31025</cdr:x>
      <cdr:y>0.557</cdr:y>
    </cdr:from>
    <cdr:to>
      <cdr:x>0.3155</cdr:x>
      <cdr:y>0.66475</cdr:y>
    </cdr:to>
    <cdr:sp macro="" textlink="">
      <cdr:nvSpPr>
        <cdr:cNvPr id="1028" name="Text Box 4"/>
        <cdr:cNvSpPr txBox="1">
          <a:spLocks xmlns:a="http://schemas.openxmlformats.org/drawingml/2006/main" noChangeArrowheads="1"/>
        </cdr:cNvSpPr>
      </cdr:nvSpPr>
      <cdr:spPr bwMode="auto">
        <a:xfrm xmlns:a="http://schemas.openxmlformats.org/drawingml/2006/main">
          <a:off x="1717700" y="1147405"/>
          <a:ext cx="28904" cy="209765"/>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37DF2-9CEC-4008-82C7-0C03F1BC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68</Pages>
  <Words>114710</Words>
  <Characters>65386</Characters>
  <Application>Microsoft Office Word</Application>
  <DocSecurity>0</DocSecurity>
  <Lines>544</Lines>
  <Paragraphs>359</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179737</CharactersWithSpaces>
  <SharedDoc>false</SharedDoc>
  <HLinks>
    <vt:vector size="258" baseType="variant">
      <vt:variant>
        <vt:i4>2687076</vt:i4>
      </vt:variant>
      <vt:variant>
        <vt:i4>144</vt:i4>
      </vt:variant>
      <vt:variant>
        <vt:i4>0</vt:i4>
      </vt:variant>
      <vt:variant>
        <vt:i4>5</vt:i4>
      </vt:variant>
      <vt:variant>
        <vt:lpwstr>http://likumi.lv/ta/id/267199-komercdarbibas-atbalsta-kontroles-likums</vt:lpwstr>
      </vt:variant>
      <vt:variant>
        <vt:lpwstr/>
      </vt:variant>
      <vt:variant>
        <vt:i4>4915215</vt:i4>
      </vt:variant>
      <vt:variant>
        <vt:i4>141</vt:i4>
      </vt:variant>
      <vt:variant>
        <vt:i4>0</vt:i4>
      </vt:variant>
      <vt:variant>
        <vt:i4>5</vt:i4>
      </vt:variant>
      <vt:variant>
        <vt:lpwstr>http://likumi.lv/doc.php?id=267471</vt:lpwstr>
      </vt:variant>
      <vt:variant>
        <vt:lpwstr>p20</vt:lpwstr>
      </vt:variant>
      <vt:variant>
        <vt:i4>589848</vt:i4>
      </vt:variant>
      <vt:variant>
        <vt:i4>138</vt:i4>
      </vt:variant>
      <vt:variant>
        <vt:i4>0</vt:i4>
      </vt:variant>
      <vt:variant>
        <vt:i4>5</vt:i4>
      </vt:variant>
      <vt:variant>
        <vt:lpwstr>http://eur-lex.europa.eu/eli/reg/2013/1303?locale=LV</vt:lpwstr>
      </vt:variant>
      <vt:variant>
        <vt:lpwstr/>
      </vt:variant>
      <vt:variant>
        <vt:i4>589848</vt:i4>
      </vt:variant>
      <vt:variant>
        <vt:i4>135</vt:i4>
      </vt:variant>
      <vt:variant>
        <vt:i4>0</vt:i4>
      </vt:variant>
      <vt:variant>
        <vt:i4>5</vt:i4>
      </vt:variant>
      <vt:variant>
        <vt:lpwstr>http://eur-lex.europa.eu/eli/reg/2013/1303?locale=LV</vt:lpwstr>
      </vt:variant>
      <vt:variant>
        <vt:lpwstr/>
      </vt:variant>
      <vt:variant>
        <vt:i4>4718607</vt:i4>
      </vt:variant>
      <vt:variant>
        <vt:i4>132</vt:i4>
      </vt:variant>
      <vt:variant>
        <vt:i4>0</vt:i4>
      </vt:variant>
      <vt:variant>
        <vt:i4>5</vt:i4>
      </vt:variant>
      <vt:variant>
        <vt:lpwstr>http://likumi.lv/doc.php?id=267471</vt:lpwstr>
      </vt:variant>
      <vt:variant>
        <vt:lpwstr>p10</vt:lpwstr>
      </vt:variant>
      <vt:variant>
        <vt:i4>4718607</vt:i4>
      </vt:variant>
      <vt:variant>
        <vt:i4>129</vt:i4>
      </vt:variant>
      <vt:variant>
        <vt:i4>0</vt:i4>
      </vt:variant>
      <vt:variant>
        <vt:i4>5</vt:i4>
      </vt:variant>
      <vt:variant>
        <vt:lpwstr>http://likumi.lv/doc.php?id=267471</vt:lpwstr>
      </vt:variant>
      <vt:variant>
        <vt:lpwstr>p11</vt:lpwstr>
      </vt:variant>
      <vt:variant>
        <vt:i4>589848</vt:i4>
      </vt:variant>
      <vt:variant>
        <vt:i4>126</vt:i4>
      </vt:variant>
      <vt:variant>
        <vt:i4>0</vt:i4>
      </vt:variant>
      <vt:variant>
        <vt:i4>5</vt:i4>
      </vt:variant>
      <vt:variant>
        <vt:lpwstr>http://eur-lex.europa.eu/eli/reg/2013/1303?locale=LV</vt:lpwstr>
      </vt:variant>
      <vt:variant>
        <vt:lpwstr/>
      </vt:variant>
      <vt:variant>
        <vt:i4>589848</vt:i4>
      </vt:variant>
      <vt:variant>
        <vt:i4>123</vt:i4>
      </vt:variant>
      <vt:variant>
        <vt:i4>0</vt:i4>
      </vt:variant>
      <vt:variant>
        <vt:i4>5</vt:i4>
      </vt:variant>
      <vt:variant>
        <vt:lpwstr>http://eur-lex.europa.eu/eli/reg/2013/1303?locale=LV</vt:lpwstr>
      </vt:variant>
      <vt:variant>
        <vt:lpwstr/>
      </vt:variant>
      <vt:variant>
        <vt:i4>589848</vt:i4>
      </vt:variant>
      <vt:variant>
        <vt:i4>120</vt:i4>
      </vt:variant>
      <vt:variant>
        <vt:i4>0</vt:i4>
      </vt:variant>
      <vt:variant>
        <vt:i4>5</vt:i4>
      </vt:variant>
      <vt:variant>
        <vt:lpwstr>http://eur-lex.europa.eu/eli/reg/2013/1303?locale=LV</vt:lpwstr>
      </vt:variant>
      <vt:variant>
        <vt:lpwstr/>
      </vt:variant>
      <vt:variant>
        <vt:i4>2687076</vt:i4>
      </vt:variant>
      <vt:variant>
        <vt:i4>117</vt:i4>
      </vt:variant>
      <vt:variant>
        <vt:i4>0</vt:i4>
      </vt:variant>
      <vt:variant>
        <vt:i4>5</vt:i4>
      </vt:variant>
      <vt:variant>
        <vt:lpwstr>http://likumi.lv/ta/id/267199-komercdarbibas-atbalsta-kontroles-likums</vt:lpwstr>
      </vt:variant>
      <vt:variant>
        <vt:lpwstr/>
      </vt:variant>
      <vt:variant>
        <vt:i4>4718607</vt:i4>
      </vt:variant>
      <vt:variant>
        <vt:i4>114</vt:i4>
      </vt:variant>
      <vt:variant>
        <vt:i4>0</vt:i4>
      </vt:variant>
      <vt:variant>
        <vt:i4>5</vt:i4>
      </vt:variant>
      <vt:variant>
        <vt:lpwstr>http://likumi.lv/doc.php?id=267471</vt:lpwstr>
      </vt:variant>
      <vt:variant>
        <vt:lpwstr>p12</vt:lpwstr>
      </vt:variant>
      <vt:variant>
        <vt:i4>589848</vt:i4>
      </vt:variant>
      <vt:variant>
        <vt:i4>111</vt:i4>
      </vt:variant>
      <vt:variant>
        <vt:i4>0</vt:i4>
      </vt:variant>
      <vt:variant>
        <vt:i4>5</vt:i4>
      </vt:variant>
      <vt:variant>
        <vt:lpwstr>http://eur-lex.europa.eu/eli/reg/2013/1303?locale=LV</vt:lpwstr>
      </vt:variant>
      <vt:variant>
        <vt:lpwstr/>
      </vt:variant>
      <vt:variant>
        <vt:i4>589848</vt:i4>
      </vt:variant>
      <vt:variant>
        <vt:i4>108</vt:i4>
      </vt:variant>
      <vt:variant>
        <vt:i4>0</vt:i4>
      </vt:variant>
      <vt:variant>
        <vt:i4>5</vt:i4>
      </vt:variant>
      <vt:variant>
        <vt:lpwstr>http://eur-lex.europa.eu/eli/reg/2013/1303?locale=LV</vt:lpwstr>
      </vt:variant>
      <vt:variant>
        <vt:lpwstr/>
      </vt:variant>
      <vt:variant>
        <vt:i4>5046287</vt:i4>
      </vt:variant>
      <vt:variant>
        <vt:i4>105</vt:i4>
      </vt:variant>
      <vt:variant>
        <vt:i4>0</vt:i4>
      </vt:variant>
      <vt:variant>
        <vt:i4>5</vt:i4>
      </vt:variant>
      <vt:variant>
        <vt:lpwstr>http://likumi.lv/doc.php?id=267471</vt:lpwstr>
      </vt:variant>
      <vt:variant>
        <vt:lpwstr>p4</vt:lpwstr>
      </vt:variant>
      <vt:variant>
        <vt:i4>4915215</vt:i4>
      </vt:variant>
      <vt:variant>
        <vt:i4>102</vt:i4>
      </vt:variant>
      <vt:variant>
        <vt:i4>0</vt:i4>
      </vt:variant>
      <vt:variant>
        <vt:i4>5</vt:i4>
      </vt:variant>
      <vt:variant>
        <vt:lpwstr>http://likumi.lv/doc.php?id=267471</vt:lpwstr>
      </vt:variant>
      <vt:variant>
        <vt:lpwstr>p20</vt:lpwstr>
      </vt:variant>
      <vt:variant>
        <vt:i4>5308459</vt:i4>
      </vt:variant>
      <vt:variant>
        <vt:i4>99</vt:i4>
      </vt:variant>
      <vt:variant>
        <vt:i4>0</vt:i4>
      </vt:variant>
      <vt:variant>
        <vt:i4>5</vt:i4>
      </vt:variant>
      <vt:variant>
        <vt:lpwstr>http://www.malnava.lv/index.php?option=com_content&amp;task=view&amp;id=335&amp;Itemid=72</vt:lpwstr>
      </vt:variant>
      <vt:variant>
        <vt:lpwstr/>
      </vt:variant>
      <vt:variant>
        <vt:i4>5177363</vt:i4>
      </vt:variant>
      <vt:variant>
        <vt:i4>96</vt:i4>
      </vt:variant>
      <vt:variant>
        <vt:i4>0</vt:i4>
      </vt:variant>
      <vt:variant>
        <vt:i4>5</vt:i4>
      </vt:variant>
      <vt:variant>
        <vt:lpwstr>http://www.malnava.lv/images/dokumenti/kpfi projekts malnava.pdf</vt:lpwstr>
      </vt:variant>
      <vt:variant>
        <vt:lpwstr/>
      </vt:variant>
      <vt:variant>
        <vt:i4>29</vt:i4>
      </vt:variant>
      <vt:variant>
        <vt:i4>93</vt:i4>
      </vt:variant>
      <vt:variant>
        <vt:i4>0</vt:i4>
      </vt:variant>
      <vt:variant>
        <vt:i4>5</vt:i4>
      </vt:variant>
      <vt:variant>
        <vt:lpwstr>http://eur-lex.europa.eu/eli/reg/1999/1260?locale=LV</vt:lpwstr>
      </vt:variant>
      <vt:variant>
        <vt:lpwstr/>
      </vt:variant>
      <vt:variant>
        <vt:i4>720917</vt:i4>
      </vt:variant>
      <vt:variant>
        <vt:i4>90</vt:i4>
      </vt:variant>
      <vt:variant>
        <vt:i4>0</vt:i4>
      </vt:variant>
      <vt:variant>
        <vt:i4>5</vt:i4>
      </vt:variant>
      <vt:variant>
        <vt:lpwstr>http://eur-lex.europa.eu/eli/reg/2006/1083?locale=LV</vt:lpwstr>
      </vt:variant>
      <vt:variant>
        <vt:lpwstr/>
      </vt:variant>
      <vt:variant>
        <vt:i4>720957</vt:i4>
      </vt:variant>
      <vt:variant>
        <vt:i4>87</vt:i4>
      </vt:variant>
      <vt:variant>
        <vt:i4>0</vt:i4>
      </vt:variant>
      <vt:variant>
        <vt:i4>5</vt:i4>
      </vt:variant>
      <vt:variant>
        <vt:lpwstr>http://lvceli.lv/lat/valsts_celu_tikls/celu_tikli/valsts_celu_tikls</vt:lpwstr>
      </vt:variant>
      <vt:variant>
        <vt:lpwstr/>
      </vt:variant>
      <vt:variant>
        <vt:i4>1245241</vt:i4>
      </vt:variant>
      <vt:variant>
        <vt:i4>80</vt:i4>
      </vt:variant>
      <vt:variant>
        <vt:i4>0</vt:i4>
      </vt:variant>
      <vt:variant>
        <vt:i4>5</vt:i4>
      </vt:variant>
      <vt:variant>
        <vt:lpwstr/>
      </vt:variant>
      <vt:variant>
        <vt:lpwstr>_Toc409448080</vt:lpwstr>
      </vt:variant>
      <vt:variant>
        <vt:i4>1835065</vt:i4>
      </vt:variant>
      <vt:variant>
        <vt:i4>74</vt:i4>
      </vt:variant>
      <vt:variant>
        <vt:i4>0</vt:i4>
      </vt:variant>
      <vt:variant>
        <vt:i4>5</vt:i4>
      </vt:variant>
      <vt:variant>
        <vt:lpwstr/>
      </vt:variant>
      <vt:variant>
        <vt:lpwstr>_Toc409448079</vt:lpwstr>
      </vt:variant>
      <vt:variant>
        <vt:i4>1835065</vt:i4>
      </vt:variant>
      <vt:variant>
        <vt:i4>68</vt:i4>
      </vt:variant>
      <vt:variant>
        <vt:i4>0</vt:i4>
      </vt:variant>
      <vt:variant>
        <vt:i4>5</vt:i4>
      </vt:variant>
      <vt:variant>
        <vt:lpwstr/>
      </vt:variant>
      <vt:variant>
        <vt:lpwstr>_Toc409448078</vt:lpwstr>
      </vt:variant>
      <vt:variant>
        <vt:i4>1835065</vt:i4>
      </vt:variant>
      <vt:variant>
        <vt:i4>62</vt:i4>
      </vt:variant>
      <vt:variant>
        <vt:i4>0</vt:i4>
      </vt:variant>
      <vt:variant>
        <vt:i4>5</vt:i4>
      </vt:variant>
      <vt:variant>
        <vt:lpwstr/>
      </vt:variant>
      <vt:variant>
        <vt:lpwstr>_Toc409448077</vt:lpwstr>
      </vt:variant>
      <vt:variant>
        <vt:i4>1835065</vt:i4>
      </vt:variant>
      <vt:variant>
        <vt:i4>56</vt:i4>
      </vt:variant>
      <vt:variant>
        <vt:i4>0</vt:i4>
      </vt:variant>
      <vt:variant>
        <vt:i4>5</vt:i4>
      </vt:variant>
      <vt:variant>
        <vt:lpwstr/>
      </vt:variant>
      <vt:variant>
        <vt:lpwstr>_Toc409448076</vt:lpwstr>
      </vt:variant>
      <vt:variant>
        <vt:i4>1835065</vt:i4>
      </vt:variant>
      <vt:variant>
        <vt:i4>50</vt:i4>
      </vt:variant>
      <vt:variant>
        <vt:i4>0</vt:i4>
      </vt:variant>
      <vt:variant>
        <vt:i4>5</vt:i4>
      </vt:variant>
      <vt:variant>
        <vt:lpwstr/>
      </vt:variant>
      <vt:variant>
        <vt:lpwstr>_Toc409448075</vt:lpwstr>
      </vt:variant>
      <vt:variant>
        <vt:i4>1835065</vt:i4>
      </vt:variant>
      <vt:variant>
        <vt:i4>44</vt:i4>
      </vt:variant>
      <vt:variant>
        <vt:i4>0</vt:i4>
      </vt:variant>
      <vt:variant>
        <vt:i4>5</vt:i4>
      </vt:variant>
      <vt:variant>
        <vt:lpwstr/>
      </vt:variant>
      <vt:variant>
        <vt:lpwstr>_Toc409448074</vt:lpwstr>
      </vt:variant>
      <vt:variant>
        <vt:i4>1835065</vt:i4>
      </vt:variant>
      <vt:variant>
        <vt:i4>38</vt:i4>
      </vt:variant>
      <vt:variant>
        <vt:i4>0</vt:i4>
      </vt:variant>
      <vt:variant>
        <vt:i4>5</vt:i4>
      </vt:variant>
      <vt:variant>
        <vt:lpwstr/>
      </vt:variant>
      <vt:variant>
        <vt:lpwstr>_Toc409448073</vt:lpwstr>
      </vt:variant>
      <vt:variant>
        <vt:i4>1835065</vt:i4>
      </vt:variant>
      <vt:variant>
        <vt:i4>32</vt:i4>
      </vt:variant>
      <vt:variant>
        <vt:i4>0</vt:i4>
      </vt:variant>
      <vt:variant>
        <vt:i4>5</vt:i4>
      </vt:variant>
      <vt:variant>
        <vt:lpwstr/>
      </vt:variant>
      <vt:variant>
        <vt:lpwstr>_Toc409448072</vt:lpwstr>
      </vt:variant>
      <vt:variant>
        <vt:i4>1835065</vt:i4>
      </vt:variant>
      <vt:variant>
        <vt:i4>26</vt:i4>
      </vt:variant>
      <vt:variant>
        <vt:i4>0</vt:i4>
      </vt:variant>
      <vt:variant>
        <vt:i4>5</vt:i4>
      </vt:variant>
      <vt:variant>
        <vt:lpwstr/>
      </vt:variant>
      <vt:variant>
        <vt:lpwstr>_Toc409448071</vt:lpwstr>
      </vt:variant>
      <vt:variant>
        <vt:i4>1835065</vt:i4>
      </vt:variant>
      <vt:variant>
        <vt:i4>20</vt:i4>
      </vt:variant>
      <vt:variant>
        <vt:i4>0</vt:i4>
      </vt:variant>
      <vt:variant>
        <vt:i4>5</vt:i4>
      </vt:variant>
      <vt:variant>
        <vt:lpwstr/>
      </vt:variant>
      <vt:variant>
        <vt:lpwstr>_Toc409448070</vt:lpwstr>
      </vt:variant>
      <vt:variant>
        <vt:i4>1900601</vt:i4>
      </vt:variant>
      <vt:variant>
        <vt:i4>14</vt:i4>
      </vt:variant>
      <vt:variant>
        <vt:i4>0</vt:i4>
      </vt:variant>
      <vt:variant>
        <vt:i4>5</vt:i4>
      </vt:variant>
      <vt:variant>
        <vt:lpwstr/>
      </vt:variant>
      <vt:variant>
        <vt:lpwstr>_Toc409448069</vt:lpwstr>
      </vt:variant>
      <vt:variant>
        <vt:i4>1900601</vt:i4>
      </vt:variant>
      <vt:variant>
        <vt:i4>8</vt:i4>
      </vt:variant>
      <vt:variant>
        <vt:i4>0</vt:i4>
      </vt:variant>
      <vt:variant>
        <vt:i4>5</vt:i4>
      </vt:variant>
      <vt:variant>
        <vt:lpwstr/>
      </vt:variant>
      <vt:variant>
        <vt:lpwstr>_Toc409448068</vt:lpwstr>
      </vt:variant>
      <vt:variant>
        <vt:i4>1900601</vt:i4>
      </vt:variant>
      <vt:variant>
        <vt:i4>2</vt:i4>
      </vt:variant>
      <vt:variant>
        <vt:i4>0</vt:i4>
      </vt:variant>
      <vt:variant>
        <vt:i4>5</vt:i4>
      </vt:variant>
      <vt:variant>
        <vt:lpwstr/>
      </vt:variant>
      <vt:variant>
        <vt:lpwstr>_Toc409448067</vt:lpwstr>
      </vt:variant>
      <vt:variant>
        <vt:i4>3604525</vt:i4>
      </vt:variant>
      <vt:variant>
        <vt:i4>24</vt:i4>
      </vt:variant>
      <vt:variant>
        <vt:i4>0</vt:i4>
      </vt:variant>
      <vt:variant>
        <vt:i4>5</vt:i4>
      </vt:variant>
      <vt:variant>
        <vt:lpwstr>http://komitejas.esfondi.lv/Dokumenti/Forms/AllItems.aspx?RootFolder=%2fDokumenti%2f2014%20%2d%202020%2f01%5fPagaidu%5fUK%5fmateri%c4%81li%5f%28TMC%5fmaterials%29%2f2014%2f02%5f2014%5f07%5f03%5fPagaidu%5fUK%5f%28Temporary%5fMC%29%2f02%5fPUK%5fmateri%c4%81li%5f%28TMC%5fmaterials%29&amp;FolderCTID=&amp;View=%7b891B9B05%2dE11F%2d48BB%2d8B73%2dBA7E31F29B09%7d</vt:lpwstr>
      </vt:variant>
      <vt:variant>
        <vt:lpwstr/>
      </vt:variant>
      <vt:variant>
        <vt:i4>7798838</vt:i4>
      </vt:variant>
      <vt:variant>
        <vt:i4>21</vt:i4>
      </vt:variant>
      <vt:variant>
        <vt:i4>0</vt:i4>
      </vt:variant>
      <vt:variant>
        <vt:i4>5</vt:i4>
      </vt:variant>
      <vt:variant>
        <vt:lpwstr>http://izm.izm.gov.lv/registri-statistika/statistika-augstaka.html</vt:lpwstr>
      </vt:variant>
      <vt:variant>
        <vt:lpwstr/>
      </vt:variant>
      <vt:variant>
        <vt:i4>1507380</vt:i4>
      </vt:variant>
      <vt:variant>
        <vt:i4>18</vt:i4>
      </vt:variant>
      <vt:variant>
        <vt:i4>0</vt:i4>
      </vt:variant>
      <vt:variant>
        <vt:i4>5</vt:i4>
      </vt:variant>
      <vt:variant>
        <vt:lpwstr>http://www.esfondi.lv/upload/Petijumi_un_izvertejumi/apraksti/Petijuma_izvertesanas_zinojums_31012014.pdf</vt:lpwstr>
      </vt:variant>
      <vt:variant>
        <vt:lpwstr/>
      </vt:variant>
      <vt:variant>
        <vt:i4>1507380</vt:i4>
      </vt:variant>
      <vt:variant>
        <vt:i4>15</vt:i4>
      </vt:variant>
      <vt:variant>
        <vt:i4>0</vt:i4>
      </vt:variant>
      <vt:variant>
        <vt:i4>5</vt:i4>
      </vt:variant>
      <vt:variant>
        <vt:lpwstr>http://www.esfondi.lv/upload/Petijumi_un_izvertejumi/apraksti/Petijuma_izvertesanas_zinojums_31012014.pdf</vt:lpwstr>
      </vt:variant>
      <vt:variant>
        <vt:lpwstr/>
      </vt:variant>
      <vt:variant>
        <vt:i4>4718664</vt:i4>
      </vt:variant>
      <vt:variant>
        <vt:i4>12</vt:i4>
      </vt:variant>
      <vt:variant>
        <vt:i4>0</vt:i4>
      </vt:variant>
      <vt:variant>
        <vt:i4>5</vt:i4>
      </vt:variant>
      <vt:variant>
        <vt:lpwstr>http://likumi.lv/doc.php?id=26747</vt:lpwstr>
      </vt:variant>
      <vt:variant>
        <vt:lpwstr/>
      </vt:variant>
      <vt:variant>
        <vt:i4>4718664</vt:i4>
      </vt:variant>
      <vt:variant>
        <vt:i4>9</vt:i4>
      </vt:variant>
      <vt:variant>
        <vt:i4>0</vt:i4>
      </vt:variant>
      <vt:variant>
        <vt:i4>5</vt:i4>
      </vt:variant>
      <vt:variant>
        <vt:lpwstr>http://likumi.lv/doc.php?id=26747</vt:lpwstr>
      </vt:variant>
      <vt:variant>
        <vt:lpwstr/>
      </vt:variant>
      <vt:variant>
        <vt:i4>2883647</vt:i4>
      </vt:variant>
      <vt:variant>
        <vt:i4>6</vt:i4>
      </vt:variant>
      <vt:variant>
        <vt:i4>0</vt:i4>
      </vt:variant>
      <vt:variant>
        <vt:i4>5</vt:i4>
      </vt:variant>
      <vt:variant>
        <vt:lpwstr>http://izm.izm.gov.lv/upload_file/Izglitiba/Augstaka_izglitiba/2013/IZM_koledzu_attistibas_koncepcija_310113.pdf</vt:lpwstr>
      </vt:variant>
      <vt:variant>
        <vt:lpwstr/>
      </vt:variant>
      <vt:variant>
        <vt:i4>6881332</vt:i4>
      </vt:variant>
      <vt:variant>
        <vt:i4>3</vt:i4>
      </vt:variant>
      <vt:variant>
        <vt:i4>0</vt:i4>
      </vt:variant>
      <vt:variant>
        <vt:i4>5</vt:i4>
      </vt:variant>
      <vt:variant>
        <vt:lpwstr>http://www.varam.gov.lv/in_site/tools/download.php?file=files/text/KPFI/lik//1_2010.pdf</vt:lpwstr>
      </vt:variant>
      <vt:variant>
        <vt:lpwstr/>
      </vt:variant>
      <vt:variant>
        <vt:i4>8126563</vt:i4>
      </vt:variant>
      <vt:variant>
        <vt:i4>0</vt:i4>
      </vt:variant>
      <vt:variant>
        <vt:i4>0</vt:i4>
      </vt:variant>
      <vt:variant>
        <vt:i4>5</vt:i4>
      </vt:variant>
      <vt:variant>
        <vt:lpwstr>http://esfondi.lv/upload/ISC_Izvertejuma_zinojums-FM-Final1.pdf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elina.zarina</dc:creator>
  <cp:lastModifiedBy>inese.kalva</cp:lastModifiedBy>
  <cp:revision>25</cp:revision>
  <cp:lastPrinted>2016-06-06T06:25:00Z</cp:lastPrinted>
  <dcterms:created xsi:type="dcterms:W3CDTF">2016-06-06T06:19:00Z</dcterms:created>
  <dcterms:modified xsi:type="dcterms:W3CDTF">2016-10-03T11:41:00Z</dcterms:modified>
</cp:coreProperties>
</file>