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DD95B" w14:textId="77777777" w:rsidR="000952B3" w:rsidRPr="00600B68" w:rsidRDefault="00B650B7" w:rsidP="001351FC">
      <w:pPr>
        <w:jc w:val="center"/>
        <w:rPr>
          <w:b/>
        </w:rPr>
      </w:pPr>
      <w:r w:rsidRPr="00600B68">
        <w:rPr>
          <w:b/>
        </w:rPr>
        <w:t>Ministru kabineta noteikumu projekta</w:t>
      </w:r>
    </w:p>
    <w:p w14:paraId="27383188" w14:textId="3643CC99" w:rsidR="001351FC" w:rsidRPr="00600B68" w:rsidRDefault="00EC4ECA" w:rsidP="0015241F">
      <w:pPr>
        <w:jc w:val="center"/>
        <w:rPr>
          <w:b/>
        </w:rPr>
      </w:pPr>
      <w:r w:rsidRPr="00600B68">
        <w:rPr>
          <w:rFonts w:eastAsiaTheme="minorEastAsia"/>
          <w:b/>
        </w:rPr>
        <w:t>"</w:t>
      </w:r>
      <w:r w:rsidR="009F2AFD" w:rsidRPr="00600B68">
        <w:rPr>
          <w:b/>
        </w:rPr>
        <w:t xml:space="preserve">Grozījumi </w:t>
      </w:r>
      <w:r w:rsidR="00BB393B" w:rsidRPr="00600B68">
        <w:rPr>
          <w:b/>
        </w:rPr>
        <w:t>Ministru kabineta 201</w:t>
      </w:r>
      <w:r w:rsidR="00176E94" w:rsidRPr="00600B68">
        <w:rPr>
          <w:b/>
        </w:rPr>
        <w:t>6</w:t>
      </w:r>
      <w:r w:rsidR="00BB393B" w:rsidRPr="00600B68">
        <w:rPr>
          <w:b/>
        </w:rPr>
        <w:t xml:space="preserve">. gada </w:t>
      </w:r>
      <w:r w:rsidR="00176E94" w:rsidRPr="00600B68">
        <w:rPr>
          <w:b/>
        </w:rPr>
        <w:t>12. janvāra</w:t>
      </w:r>
      <w:r w:rsidR="00BB393B" w:rsidRPr="00600B68">
        <w:rPr>
          <w:b/>
        </w:rPr>
        <w:t xml:space="preserve"> noteikumos Nr. </w:t>
      </w:r>
      <w:r w:rsidR="00176E94" w:rsidRPr="00600B68">
        <w:rPr>
          <w:b/>
        </w:rPr>
        <w:t>34</w:t>
      </w:r>
      <w:r w:rsidR="00BB393B" w:rsidRPr="00600B68">
        <w:rPr>
          <w:b/>
        </w:rPr>
        <w:t xml:space="preserve"> </w:t>
      </w:r>
      <w:r w:rsidRPr="00600B68">
        <w:rPr>
          <w:rFonts w:eastAsiaTheme="minorEastAsia"/>
          <w:b/>
        </w:rPr>
        <w:t>"</w:t>
      </w:r>
      <w:r w:rsidR="00BB393B" w:rsidRPr="00600B68">
        <w:rPr>
          <w:b/>
        </w:rPr>
        <w:t xml:space="preserve">Darbības programmas </w:t>
      </w:r>
      <w:r w:rsidRPr="00600B68">
        <w:rPr>
          <w:rFonts w:eastAsiaTheme="minorEastAsia"/>
          <w:b/>
        </w:rPr>
        <w:t>"</w:t>
      </w:r>
      <w:r w:rsidR="00BB393B" w:rsidRPr="00600B68">
        <w:rPr>
          <w:b/>
        </w:rPr>
        <w:t>Izaugsme un nodarbinātība</w:t>
      </w:r>
      <w:r w:rsidRPr="00600B68">
        <w:rPr>
          <w:rFonts w:eastAsiaTheme="minorEastAsia"/>
          <w:b/>
        </w:rPr>
        <w:t>"</w:t>
      </w:r>
      <w:r w:rsidR="00BB393B" w:rsidRPr="00600B68">
        <w:rPr>
          <w:b/>
        </w:rPr>
        <w:t xml:space="preserve"> 1.1.1. specifiskā atbalsta mērķa </w:t>
      </w:r>
      <w:r w:rsidRPr="00600B68">
        <w:rPr>
          <w:rFonts w:eastAsiaTheme="minorEastAsia"/>
          <w:b/>
        </w:rPr>
        <w:t>"</w:t>
      </w:r>
      <w:r w:rsidR="00BB393B" w:rsidRPr="00600B68">
        <w:rPr>
          <w:b/>
        </w:rPr>
        <w:t>Palielināt Latvijas zinātnisko institūciju pētniecisko un inovatīvo kapacitāti un spēju piesaistīt ārējo finansējumu, ieguldot cilvēkresursos un infrastruktūrā</w:t>
      </w:r>
      <w:r w:rsidRPr="00600B68">
        <w:rPr>
          <w:rFonts w:eastAsiaTheme="minorEastAsia"/>
          <w:b/>
        </w:rPr>
        <w:t>"</w:t>
      </w:r>
      <w:r w:rsidR="00BB393B" w:rsidRPr="00600B68">
        <w:rPr>
          <w:b/>
        </w:rPr>
        <w:t xml:space="preserve"> 1.1.1.</w:t>
      </w:r>
      <w:r w:rsidR="00176E94" w:rsidRPr="00600B68">
        <w:rPr>
          <w:b/>
        </w:rPr>
        <w:t>1</w:t>
      </w:r>
      <w:r w:rsidR="00BB393B" w:rsidRPr="00600B68">
        <w:rPr>
          <w:b/>
        </w:rPr>
        <w:t xml:space="preserve">. pasākuma </w:t>
      </w:r>
      <w:r w:rsidRPr="00600B68">
        <w:rPr>
          <w:rFonts w:eastAsiaTheme="minorEastAsia"/>
          <w:b/>
        </w:rPr>
        <w:t>"</w:t>
      </w:r>
      <w:r w:rsidR="00176E94" w:rsidRPr="00600B68">
        <w:rPr>
          <w:b/>
        </w:rPr>
        <w:t>Praktiskas ievirzes pētījumi</w:t>
      </w:r>
      <w:r w:rsidRPr="00600B68">
        <w:rPr>
          <w:rFonts w:eastAsiaTheme="minorEastAsia"/>
          <w:b/>
        </w:rPr>
        <w:t>"</w:t>
      </w:r>
      <w:r w:rsidR="00BB393B" w:rsidRPr="00600B68">
        <w:rPr>
          <w:b/>
        </w:rPr>
        <w:t xml:space="preserve"> īstenošanas noteikumi</w:t>
      </w:r>
      <w:r w:rsidRPr="00600B68">
        <w:rPr>
          <w:rFonts w:eastAsiaTheme="minorEastAsia"/>
          <w:b/>
        </w:rPr>
        <w:t>"</w:t>
      </w:r>
      <w:r w:rsidR="00BB393B" w:rsidRPr="00600B68">
        <w:rPr>
          <w:b/>
        </w:rPr>
        <w:t xml:space="preserve"> </w:t>
      </w:r>
      <w:r w:rsidR="000952B3" w:rsidRPr="00600B68">
        <w:rPr>
          <w:b/>
        </w:rPr>
        <w:t>sākotnējās ietekmes novērtējuma ziņojums (anotācija)</w:t>
      </w:r>
    </w:p>
    <w:p w14:paraId="4A0644E9" w14:textId="77777777" w:rsidR="00AE1DA4" w:rsidRPr="00600B68" w:rsidRDefault="00AE1DA4" w:rsidP="0015241F">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6406"/>
      </w:tblGrid>
      <w:tr w:rsidR="00600B68" w:rsidRPr="00600B68" w14:paraId="374AF7B2" w14:textId="77777777" w:rsidTr="00530226">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D0EE19" w14:textId="77777777" w:rsidR="000952B3" w:rsidRPr="00600B68" w:rsidRDefault="00B650B7" w:rsidP="001351FC">
            <w:pPr>
              <w:pStyle w:val="ListParagraph"/>
              <w:tabs>
                <w:tab w:val="left" w:pos="2268"/>
                <w:tab w:val="left" w:pos="2410"/>
              </w:tabs>
              <w:ind w:left="1080"/>
              <w:jc w:val="center"/>
              <w:rPr>
                <w:b/>
                <w:sz w:val="24"/>
                <w:szCs w:val="24"/>
                <w:lang w:eastAsia="en-US"/>
              </w:rPr>
            </w:pPr>
            <w:r w:rsidRPr="00600B68">
              <w:rPr>
                <w:b/>
                <w:bCs/>
                <w:sz w:val="24"/>
                <w:szCs w:val="24"/>
              </w:rPr>
              <w:t>Tiesību akta projekta anotācijas kopsavilkums</w:t>
            </w:r>
          </w:p>
        </w:tc>
      </w:tr>
      <w:tr w:rsidR="00600B68" w:rsidRPr="00600B68" w14:paraId="6457A4FB" w14:textId="77777777" w:rsidTr="00530226">
        <w:tc>
          <w:tcPr>
            <w:tcW w:w="1465" w:type="pct"/>
            <w:tcBorders>
              <w:top w:val="single" w:sz="4" w:space="0" w:color="auto"/>
              <w:left w:val="single" w:sz="4" w:space="0" w:color="auto"/>
              <w:bottom w:val="single" w:sz="4" w:space="0" w:color="auto"/>
              <w:right w:val="single" w:sz="4" w:space="0" w:color="auto"/>
            </w:tcBorders>
            <w:shd w:val="clear" w:color="auto" w:fill="auto"/>
          </w:tcPr>
          <w:p w14:paraId="520D2D7F" w14:textId="446A0AB5" w:rsidR="000952B3" w:rsidRPr="00600B68" w:rsidRDefault="00B650B7" w:rsidP="001351FC">
            <w:pPr>
              <w:tabs>
                <w:tab w:val="left" w:pos="1904"/>
              </w:tabs>
              <w:rPr>
                <w:lang w:eastAsia="en-US"/>
              </w:rPr>
            </w:pPr>
            <w:r w:rsidRPr="00600B68">
              <w:t>Mērķis, risinājums u</w:t>
            </w:r>
            <w:r w:rsidR="004210D4" w:rsidRPr="00600B68">
              <w:t>n projekta spēkā stāšanās laiks</w:t>
            </w:r>
            <w:r w:rsidR="00B023C3" w:rsidRPr="00600B68">
              <w:t xml:space="preserve"> (500 zīmes bez atstarpēm) </w:t>
            </w:r>
          </w:p>
        </w:tc>
        <w:tc>
          <w:tcPr>
            <w:tcW w:w="3535" w:type="pct"/>
            <w:tcBorders>
              <w:top w:val="single" w:sz="4" w:space="0" w:color="auto"/>
              <w:left w:val="single" w:sz="4" w:space="0" w:color="auto"/>
              <w:bottom w:val="single" w:sz="4" w:space="0" w:color="auto"/>
              <w:right w:val="single" w:sz="4" w:space="0" w:color="auto"/>
            </w:tcBorders>
            <w:shd w:val="clear" w:color="auto" w:fill="auto"/>
            <w:vAlign w:val="center"/>
          </w:tcPr>
          <w:p w14:paraId="3E6C1F78" w14:textId="77777777" w:rsidR="00B000A1" w:rsidRPr="00600B68" w:rsidRDefault="00B000A1" w:rsidP="00B000A1">
            <w:pPr>
              <w:pStyle w:val="ListParagraph"/>
              <w:spacing w:before="60" w:after="60"/>
              <w:ind w:left="101" w:right="102"/>
              <w:jc w:val="both"/>
              <w:rPr>
                <w:rFonts w:eastAsiaTheme="minorEastAsia"/>
                <w:sz w:val="24"/>
                <w:szCs w:val="24"/>
              </w:rPr>
            </w:pPr>
            <w:r w:rsidRPr="00600B68">
              <w:rPr>
                <w:rFonts w:eastAsiaTheme="minorEastAsia"/>
                <w:sz w:val="24"/>
                <w:szCs w:val="24"/>
              </w:rPr>
              <w:t>Ministru kabineta noteikumu projekta mērķis ir pilnveidot un aktualizēt 1.1.1.1. pasākuma "Praktiskas ievirzes pētījumi" (turpmāk – 1.1.1.1. pasākums) īstenošanas noteikumus, lai:</w:t>
            </w:r>
          </w:p>
          <w:p w14:paraId="550026D1" w14:textId="77777777" w:rsidR="00B000A1" w:rsidRPr="00600B68" w:rsidRDefault="00B000A1" w:rsidP="00B000A1">
            <w:pPr>
              <w:pStyle w:val="ListParagraph"/>
              <w:spacing w:before="60" w:after="60"/>
              <w:ind w:left="101" w:right="102"/>
              <w:jc w:val="both"/>
              <w:rPr>
                <w:rFonts w:eastAsiaTheme="minorEastAsia"/>
                <w:sz w:val="24"/>
                <w:szCs w:val="24"/>
              </w:rPr>
            </w:pPr>
            <w:r w:rsidRPr="00600B68">
              <w:rPr>
                <w:rFonts w:eastAsiaTheme="minorEastAsia"/>
                <w:sz w:val="24"/>
                <w:szCs w:val="24"/>
              </w:rPr>
              <w:t>– noteiktu trešās projektu iesniegumu atlases kārtas īstenošanas nosacījumus;</w:t>
            </w:r>
          </w:p>
          <w:p w14:paraId="01DE132B" w14:textId="77777777" w:rsidR="00B000A1" w:rsidRPr="00600B68" w:rsidRDefault="00B000A1" w:rsidP="00B000A1">
            <w:pPr>
              <w:pStyle w:val="ListParagraph"/>
              <w:spacing w:before="60" w:after="60"/>
              <w:ind w:left="101" w:right="102"/>
              <w:jc w:val="both"/>
              <w:rPr>
                <w:rFonts w:eastAsiaTheme="minorEastAsia"/>
                <w:sz w:val="24"/>
                <w:szCs w:val="24"/>
              </w:rPr>
            </w:pPr>
            <w:r w:rsidRPr="00600B68">
              <w:rPr>
                <w:rFonts w:eastAsiaTheme="minorEastAsia"/>
                <w:sz w:val="24"/>
                <w:szCs w:val="24"/>
              </w:rPr>
              <w:t>– sekmētu iznākuma rādītāju izpildi;</w:t>
            </w:r>
          </w:p>
          <w:p w14:paraId="3F921A09" w14:textId="77777777" w:rsidR="00B000A1" w:rsidRPr="00600B68" w:rsidRDefault="00B000A1" w:rsidP="00B000A1">
            <w:pPr>
              <w:pStyle w:val="ListParagraph"/>
              <w:spacing w:before="60" w:after="60"/>
              <w:ind w:left="101" w:right="102"/>
              <w:jc w:val="both"/>
              <w:rPr>
                <w:rFonts w:eastAsiaTheme="minorEastAsia"/>
                <w:sz w:val="24"/>
                <w:szCs w:val="24"/>
              </w:rPr>
            </w:pPr>
            <w:r w:rsidRPr="00600B68">
              <w:rPr>
                <w:rFonts w:eastAsiaTheme="minorEastAsia"/>
                <w:sz w:val="24"/>
                <w:szCs w:val="24"/>
              </w:rPr>
              <w:t>– radītu finansējuma saņēmējiem labvēlīgākus nosacījumus;</w:t>
            </w:r>
          </w:p>
          <w:p w14:paraId="62FD94B3" w14:textId="77777777" w:rsidR="00B000A1" w:rsidRPr="00600B68" w:rsidRDefault="00B000A1" w:rsidP="00B000A1">
            <w:pPr>
              <w:pStyle w:val="ListParagraph"/>
              <w:spacing w:before="60" w:after="60"/>
              <w:ind w:left="101" w:right="102"/>
              <w:jc w:val="both"/>
              <w:rPr>
                <w:rFonts w:eastAsiaTheme="minorEastAsia"/>
                <w:sz w:val="24"/>
                <w:szCs w:val="24"/>
              </w:rPr>
            </w:pPr>
            <w:r w:rsidRPr="00600B68">
              <w:rPr>
                <w:rFonts w:eastAsiaTheme="minorEastAsia"/>
                <w:sz w:val="24"/>
                <w:szCs w:val="24"/>
              </w:rPr>
              <w:t>– samazinātu administratīvo slogu;</w:t>
            </w:r>
          </w:p>
          <w:p w14:paraId="353E882C" w14:textId="299013F9" w:rsidR="00B000A1" w:rsidRPr="00600B68" w:rsidRDefault="00B000A1" w:rsidP="00B000A1">
            <w:pPr>
              <w:pStyle w:val="ListParagraph"/>
              <w:spacing w:before="60" w:after="60"/>
              <w:ind w:left="101" w:right="102"/>
              <w:jc w:val="both"/>
              <w:rPr>
                <w:rFonts w:eastAsiaTheme="minorEastAsia"/>
                <w:sz w:val="24"/>
                <w:szCs w:val="24"/>
              </w:rPr>
            </w:pPr>
            <w:r w:rsidRPr="00600B68">
              <w:rPr>
                <w:rFonts w:eastAsiaTheme="minorEastAsia"/>
                <w:sz w:val="24"/>
                <w:szCs w:val="24"/>
              </w:rPr>
              <w:t xml:space="preserve">– nodrošinātu normu </w:t>
            </w:r>
            <w:r w:rsidR="00B7771D">
              <w:rPr>
                <w:rFonts w:eastAsiaTheme="minorEastAsia"/>
                <w:sz w:val="24"/>
                <w:szCs w:val="24"/>
              </w:rPr>
              <w:t xml:space="preserve">savstarpēju </w:t>
            </w:r>
            <w:r w:rsidRPr="00600B68">
              <w:rPr>
                <w:rFonts w:eastAsiaTheme="minorEastAsia"/>
                <w:sz w:val="24"/>
                <w:szCs w:val="24"/>
              </w:rPr>
              <w:t>sistematizāciju.</w:t>
            </w:r>
          </w:p>
          <w:p w14:paraId="6C67C759" w14:textId="405BB52D" w:rsidR="000952B3" w:rsidRPr="00600B68" w:rsidRDefault="00B000A1" w:rsidP="00B000A1">
            <w:pPr>
              <w:rPr>
                <w:rFonts w:eastAsiaTheme="minorEastAsia"/>
              </w:rPr>
            </w:pPr>
            <w:r w:rsidRPr="00600B68">
              <w:rPr>
                <w:rFonts w:eastAsiaTheme="minorEastAsia"/>
              </w:rPr>
              <w:t>Noteikumu projekts stāsies spēkā Oficiālo publikāciju un tiesiskās informācijas likumā noteiktajā kārtībā.</w:t>
            </w:r>
          </w:p>
        </w:tc>
      </w:tr>
    </w:tbl>
    <w:p w14:paraId="11611092" w14:textId="62CCBDEA" w:rsidR="000952B3" w:rsidRPr="00600B68" w:rsidRDefault="00046435" w:rsidP="00785EFA">
      <w:pPr>
        <w:tabs>
          <w:tab w:val="left" w:pos="5388"/>
        </w:tabs>
      </w:pPr>
      <w:r w:rsidRPr="00600B6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949"/>
        <w:gridCol w:w="6322"/>
      </w:tblGrid>
      <w:tr w:rsidR="00600B68" w:rsidRPr="00600B68" w14:paraId="57FE3E7E" w14:textId="77777777" w:rsidTr="0053022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3C56D48" w14:textId="77777777" w:rsidR="000952B3" w:rsidRPr="00600B68" w:rsidRDefault="00B650B7" w:rsidP="001351FC">
            <w:pPr>
              <w:pStyle w:val="ListParagraph"/>
              <w:tabs>
                <w:tab w:val="left" w:pos="2268"/>
                <w:tab w:val="left" w:pos="2410"/>
              </w:tabs>
              <w:ind w:left="1080"/>
              <w:jc w:val="center"/>
              <w:rPr>
                <w:b/>
                <w:sz w:val="24"/>
                <w:szCs w:val="24"/>
                <w:lang w:eastAsia="en-US"/>
              </w:rPr>
            </w:pPr>
            <w:r w:rsidRPr="00600B68">
              <w:rPr>
                <w:b/>
                <w:bCs/>
                <w:sz w:val="24"/>
                <w:szCs w:val="24"/>
              </w:rPr>
              <w:t>I. Tiesību akta projekta izstrādes nepieciešamība</w:t>
            </w:r>
          </w:p>
        </w:tc>
      </w:tr>
      <w:tr w:rsidR="00600B68" w:rsidRPr="00600B68" w14:paraId="64D4EB35" w14:textId="77777777" w:rsidTr="00530226">
        <w:tc>
          <w:tcPr>
            <w:tcW w:w="443" w:type="pct"/>
            <w:tcBorders>
              <w:top w:val="single" w:sz="4" w:space="0" w:color="auto"/>
              <w:left w:val="single" w:sz="4" w:space="0" w:color="auto"/>
              <w:bottom w:val="single" w:sz="4" w:space="0" w:color="auto"/>
              <w:right w:val="single" w:sz="4" w:space="0" w:color="auto"/>
            </w:tcBorders>
            <w:shd w:val="clear" w:color="auto" w:fill="auto"/>
          </w:tcPr>
          <w:p w14:paraId="4FB051B9" w14:textId="77777777" w:rsidR="000952B3" w:rsidRPr="00600B68" w:rsidRDefault="00B650B7" w:rsidP="001351FC">
            <w:pPr>
              <w:jc w:val="center"/>
              <w:rPr>
                <w:lang w:eastAsia="en-US"/>
              </w:rPr>
            </w:pPr>
            <w:r w:rsidRPr="00600B68">
              <w:t>1.</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3A3BF9E7" w14:textId="77777777" w:rsidR="000952B3" w:rsidRPr="00600B68" w:rsidRDefault="00B650B7" w:rsidP="001351FC">
            <w:pPr>
              <w:tabs>
                <w:tab w:val="left" w:pos="1904"/>
              </w:tabs>
              <w:rPr>
                <w:lang w:eastAsia="en-US"/>
              </w:rPr>
            </w:pPr>
            <w:r w:rsidRPr="00600B68">
              <w:t>Pamatojums</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14:paraId="19A88AD7" w14:textId="2271A6DC" w:rsidR="005533BE" w:rsidRPr="00600B68" w:rsidRDefault="000570D3" w:rsidP="000570D3">
            <w:pPr>
              <w:pStyle w:val="ListParagraph"/>
              <w:spacing w:before="60" w:after="60"/>
              <w:ind w:left="101" w:right="102"/>
              <w:jc w:val="both"/>
              <w:rPr>
                <w:rFonts w:eastAsiaTheme="minorEastAsia"/>
                <w:sz w:val="24"/>
                <w:szCs w:val="24"/>
              </w:rPr>
            </w:pPr>
            <w:r w:rsidRPr="00600B68">
              <w:rPr>
                <w:rFonts w:eastAsiaTheme="minorEastAsia"/>
                <w:sz w:val="24"/>
                <w:szCs w:val="24"/>
              </w:rPr>
              <w:t>N</w:t>
            </w:r>
            <w:r w:rsidR="00C84E4C" w:rsidRPr="00600B68">
              <w:rPr>
                <w:rFonts w:eastAsiaTheme="minorEastAsia"/>
                <w:sz w:val="24"/>
                <w:szCs w:val="24"/>
              </w:rPr>
              <w:t xml:space="preserve">oteikumu </w:t>
            </w:r>
            <w:r w:rsidR="00EC4ECA" w:rsidRPr="00600B68">
              <w:rPr>
                <w:rFonts w:eastAsiaTheme="minorEastAsia"/>
                <w:sz w:val="24"/>
                <w:szCs w:val="24"/>
              </w:rPr>
              <w:t xml:space="preserve">"Grozījumi Ministru kabineta 2016. gada 12. janvāra noteikumos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w:t>
            </w:r>
            <w:r w:rsidR="00C84E4C" w:rsidRPr="00600B68">
              <w:rPr>
                <w:rFonts w:eastAsiaTheme="minorEastAsia"/>
                <w:sz w:val="24"/>
                <w:szCs w:val="24"/>
              </w:rPr>
              <w:t xml:space="preserve">projekts </w:t>
            </w:r>
            <w:r w:rsidR="00EC4ECA" w:rsidRPr="00600B68">
              <w:rPr>
                <w:rFonts w:eastAsiaTheme="minorEastAsia"/>
                <w:sz w:val="24"/>
                <w:szCs w:val="24"/>
              </w:rPr>
              <w:t xml:space="preserve">(turpmāk – noteikumu projekts) </w:t>
            </w:r>
            <w:r w:rsidR="00154ADC" w:rsidRPr="00600B68">
              <w:rPr>
                <w:rFonts w:eastAsiaTheme="minorEastAsia"/>
                <w:sz w:val="24"/>
                <w:szCs w:val="24"/>
              </w:rPr>
              <w:t>sagatavots saskaņā ar Eiropas Savienības struktūrfondu un Kohēzijas fonda 2014. – 2020. gada plānošanas perioda vadības likuma 20. panta 6.</w:t>
            </w:r>
            <w:r w:rsidR="005533BE" w:rsidRPr="00600B68">
              <w:rPr>
                <w:rFonts w:eastAsiaTheme="minorEastAsia"/>
                <w:sz w:val="24"/>
                <w:szCs w:val="24"/>
              </w:rPr>
              <w:t xml:space="preserve"> un 13. punktu.</w:t>
            </w:r>
          </w:p>
          <w:p w14:paraId="4D5F8743" w14:textId="3473A631" w:rsidR="005C1803" w:rsidRPr="00600B68" w:rsidRDefault="00FE7980" w:rsidP="000570D3">
            <w:pPr>
              <w:pStyle w:val="ListParagraph"/>
              <w:spacing w:before="60" w:after="60"/>
              <w:ind w:left="101" w:right="102"/>
              <w:jc w:val="both"/>
              <w:rPr>
                <w:rFonts w:eastAsiaTheme="minorEastAsia"/>
                <w:sz w:val="24"/>
                <w:szCs w:val="24"/>
              </w:rPr>
            </w:pPr>
            <w:r w:rsidRPr="00600B68">
              <w:rPr>
                <w:rFonts w:eastAsiaTheme="minorEastAsia"/>
                <w:sz w:val="24"/>
                <w:szCs w:val="24"/>
              </w:rPr>
              <w:t>Noteikumu projekta sagatavošanā ņemta vērā Centrālās finanšu un līgumu aģentūras</w:t>
            </w:r>
            <w:r w:rsidR="006C27E2" w:rsidRPr="00600B68">
              <w:rPr>
                <w:rFonts w:eastAsiaTheme="minorEastAsia"/>
                <w:sz w:val="24"/>
                <w:szCs w:val="24"/>
              </w:rPr>
              <w:t xml:space="preserve"> (turpmāk – CFLA)</w:t>
            </w:r>
            <w:r w:rsidRPr="00600B68">
              <w:rPr>
                <w:rFonts w:eastAsiaTheme="minorEastAsia"/>
                <w:sz w:val="24"/>
                <w:szCs w:val="24"/>
              </w:rPr>
              <w:t xml:space="preserve"> </w:t>
            </w:r>
            <w:r w:rsidR="00C84E4C" w:rsidRPr="00600B68">
              <w:rPr>
                <w:rFonts w:eastAsiaTheme="minorEastAsia"/>
                <w:sz w:val="24"/>
                <w:szCs w:val="24"/>
              </w:rPr>
              <w:t>2019. gada 22. janvāra vēstulē Nr. 39-2-28/758 “Par 1.1.1.1.</w:t>
            </w:r>
            <w:r w:rsidR="003F3A05" w:rsidRPr="00600B68">
              <w:rPr>
                <w:rFonts w:eastAsiaTheme="minorEastAsia"/>
                <w:sz w:val="24"/>
                <w:szCs w:val="24"/>
              </w:rPr>
              <w:t xml:space="preserve"> </w:t>
            </w:r>
            <w:r w:rsidR="00C84E4C" w:rsidRPr="00600B68">
              <w:rPr>
                <w:rFonts w:eastAsiaTheme="minorEastAsia"/>
                <w:sz w:val="24"/>
                <w:szCs w:val="24"/>
              </w:rPr>
              <w:t>pasākuma 2.</w:t>
            </w:r>
            <w:r w:rsidR="003F3A05" w:rsidRPr="00600B68">
              <w:rPr>
                <w:rFonts w:eastAsiaTheme="minorEastAsia"/>
                <w:sz w:val="24"/>
                <w:szCs w:val="24"/>
              </w:rPr>
              <w:t xml:space="preserve"> </w:t>
            </w:r>
            <w:r w:rsidR="00C84E4C" w:rsidRPr="00600B68">
              <w:rPr>
                <w:rFonts w:eastAsiaTheme="minorEastAsia"/>
                <w:sz w:val="24"/>
                <w:szCs w:val="24"/>
              </w:rPr>
              <w:t xml:space="preserve">kārtas projektu </w:t>
            </w:r>
            <w:proofErr w:type="spellStart"/>
            <w:r w:rsidR="00C84E4C" w:rsidRPr="00600B68">
              <w:rPr>
                <w:rFonts w:eastAsiaTheme="minorEastAsia"/>
                <w:sz w:val="24"/>
                <w:szCs w:val="24"/>
              </w:rPr>
              <w:t>vidusposma</w:t>
            </w:r>
            <w:proofErr w:type="spellEnd"/>
            <w:r w:rsidR="00C84E4C" w:rsidRPr="00600B68">
              <w:rPr>
                <w:rFonts w:eastAsiaTheme="minorEastAsia"/>
                <w:sz w:val="24"/>
                <w:szCs w:val="24"/>
              </w:rPr>
              <w:t xml:space="preserve"> zinātniskās kvalitātes </w:t>
            </w:r>
            <w:proofErr w:type="spellStart"/>
            <w:r w:rsidR="00C84E4C" w:rsidRPr="00600B68">
              <w:rPr>
                <w:rFonts w:eastAsiaTheme="minorEastAsia"/>
                <w:sz w:val="24"/>
                <w:szCs w:val="24"/>
              </w:rPr>
              <w:t>izvērtējumu</w:t>
            </w:r>
            <w:proofErr w:type="spellEnd"/>
            <w:r w:rsidR="00C84E4C" w:rsidRPr="00600B68">
              <w:rPr>
                <w:rFonts w:eastAsiaTheme="minorEastAsia"/>
                <w:sz w:val="24"/>
                <w:szCs w:val="24"/>
              </w:rPr>
              <w:t xml:space="preserve">” </w:t>
            </w:r>
            <w:r w:rsidRPr="00600B68">
              <w:rPr>
                <w:rFonts w:eastAsiaTheme="minorEastAsia"/>
                <w:sz w:val="24"/>
                <w:szCs w:val="24"/>
              </w:rPr>
              <w:t xml:space="preserve">sniegtā informācija. </w:t>
            </w:r>
          </w:p>
        </w:tc>
      </w:tr>
      <w:tr w:rsidR="00600B68" w:rsidRPr="00600B68" w14:paraId="0CFF28F5" w14:textId="77777777" w:rsidTr="00530226">
        <w:tc>
          <w:tcPr>
            <w:tcW w:w="443" w:type="pct"/>
            <w:tcBorders>
              <w:top w:val="single" w:sz="4" w:space="0" w:color="auto"/>
              <w:left w:val="single" w:sz="4" w:space="0" w:color="auto"/>
              <w:bottom w:val="single" w:sz="4" w:space="0" w:color="auto"/>
              <w:right w:val="single" w:sz="4" w:space="0" w:color="auto"/>
            </w:tcBorders>
            <w:shd w:val="clear" w:color="auto" w:fill="auto"/>
          </w:tcPr>
          <w:p w14:paraId="5750303C" w14:textId="71E30869" w:rsidR="00055596" w:rsidRPr="00600B68" w:rsidRDefault="00B650B7" w:rsidP="001351FC">
            <w:pPr>
              <w:jc w:val="center"/>
              <w:rPr>
                <w:lang w:eastAsia="en-US"/>
              </w:rPr>
            </w:pPr>
            <w:r w:rsidRPr="00600B68">
              <w:t>2.</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3A5761C9" w14:textId="77777777" w:rsidR="00055596" w:rsidRPr="00600B68" w:rsidRDefault="00B650B7" w:rsidP="001351FC">
            <w:pPr>
              <w:jc w:val="both"/>
              <w:rPr>
                <w:lang w:eastAsia="en-US"/>
              </w:rPr>
            </w:pPr>
            <w:r w:rsidRPr="00600B68">
              <w:t xml:space="preserve">Pašreizējā situācija un problēmas, kuru risināšanai tiesību akta projekts izstrādāts, tiesiskā regulējuma mērķis un būtība </w:t>
            </w:r>
          </w:p>
        </w:tc>
        <w:tc>
          <w:tcPr>
            <w:tcW w:w="3495" w:type="pct"/>
            <w:tcBorders>
              <w:top w:val="single" w:sz="4" w:space="0" w:color="auto"/>
              <w:left w:val="single" w:sz="4" w:space="0" w:color="auto"/>
              <w:bottom w:val="single" w:sz="4" w:space="0" w:color="auto"/>
              <w:right w:val="single" w:sz="4" w:space="0" w:color="auto"/>
            </w:tcBorders>
            <w:shd w:val="clear" w:color="auto" w:fill="auto"/>
          </w:tcPr>
          <w:p w14:paraId="13796ED7" w14:textId="762F8ED8" w:rsidR="000570D3" w:rsidRDefault="000570D3" w:rsidP="000570D3">
            <w:pPr>
              <w:pStyle w:val="ListParagraph"/>
              <w:spacing w:before="60" w:after="60"/>
              <w:ind w:left="101" w:right="102"/>
              <w:jc w:val="both"/>
              <w:rPr>
                <w:rFonts w:eastAsiaTheme="minorEastAsia"/>
                <w:sz w:val="24"/>
                <w:szCs w:val="24"/>
              </w:rPr>
            </w:pPr>
            <w:r w:rsidRPr="00600B68">
              <w:rPr>
                <w:rFonts w:eastAsiaTheme="minorEastAsia"/>
                <w:sz w:val="24"/>
                <w:szCs w:val="24"/>
              </w:rPr>
              <w:t>Ministru kabineta 2016. gada 12. janvāra noteikumi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(turpmāk – MK noteikumi) nosaka kārtīb</w:t>
            </w:r>
            <w:r w:rsidR="00B7771D">
              <w:rPr>
                <w:rFonts w:eastAsiaTheme="minorEastAsia"/>
                <w:sz w:val="24"/>
                <w:szCs w:val="24"/>
              </w:rPr>
              <w:t>u, kādā īsteno 1.1.1.1. pasākuma pirmo un otro projektu iesniegumu atlases kārtu</w:t>
            </w:r>
            <w:r w:rsidRPr="00600B68">
              <w:rPr>
                <w:rFonts w:eastAsiaTheme="minorEastAsia"/>
                <w:sz w:val="24"/>
                <w:szCs w:val="24"/>
              </w:rPr>
              <w:t xml:space="preserve">. </w:t>
            </w:r>
            <w:r w:rsidR="00B7771D" w:rsidRPr="00600B68">
              <w:rPr>
                <w:rFonts w:eastAsiaTheme="minorEastAsia"/>
                <w:sz w:val="24"/>
                <w:szCs w:val="24"/>
              </w:rPr>
              <w:t xml:space="preserve">2019. gada 3. ceturksnī plānots izsludināt 1.1.1.1. pasākuma trešo projektu </w:t>
            </w:r>
            <w:r w:rsidR="00B7771D" w:rsidRPr="00600B68">
              <w:rPr>
                <w:rFonts w:eastAsiaTheme="minorEastAsia"/>
                <w:sz w:val="24"/>
                <w:szCs w:val="24"/>
              </w:rPr>
              <w:lastRenderedPageBreak/>
              <w:t>iesniegumu atlases kārtu. MK noteikumos nav noteikt</w:t>
            </w:r>
            <w:r w:rsidR="00B7771D">
              <w:rPr>
                <w:rFonts w:eastAsiaTheme="minorEastAsia"/>
                <w:sz w:val="24"/>
                <w:szCs w:val="24"/>
              </w:rPr>
              <w:t>i specifiski</w:t>
            </w:r>
            <w:r w:rsidR="00B7771D" w:rsidRPr="00600B68">
              <w:rPr>
                <w:rFonts w:eastAsiaTheme="minorEastAsia"/>
                <w:sz w:val="24"/>
                <w:szCs w:val="24"/>
              </w:rPr>
              <w:t xml:space="preserve"> trešās projektu iesniegumu atlases kārtas īstenošanas noteikumi.</w:t>
            </w:r>
          </w:p>
          <w:p w14:paraId="2DE8A9FE" w14:textId="77777777" w:rsidR="00B7771D" w:rsidRDefault="00B7771D" w:rsidP="000570D3">
            <w:pPr>
              <w:pStyle w:val="ListParagraph"/>
              <w:spacing w:before="60" w:after="60"/>
              <w:ind w:left="101" w:right="102"/>
              <w:jc w:val="both"/>
              <w:rPr>
                <w:rFonts w:eastAsiaTheme="minorEastAsia"/>
                <w:sz w:val="24"/>
                <w:szCs w:val="24"/>
              </w:rPr>
            </w:pPr>
          </w:p>
          <w:p w14:paraId="4F8AF801" w14:textId="5B504251" w:rsidR="000570D3" w:rsidRPr="00600B68" w:rsidRDefault="00C73FF6" w:rsidP="000570D3">
            <w:pPr>
              <w:pStyle w:val="ListParagraph"/>
              <w:spacing w:before="60" w:after="60"/>
              <w:ind w:left="101" w:right="102"/>
              <w:jc w:val="both"/>
              <w:rPr>
                <w:rFonts w:eastAsiaTheme="minorEastAsia"/>
                <w:b/>
                <w:sz w:val="24"/>
                <w:szCs w:val="24"/>
              </w:rPr>
            </w:pPr>
            <w:r w:rsidRPr="00600B68">
              <w:rPr>
                <w:rFonts w:eastAsiaTheme="minorEastAsia"/>
                <w:b/>
                <w:sz w:val="24"/>
                <w:szCs w:val="24"/>
              </w:rPr>
              <w:t>I. Trešā projektu iesniegumu atlases kārta</w:t>
            </w:r>
          </w:p>
          <w:p w14:paraId="51F979B5" w14:textId="26DC0AAC" w:rsidR="00C635A7" w:rsidRPr="00600B68" w:rsidRDefault="00A434F6" w:rsidP="00A434F6">
            <w:pPr>
              <w:pStyle w:val="ListParagraph"/>
              <w:spacing w:before="60" w:after="60"/>
              <w:ind w:left="101" w:right="102"/>
              <w:jc w:val="both"/>
              <w:rPr>
                <w:rFonts w:eastAsiaTheme="minorEastAsia"/>
                <w:sz w:val="24"/>
                <w:szCs w:val="24"/>
              </w:rPr>
            </w:pPr>
            <w:r w:rsidRPr="00600B68">
              <w:rPr>
                <w:rFonts w:eastAsiaTheme="minorEastAsia"/>
                <w:sz w:val="24"/>
                <w:szCs w:val="24"/>
              </w:rPr>
              <w:t>Noteikumu projekts paredz</w:t>
            </w:r>
            <w:r w:rsidR="00C635A7" w:rsidRPr="00600B68">
              <w:rPr>
                <w:rFonts w:eastAsiaTheme="minorEastAsia"/>
                <w:sz w:val="24"/>
                <w:szCs w:val="24"/>
              </w:rPr>
              <w:t>:</w:t>
            </w:r>
          </w:p>
          <w:p w14:paraId="53AB789A" w14:textId="77777777" w:rsidR="00B7771D" w:rsidRDefault="004D4B94" w:rsidP="00A434F6">
            <w:pPr>
              <w:pStyle w:val="ListParagraph"/>
              <w:spacing w:before="60" w:after="60"/>
              <w:ind w:left="101" w:right="102"/>
              <w:jc w:val="both"/>
              <w:rPr>
                <w:rFonts w:eastAsiaTheme="minorEastAsia"/>
                <w:sz w:val="24"/>
                <w:szCs w:val="24"/>
              </w:rPr>
            </w:pPr>
            <w:r w:rsidRPr="00600B68">
              <w:rPr>
                <w:rFonts w:eastAsiaTheme="minorEastAsia"/>
                <w:sz w:val="24"/>
                <w:szCs w:val="24"/>
              </w:rPr>
              <w:t>1. aktualizēt projekta ietvaros atbalstāmās darbības (MK noteikumu 8.2.3. apakšpunkts), paredzot, ka publiskais finansējums fundamentālajiem pētījumiem nepārsniedz 20 procentus no projekta kopējām attiecināmajām izmaksām</w:t>
            </w:r>
            <w:r w:rsidR="00B7771D">
              <w:rPr>
                <w:rFonts w:eastAsiaTheme="minorEastAsia"/>
                <w:sz w:val="24"/>
                <w:szCs w:val="24"/>
              </w:rPr>
              <w:t>;</w:t>
            </w:r>
          </w:p>
          <w:p w14:paraId="2F10843B" w14:textId="621C093B" w:rsidR="00604986" w:rsidRPr="00600B68" w:rsidRDefault="004D4B94" w:rsidP="00A434F6">
            <w:pPr>
              <w:pStyle w:val="ListParagraph"/>
              <w:spacing w:before="60" w:after="60"/>
              <w:ind w:left="101" w:right="102"/>
              <w:jc w:val="both"/>
              <w:rPr>
                <w:rFonts w:eastAsiaTheme="minorEastAsia"/>
                <w:sz w:val="24"/>
                <w:szCs w:val="24"/>
              </w:rPr>
            </w:pPr>
            <w:r w:rsidRPr="00600B68">
              <w:rPr>
                <w:rFonts w:eastAsiaTheme="minorEastAsia"/>
                <w:sz w:val="24"/>
                <w:szCs w:val="24"/>
              </w:rPr>
              <w:t>2</w:t>
            </w:r>
            <w:r w:rsidR="00C635A7" w:rsidRPr="00600B68">
              <w:rPr>
                <w:rFonts w:eastAsiaTheme="minorEastAsia"/>
                <w:sz w:val="24"/>
                <w:szCs w:val="24"/>
              </w:rPr>
              <w:t>. </w:t>
            </w:r>
            <w:r w:rsidRPr="00600B68">
              <w:rPr>
                <w:rFonts w:eastAsiaTheme="minorEastAsia"/>
                <w:sz w:val="24"/>
                <w:szCs w:val="24"/>
              </w:rPr>
              <w:t>noteikt</w:t>
            </w:r>
            <w:r w:rsidR="00A434F6" w:rsidRPr="00600B68">
              <w:rPr>
                <w:rFonts w:eastAsiaTheme="minorEastAsia"/>
                <w:sz w:val="24"/>
                <w:szCs w:val="24"/>
              </w:rPr>
              <w:t xml:space="preserve"> trešajai projektu iesniegumu atlases kārtai pieejamo publisko finansējumu</w:t>
            </w:r>
            <w:r w:rsidRPr="00600B68">
              <w:rPr>
                <w:rFonts w:eastAsiaTheme="minorEastAsia"/>
                <w:sz w:val="24"/>
                <w:szCs w:val="24"/>
              </w:rPr>
              <w:t xml:space="preserve"> (MK noteikumu 12.</w:t>
            </w:r>
            <w:r w:rsidRPr="00600B68">
              <w:rPr>
                <w:rFonts w:eastAsiaTheme="minorEastAsia"/>
                <w:sz w:val="24"/>
                <w:szCs w:val="24"/>
                <w:vertAlign w:val="superscript"/>
              </w:rPr>
              <w:t>2</w:t>
            </w:r>
            <w:r w:rsidRPr="00600B68">
              <w:rPr>
                <w:rFonts w:eastAsiaTheme="minorEastAsia"/>
                <w:sz w:val="24"/>
                <w:szCs w:val="24"/>
              </w:rPr>
              <w:t> punkts)</w:t>
            </w:r>
            <w:r w:rsidR="00C73FF6" w:rsidRPr="00600B68">
              <w:rPr>
                <w:rFonts w:eastAsiaTheme="minorEastAsia"/>
                <w:sz w:val="24"/>
                <w:szCs w:val="24"/>
              </w:rPr>
              <w:t xml:space="preserve">, </w:t>
            </w:r>
            <w:r w:rsidR="00A434F6" w:rsidRPr="00600B68">
              <w:rPr>
                <w:rFonts w:eastAsiaTheme="minorEastAsia"/>
                <w:sz w:val="24"/>
                <w:szCs w:val="24"/>
              </w:rPr>
              <w:t xml:space="preserve">kas aprēķināts, </w:t>
            </w:r>
            <w:r w:rsidR="00C73FF6" w:rsidRPr="00600B68">
              <w:rPr>
                <w:rFonts w:eastAsiaTheme="minorEastAsia"/>
                <w:sz w:val="24"/>
                <w:szCs w:val="24"/>
              </w:rPr>
              <w:t>ņemot vērā</w:t>
            </w:r>
            <w:r w:rsidR="00604986" w:rsidRPr="00600B68">
              <w:rPr>
                <w:rFonts w:eastAsiaTheme="minorEastAsia"/>
                <w:sz w:val="24"/>
                <w:szCs w:val="24"/>
              </w:rPr>
              <w:t xml:space="preserve"> KPVIS sistēmā uz 0</w:t>
            </w:r>
            <w:r w:rsidRPr="00600B68">
              <w:rPr>
                <w:rFonts w:eastAsiaTheme="minorEastAsia"/>
                <w:sz w:val="24"/>
                <w:szCs w:val="24"/>
              </w:rPr>
              <w:t>8</w:t>
            </w:r>
            <w:r w:rsidR="00604986" w:rsidRPr="00600B68">
              <w:rPr>
                <w:rFonts w:eastAsiaTheme="minorEastAsia"/>
                <w:sz w:val="24"/>
                <w:szCs w:val="24"/>
              </w:rPr>
              <w:t xml:space="preserve">.04.2019. norādīto informāciju par </w:t>
            </w:r>
            <w:r w:rsidR="006909B9" w:rsidRPr="00600B68">
              <w:rPr>
                <w:rFonts w:eastAsiaTheme="minorEastAsia"/>
                <w:sz w:val="24"/>
                <w:szCs w:val="24"/>
              </w:rPr>
              <w:t>publiskā finansējuma atlikum</w:t>
            </w:r>
            <w:r w:rsidR="00B7771D">
              <w:rPr>
                <w:rFonts w:eastAsiaTheme="minorEastAsia"/>
                <w:sz w:val="24"/>
                <w:szCs w:val="24"/>
              </w:rPr>
              <w:t>u</w:t>
            </w:r>
            <w:r w:rsidR="006909B9" w:rsidRPr="00600B68">
              <w:rPr>
                <w:rFonts w:eastAsiaTheme="minorEastAsia"/>
                <w:sz w:val="24"/>
                <w:szCs w:val="24"/>
              </w:rPr>
              <w:t xml:space="preserve"> un neatbilstoši veikt</w:t>
            </w:r>
            <w:r w:rsidR="00B7771D">
              <w:rPr>
                <w:rFonts w:eastAsiaTheme="minorEastAsia"/>
                <w:sz w:val="24"/>
                <w:szCs w:val="24"/>
              </w:rPr>
              <w:t>ajiem</w:t>
            </w:r>
            <w:r w:rsidR="006909B9" w:rsidRPr="00600B68">
              <w:rPr>
                <w:rFonts w:eastAsiaTheme="minorEastAsia"/>
                <w:sz w:val="24"/>
                <w:szCs w:val="24"/>
              </w:rPr>
              <w:t xml:space="preserve"> izdevumi</w:t>
            </w:r>
            <w:r w:rsidR="00B7771D">
              <w:rPr>
                <w:rFonts w:eastAsiaTheme="minorEastAsia"/>
                <w:sz w:val="24"/>
                <w:szCs w:val="24"/>
              </w:rPr>
              <w:t>em</w:t>
            </w:r>
            <w:r w:rsidR="006909B9" w:rsidRPr="00600B68">
              <w:rPr>
                <w:rFonts w:eastAsiaTheme="minorEastAsia"/>
                <w:sz w:val="24"/>
                <w:szCs w:val="24"/>
              </w:rPr>
              <w:t xml:space="preserve"> </w:t>
            </w:r>
            <w:r w:rsidR="00604986" w:rsidRPr="00600B68">
              <w:rPr>
                <w:rFonts w:eastAsiaTheme="minorEastAsia"/>
                <w:sz w:val="24"/>
                <w:szCs w:val="24"/>
              </w:rPr>
              <w:t xml:space="preserve">1.1.1.1. pasākuma 1. un 2. </w:t>
            </w:r>
            <w:r w:rsidR="006909B9" w:rsidRPr="00600B68">
              <w:rPr>
                <w:rFonts w:eastAsiaTheme="minorEastAsia"/>
                <w:sz w:val="24"/>
                <w:szCs w:val="24"/>
              </w:rPr>
              <w:t xml:space="preserve">projektu iesniegumu atlases </w:t>
            </w:r>
            <w:r w:rsidR="00604986" w:rsidRPr="00600B68">
              <w:rPr>
                <w:rFonts w:eastAsiaTheme="minorEastAsia"/>
                <w:sz w:val="24"/>
                <w:szCs w:val="24"/>
              </w:rPr>
              <w:t>kārta</w:t>
            </w:r>
            <w:r w:rsidR="006909B9" w:rsidRPr="00600B68">
              <w:rPr>
                <w:rFonts w:eastAsiaTheme="minorEastAsia"/>
                <w:sz w:val="24"/>
                <w:szCs w:val="24"/>
              </w:rPr>
              <w:t>s ietvaros</w:t>
            </w:r>
            <w:r w:rsidR="00604986" w:rsidRPr="00600B68">
              <w:rPr>
                <w:rFonts w:eastAsiaTheme="minorEastAsia"/>
                <w:sz w:val="24"/>
                <w:szCs w:val="24"/>
              </w:rPr>
              <w:t>;</w:t>
            </w:r>
          </w:p>
          <w:p w14:paraId="44974DE5" w14:textId="63A0E11B" w:rsidR="00B4034C" w:rsidRDefault="00B7771D" w:rsidP="00604986">
            <w:pPr>
              <w:pStyle w:val="ListParagraph"/>
              <w:spacing w:before="60" w:after="60"/>
              <w:ind w:left="101" w:right="102"/>
              <w:jc w:val="both"/>
              <w:rPr>
                <w:rFonts w:eastAsiaTheme="minorEastAsia"/>
                <w:sz w:val="24"/>
                <w:szCs w:val="24"/>
              </w:rPr>
            </w:pPr>
            <w:r>
              <w:rPr>
                <w:rFonts w:eastAsiaTheme="minorEastAsia"/>
                <w:sz w:val="24"/>
                <w:szCs w:val="24"/>
              </w:rPr>
              <w:t>3</w:t>
            </w:r>
            <w:r w:rsidR="004D4B94" w:rsidRPr="00600B68">
              <w:rPr>
                <w:rFonts w:eastAsiaTheme="minorEastAsia"/>
                <w:sz w:val="24"/>
                <w:szCs w:val="24"/>
              </w:rPr>
              <w:t>. </w:t>
            </w:r>
            <w:r w:rsidR="00FB3D8B" w:rsidRPr="00600B68">
              <w:rPr>
                <w:rFonts w:eastAsiaTheme="minorEastAsia"/>
                <w:sz w:val="24"/>
                <w:szCs w:val="24"/>
              </w:rPr>
              <w:t xml:space="preserve">precizēt </w:t>
            </w:r>
            <w:r w:rsidR="00B4034C" w:rsidRPr="00600B68">
              <w:rPr>
                <w:rFonts w:eastAsiaTheme="minorEastAsia"/>
                <w:sz w:val="24"/>
                <w:szCs w:val="24"/>
              </w:rPr>
              <w:t xml:space="preserve">otrajai un turpmākajām kārtām pieejamo kopējo </w:t>
            </w:r>
            <w:r>
              <w:rPr>
                <w:rFonts w:eastAsiaTheme="minorEastAsia"/>
                <w:sz w:val="24"/>
                <w:szCs w:val="24"/>
              </w:rPr>
              <w:t xml:space="preserve">publisko </w:t>
            </w:r>
            <w:r w:rsidR="00B4034C" w:rsidRPr="00600B68">
              <w:rPr>
                <w:rFonts w:eastAsiaTheme="minorEastAsia"/>
                <w:sz w:val="24"/>
                <w:szCs w:val="24"/>
              </w:rPr>
              <w:t>finansējumu sadalījumā pa finanšu avotiem un projektu veidiem (MK noteikumu 12.</w:t>
            </w:r>
            <w:r w:rsidR="00B4034C" w:rsidRPr="00600B68">
              <w:rPr>
                <w:rFonts w:eastAsiaTheme="minorEastAsia"/>
                <w:sz w:val="24"/>
                <w:szCs w:val="24"/>
                <w:vertAlign w:val="superscript"/>
              </w:rPr>
              <w:t>1</w:t>
            </w:r>
            <w:r w:rsidR="00FB3D8B" w:rsidRPr="00600B68">
              <w:rPr>
                <w:rFonts w:eastAsiaTheme="minorEastAsia"/>
                <w:sz w:val="24"/>
                <w:szCs w:val="24"/>
              </w:rPr>
              <w:t> punkts</w:t>
            </w:r>
            <w:r w:rsidR="004D4B94" w:rsidRPr="00600B68">
              <w:rPr>
                <w:rFonts w:eastAsiaTheme="minorEastAsia"/>
                <w:sz w:val="24"/>
                <w:szCs w:val="24"/>
              </w:rPr>
              <w:t>).</w:t>
            </w:r>
          </w:p>
          <w:p w14:paraId="51CE3F4D" w14:textId="77777777" w:rsidR="00B7771D" w:rsidRPr="00600B68" w:rsidRDefault="00B7771D" w:rsidP="00604986">
            <w:pPr>
              <w:pStyle w:val="ListParagraph"/>
              <w:spacing w:before="60" w:after="60"/>
              <w:ind w:left="101" w:right="102"/>
              <w:jc w:val="both"/>
              <w:rPr>
                <w:rFonts w:eastAsiaTheme="minorEastAsia"/>
                <w:sz w:val="24"/>
                <w:szCs w:val="24"/>
              </w:rPr>
            </w:pPr>
          </w:p>
          <w:p w14:paraId="77E4CB31" w14:textId="04A7AC25" w:rsidR="007D2897" w:rsidRPr="00600B68" w:rsidRDefault="007D2897" w:rsidP="007D2897">
            <w:pPr>
              <w:pStyle w:val="ListParagraph"/>
              <w:spacing w:before="60" w:after="60"/>
              <w:ind w:left="101" w:right="102"/>
              <w:jc w:val="both"/>
              <w:rPr>
                <w:rFonts w:eastAsiaTheme="minorEastAsia"/>
                <w:b/>
                <w:sz w:val="24"/>
                <w:szCs w:val="24"/>
              </w:rPr>
            </w:pPr>
            <w:r w:rsidRPr="00600B68">
              <w:rPr>
                <w:rFonts w:eastAsiaTheme="minorEastAsia"/>
                <w:b/>
                <w:sz w:val="24"/>
                <w:szCs w:val="24"/>
              </w:rPr>
              <w:t>II. SAM 1.1.1. iznākuma rādītāju izpilde</w:t>
            </w:r>
          </w:p>
          <w:p w14:paraId="69156444" w14:textId="7A797C47" w:rsidR="00353C15" w:rsidRPr="00600B68" w:rsidRDefault="00CC1C10" w:rsidP="00CC1C10">
            <w:pPr>
              <w:pStyle w:val="ListParagraph"/>
              <w:spacing w:before="60" w:after="60"/>
              <w:ind w:left="101" w:right="102"/>
              <w:jc w:val="both"/>
              <w:rPr>
                <w:rFonts w:eastAsiaTheme="minorEastAsia"/>
                <w:sz w:val="24"/>
                <w:szCs w:val="24"/>
              </w:rPr>
            </w:pPr>
            <w:r w:rsidRPr="00600B68">
              <w:rPr>
                <w:rFonts w:eastAsiaTheme="minorEastAsia"/>
                <w:sz w:val="24"/>
                <w:szCs w:val="24"/>
              </w:rPr>
              <w:t xml:space="preserve">Analizējot </w:t>
            </w:r>
            <w:r w:rsidR="00B7771D" w:rsidRPr="00600B68">
              <w:rPr>
                <w:rFonts w:eastAsiaTheme="minorEastAsia"/>
                <w:sz w:val="24"/>
                <w:szCs w:val="24"/>
              </w:rPr>
              <w:t xml:space="preserve">specifiskā atbalsta mērķa "Palielināt Latvijas zinātnisko institūciju pētniecisko un inovatīvo kapacitāti un spēju piesaistīt ārējo finansējumu, ieguldot cilvēkresursos un infrastruktūrā" </w:t>
            </w:r>
            <w:r w:rsidR="00B7771D">
              <w:rPr>
                <w:rFonts w:eastAsiaTheme="minorEastAsia"/>
                <w:sz w:val="24"/>
                <w:szCs w:val="24"/>
              </w:rPr>
              <w:t xml:space="preserve">(SAM 1.1.1.) </w:t>
            </w:r>
            <w:r w:rsidRPr="00600B68">
              <w:rPr>
                <w:rFonts w:eastAsiaTheme="minorEastAsia"/>
                <w:sz w:val="24"/>
                <w:szCs w:val="24"/>
              </w:rPr>
              <w:t>pasākum</w:t>
            </w:r>
            <w:r w:rsidR="00B7771D">
              <w:rPr>
                <w:rFonts w:eastAsiaTheme="minorEastAsia"/>
                <w:sz w:val="24"/>
                <w:szCs w:val="24"/>
              </w:rPr>
              <w:t>u</w:t>
            </w:r>
            <w:r w:rsidRPr="00600B68">
              <w:rPr>
                <w:rFonts w:eastAsiaTheme="minorEastAsia"/>
                <w:sz w:val="24"/>
                <w:szCs w:val="24"/>
              </w:rPr>
              <w:t xml:space="preserve"> iznākuma rādītāju izpildes tendences, identificēti iznākuma rādītāju izpildes riski, </w:t>
            </w:r>
            <w:r w:rsidR="00353C15" w:rsidRPr="00600B68">
              <w:rPr>
                <w:rFonts w:eastAsiaTheme="minorEastAsia"/>
                <w:sz w:val="24"/>
                <w:szCs w:val="24"/>
              </w:rPr>
              <w:t xml:space="preserve">kas saistīti ar komersantu iesaisti pētniecības īstenošanā, </w:t>
            </w:r>
            <w:r w:rsidRPr="00600B68">
              <w:rPr>
                <w:rFonts w:eastAsiaTheme="minorEastAsia"/>
                <w:sz w:val="24"/>
                <w:szCs w:val="24"/>
              </w:rPr>
              <w:t>tai skaitā privātās investīcijas, kas papildina valsts atbalstu inovācijām vai pētniecības, jauno produktu un tehnoloģiju skaits, kas ir komercializējami un kuru izstrādei sniegts atbalsts</w:t>
            </w:r>
            <w:r w:rsidR="00353C15" w:rsidRPr="00600B68">
              <w:rPr>
                <w:rFonts w:eastAsiaTheme="minorEastAsia"/>
                <w:sz w:val="24"/>
                <w:szCs w:val="24"/>
              </w:rPr>
              <w:t>, komersantu skaits, kuri sadarbojas ar pētniecības institūcijām.</w:t>
            </w:r>
          </w:p>
          <w:p w14:paraId="4B7B5D11" w14:textId="45786BA7" w:rsidR="00FB4F5C" w:rsidRPr="00600B68" w:rsidRDefault="00FB4F5C" w:rsidP="00CC1C10">
            <w:pPr>
              <w:pStyle w:val="ListParagraph"/>
              <w:spacing w:before="60" w:after="60"/>
              <w:ind w:left="101" w:right="102"/>
              <w:jc w:val="both"/>
              <w:rPr>
                <w:rFonts w:eastAsiaTheme="minorEastAsia"/>
                <w:sz w:val="24"/>
                <w:szCs w:val="24"/>
              </w:rPr>
            </w:pPr>
            <w:r w:rsidRPr="00600B68">
              <w:rPr>
                <w:rFonts w:eastAsiaTheme="minorEastAsia"/>
                <w:sz w:val="24"/>
                <w:szCs w:val="24"/>
              </w:rPr>
              <w:t xml:space="preserve">Lai sekmētu virzību uz </w:t>
            </w:r>
            <w:r w:rsidR="00336E9F" w:rsidRPr="00336E9F">
              <w:rPr>
                <w:rFonts w:eastAsiaTheme="minorEastAsia"/>
                <w:sz w:val="24"/>
                <w:szCs w:val="24"/>
              </w:rPr>
              <w:t>Latvijas V</w:t>
            </w:r>
            <w:r w:rsidR="00336E9F">
              <w:rPr>
                <w:rFonts w:eastAsiaTheme="minorEastAsia"/>
                <w:sz w:val="24"/>
                <w:szCs w:val="24"/>
              </w:rPr>
              <w:t>iedās Specializācijas stratēģijā (</w:t>
            </w:r>
            <w:r w:rsidRPr="00600B68">
              <w:rPr>
                <w:rFonts w:eastAsiaTheme="minorEastAsia"/>
                <w:sz w:val="24"/>
                <w:szCs w:val="24"/>
              </w:rPr>
              <w:t>RIS3</w:t>
            </w:r>
            <w:r w:rsidR="00336E9F">
              <w:rPr>
                <w:rFonts w:eastAsiaTheme="minorEastAsia"/>
                <w:sz w:val="24"/>
                <w:szCs w:val="24"/>
              </w:rPr>
              <w:t xml:space="preserve">) noteikto </w:t>
            </w:r>
            <w:r w:rsidRPr="00600B68">
              <w:rPr>
                <w:rFonts w:eastAsiaTheme="minorEastAsia"/>
                <w:sz w:val="24"/>
                <w:szCs w:val="24"/>
              </w:rPr>
              <w:t>mērķu sasniegšanu</w:t>
            </w:r>
            <w:r w:rsidR="00353C15" w:rsidRPr="00600B68">
              <w:rPr>
                <w:rFonts w:eastAsiaTheme="minorEastAsia"/>
                <w:sz w:val="24"/>
                <w:szCs w:val="24"/>
              </w:rPr>
              <w:t xml:space="preserve"> un </w:t>
            </w:r>
            <w:r w:rsidR="00B7771D">
              <w:rPr>
                <w:rFonts w:eastAsiaTheme="minorEastAsia"/>
                <w:sz w:val="24"/>
                <w:szCs w:val="24"/>
              </w:rPr>
              <w:t xml:space="preserve">SAM 1.1.1. </w:t>
            </w:r>
            <w:r w:rsidR="00353C15" w:rsidRPr="00600B68">
              <w:rPr>
                <w:rFonts w:eastAsiaTheme="minorEastAsia"/>
                <w:sz w:val="24"/>
                <w:szCs w:val="24"/>
              </w:rPr>
              <w:t>iznākuma rādītāju izpildi</w:t>
            </w:r>
            <w:r w:rsidRPr="00600B68">
              <w:rPr>
                <w:rFonts w:eastAsiaTheme="minorEastAsia"/>
                <w:sz w:val="24"/>
                <w:szCs w:val="24"/>
              </w:rPr>
              <w:t>, noteikumu projekts paredz</w:t>
            </w:r>
            <w:r w:rsidR="00F71640" w:rsidRPr="00600B68">
              <w:rPr>
                <w:rFonts w:eastAsiaTheme="minorEastAsia"/>
                <w:sz w:val="24"/>
                <w:szCs w:val="24"/>
              </w:rPr>
              <w:t xml:space="preserve"> stimulus komersantu iesaistei pētniecības īstenošanā, tajā skaitā: </w:t>
            </w:r>
          </w:p>
          <w:p w14:paraId="38BC92B6" w14:textId="373CA244" w:rsidR="00150FB3" w:rsidRPr="00600B68" w:rsidRDefault="00FB4F5C" w:rsidP="00150FB3">
            <w:pPr>
              <w:pStyle w:val="ListParagraph"/>
              <w:spacing w:before="60" w:after="60"/>
              <w:ind w:left="101" w:right="102"/>
              <w:jc w:val="both"/>
              <w:rPr>
                <w:rFonts w:eastAsiaTheme="minorEastAsia"/>
                <w:sz w:val="24"/>
                <w:szCs w:val="24"/>
              </w:rPr>
            </w:pPr>
            <w:r w:rsidRPr="00600B68">
              <w:rPr>
                <w:rFonts w:eastAsiaTheme="minorEastAsia"/>
                <w:sz w:val="24"/>
                <w:szCs w:val="24"/>
              </w:rPr>
              <w:t>1. fundamentāl</w:t>
            </w:r>
            <w:r w:rsidR="003C775D" w:rsidRPr="00600B68">
              <w:rPr>
                <w:rFonts w:eastAsiaTheme="minorEastAsia"/>
                <w:sz w:val="24"/>
                <w:szCs w:val="24"/>
              </w:rPr>
              <w:t>o</w:t>
            </w:r>
            <w:r w:rsidRPr="00600B68">
              <w:rPr>
                <w:rFonts w:eastAsiaTheme="minorEastAsia"/>
                <w:sz w:val="24"/>
                <w:szCs w:val="24"/>
              </w:rPr>
              <w:t xml:space="preserve"> pētījum</w:t>
            </w:r>
            <w:r w:rsidR="003C775D" w:rsidRPr="00600B68">
              <w:rPr>
                <w:rFonts w:eastAsiaTheme="minorEastAsia"/>
                <w:sz w:val="24"/>
                <w:szCs w:val="24"/>
              </w:rPr>
              <w:t>u īstenošanas nosacījumu aktualizācija (MK noteikumu 8.2.3.1. apakšpunkts)</w:t>
            </w:r>
            <w:r w:rsidR="00353C15" w:rsidRPr="00600B68">
              <w:rPr>
                <w:rFonts w:eastAsiaTheme="minorEastAsia"/>
                <w:sz w:val="24"/>
                <w:szCs w:val="24"/>
              </w:rPr>
              <w:t xml:space="preserve">, nosakot, ka </w:t>
            </w:r>
            <w:r w:rsidR="00B7771D" w:rsidRPr="00600B68">
              <w:rPr>
                <w:rFonts w:eastAsiaTheme="minorEastAsia"/>
                <w:sz w:val="24"/>
                <w:szCs w:val="24"/>
              </w:rPr>
              <w:t>1.1.1.1. pasākuma trešās kārtas ietvaros atbalstāmi tādi projekti, kuru ievaros īstenotā pētniecība vērsta ne tikai uz jaunu zināšanu par lietām un parādībām ieguvi, neparedzot nekādu saimniecisku izmantojumu (fundamentālie pētījumi), bet arī uz jaunu zināšanu ieguvi jaunu produktu vai tehnoloģiju izstrādei (rūpnieciskie pētījumi, eksperimentālā izstrāde)</w:t>
            </w:r>
            <w:r w:rsidR="00B7771D">
              <w:rPr>
                <w:rFonts w:eastAsiaTheme="minorEastAsia"/>
                <w:sz w:val="24"/>
                <w:szCs w:val="24"/>
              </w:rPr>
              <w:t>. Tādējādi komersantiem tiek radīti labvēlīgāki nosacījumi</w:t>
            </w:r>
            <w:r w:rsidR="00336E9F">
              <w:rPr>
                <w:rFonts w:eastAsiaTheme="minorEastAsia"/>
                <w:sz w:val="24"/>
                <w:szCs w:val="24"/>
              </w:rPr>
              <w:t xml:space="preserve"> sadarbībai ar pētniecības organizācijām ar saimniecisku darbību nesaistītu projektu ietvaros.</w:t>
            </w:r>
          </w:p>
          <w:p w14:paraId="55E7A59A" w14:textId="27175975" w:rsidR="00B71EA1" w:rsidRPr="00600B68" w:rsidRDefault="00F71640" w:rsidP="00B71EA1">
            <w:pPr>
              <w:spacing w:before="60" w:after="60"/>
              <w:ind w:left="101" w:right="102"/>
              <w:jc w:val="both"/>
              <w:rPr>
                <w:rFonts w:eastAsiaTheme="minorEastAsia"/>
              </w:rPr>
            </w:pPr>
            <w:r w:rsidRPr="00600B68">
              <w:rPr>
                <w:rFonts w:eastAsiaTheme="minorEastAsia"/>
              </w:rPr>
              <w:t>2</w:t>
            </w:r>
            <w:r w:rsidR="000717F0" w:rsidRPr="00600B68">
              <w:rPr>
                <w:rFonts w:eastAsiaTheme="minorEastAsia"/>
              </w:rPr>
              <w:t>. </w:t>
            </w:r>
            <w:r w:rsidR="00336E9F">
              <w:rPr>
                <w:rFonts w:eastAsiaTheme="minorEastAsia"/>
              </w:rPr>
              <w:t xml:space="preserve"> komersantu – </w:t>
            </w:r>
            <w:proofErr w:type="spellStart"/>
            <w:r w:rsidR="00336E9F">
              <w:rPr>
                <w:rFonts w:eastAsiaTheme="minorEastAsia"/>
              </w:rPr>
              <w:t>līgumpētījumu</w:t>
            </w:r>
            <w:proofErr w:type="spellEnd"/>
            <w:r w:rsidR="00336E9F">
              <w:rPr>
                <w:rFonts w:eastAsiaTheme="minorEastAsia"/>
              </w:rPr>
              <w:t xml:space="preserve"> pasūtītāju – interesēs īstenotu projektu īstenošanas nosacījumu</w:t>
            </w:r>
            <w:r w:rsidR="00B71EA1">
              <w:rPr>
                <w:rFonts w:eastAsiaTheme="minorEastAsia"/>
              </w:rPr>
              <w:t xml:space="preserve"> (</w:t>
            </w:r>
            <w:r w:rsidR="00336E9F" w:rsidRPr="00600B68">
              <w:rPr>
                <w:rFonts w:eastAsiaTheme="minorEastAsia"/>
              </w:rPr>
              <w:t xml:space="preserve">MK noteikumu </w:t>
            </w:r>
            <w:r w:rsidR="00336E9F" w:rsidRPr="00600B68">
              <w:rPr>
                <w:rFonts w:eastAsiaTheme="minorEastAsia"/>
              </w:rPr>
              <w:lastRenderedPageBreak/>
              <w:t>22.2. apakšpunkt</w:t>
            </w:r>
            <w:r w:rsidR="00B71EA1">
              <w:rPr>
                <w:rFonts w:eastAsiaTheme="minorEastAsia"/>
              </w:rPr>
              <w:t>s)</w:t>
            </w:r>
            <w:r w:rsidR="00336E9F" w:rsidRPr="00600B68">
              <w:rPr>
                <w:rFonts w:eastAsiaTheme="minorEastAsia"/>
              </w:rPr>
              <w:t xml:space="preserve"> </w:t>
            </w:r>
            <w:r w:rsidR="00336E9F">
              <w:rPr>
                <w:rFonts w:eastAsiaTheme="minorEastAsia"/>
              </w:rPr>
              <w:t xml:space="preserve">aktualizācija </w:t>
            </w:r>
            <w:r w:rsidR="00B71EA1">
              <w:rPr>
                <w:rFonts w:eastAsiaTheme="minorEastAsia"/>
              </w:rPr>
              <w:t>ar mērķi</w:t>
            </w:r>
            <w:r w:rsidR="00850B98" w:rsidRPr="00600B68">
              <w:rPr>
                <w:rFonts w:eastAsiaTheme="minorEastAsia"/>
              </w:rPr>
              <w:t xml:space="preserve"> </w:t>
            </w:r>
            <w:r w:rsidR="00B71EA1">
              <w:rPr>
                <w:rFonts w:eastAsiaTheme="minorEastAsia"/>
              </w:rPr>
              <w:t xml:space="preserve">a) sekmēt tādu komersantu iesaisti pētniecības īstenošanā, </w:t>
            </w:r>
            <w:r w:rsidR="00B71EA1" w:rsidRPr="004F4DF8">
              <w:rPr>
                <w:rFonts w:eastAsiaTheme="minorEastAsia"/>
              </w:rPr>
              <w:t xml:space="preserve">kuri vērsti uz inovatīvu produktu/tehnoloģiju ieviešanu, bet kuriem nav pietiekamas zinātniskās kapacitātes (cilvēkresursi, pētniecības infrastruktūra), lai izstrādātu jaunus produktus vai tehnoloģijas. Konkrētajā gadījumā </w:t>
            </w:r>
            <w:r w:rsidR="00B71EA1" w:rsidRPr="004F4DF8">
              <w:rPr>
                <w:rFonts w:eastAsiaTheme="minorEastAsia"/>
              </w:rPr>
              <w:t xml:space="preserve">komersanta iesniegtā </w:t>
            </w:r>
            <w:r w:rsidR="00B71EA1" w:rsidRPr="004F4DF8">
              <w:rPr>
                <w:rFonts w:eastAsiaTheme="minorEastAsia"/>
              </w:rPr>
              <w:t xml:space="preserve">projekta iesnieguma atbilstību 3.3. kritērijam </w:t>
            </w:r>
            <w:r w:rsidR="004F4DF8" w:rsidRPr="004F4DF8">
              <w:rPr>
                <w:rFonts w:eastAsiaTheme="minorEastAsia"/>
              </w:rPr>
              <w:t>„Projekta īstenošanas kvalitāte un efektivitāte”</w:t>
            </w:r>
            <w:r w:rsidR="004F4DF8" w:rsidRPr="004F4DF8">
              <w:rPr>
                <w:rFonts w:eastAsiaTheme="minorEastAsia"/>
              </w:rPr>
              <w:t xml:space="preserve"> </w:t>
            </w:r>
            <w:r w:rsidR="00B71EA1" w:rsidRPr="004F4DF8">
              <w:rPr>
                <w:rFonts w:eastAsiaTheme="minorEastAsia"/>
              </w:rPr>
              <w:t xml:space="preserve">vērtē, ņemot vērā </w:t>
            </w:r>
            <w:proofErr w:type="spellStart"/>
            <w:r w:rsidR="00B71EA1" w:rsidRPr="004F4DF8">
              <w:rPr>
                <w:rFonts w:eastAsiaTheme="minorEastAsia"/>
              </w:rPr>
              <w:t>līgumpētījuma</w:t>
            </w:r>
            <w:proofErr w:type="spellEnd"/>
            <w:r w:rsidR="00B71EA1" w:rsidRPr="004F4DF8">
              <w:rPr>
                <w:rFonts w:eastAsiaTheme="minorEastAsia"/>
              </w:rPr>
              <w:t xml:space="preserve"> izpildītāja – zinātniskās institūcijas zinātnisko kapacitāti;</w:t>
            </w:r>
          </w:p>
          <w:p w14:paraId="7E931206" w14:textId="6636CE7D" w:rsidR="00850B98" w:rsidRPr="00600B68" w:rsidRDefault="00B71EA1" w:rsidP="00850B98">
            <w:pPr>
              <w:spacing w:before="60" w:after="60"/>
              <w:ind w:left="101" w:right="102"/>
              <w:jc w:val="both"/>
              <w:rPr>
                <w:rFonts w:eastAsiaTheme="minorEastAsia"/>
              </w:rPr>
            </w:pPr>
            <w:r>
              <w:rPr>
                <w:rFonts w:eastAsiaTheme="minorEastAsia"/>
              </w:rPr>
              <w:t>b</w:t>
            </w:r>
            <w:r w:rsidR="00353C15" w:rsidRPr="00600B68">
              <w:rPr>
                <w:rFonts w:eastAsiaTheme="minorEastAsia"/>
              </w:rPr>
              <w:t>) </w:t>
            </w:r>
            <w:r w:rsidR="009C2904" w:rsidRPr="00600B68">
              <w:rPr>
                <w:rFonts w:eastAsiaTheme="minorEastAsia"/>
              </w:rPr>
              <w:t>veicin</w:t>
            </w:r>
            <w:r w:rsidR="00336E9F">
              <w:rPr>
                <w:rFonts w:eastAsiaTheme="minorEastAsia"/>
              </w:rPr>
              <w:t>a</w:t>
            </w:r>
            <w:r w:rsidR="00850B98" w:rsidRPr="00600B68">
              <w:rPr>
                <w:rFonts w:eastAsiaTheme="minorEastAsia"/>
              </w:rPr>
              <w:t xml:space="preserve"> komersantu un zinātnisko institūciju sadarbību</w:t>
            </w:r>
            <w:r w:rsidR="004F4DF8">
              <w:rPr>
                <w:rFonts w:eastAsiaTheme="minorEastAsia"/>
              </w:rPr>
              <w:t>.</w:t>
            </w:r>
            <w:r w:rsidR="00353C15" w:rsidRPr="00600B68">
              <w:rPr>
                <w:rFonts w:eastAsiaTheme="minorEastAsia"/>
              </w:rPr>
              <w:t xml:space="preserve"> </w:t>
            </w:r>
          </w:p>
          <w:p w14:paraId="7E102D61" w14:textId="017F218D" w:rsidR="00491E9B" w:rsidRPr="00600B68" w:rsidRDefault="00F71640" w:rsidP="00850B98">
            <w:pPr>
              <w:pStyle w:val="ListParagraph"/>
              <w:spacing w:before="60" w:after="60"/>
              <w:ind w:left="101" w:right="102"/>
              <w:jc w:val="both"/>
              <w:rPr>
                <w:rFonts w:eastAsiaTheme="minorEastAsia"/>
                <w:sz w:val="24"/>
                <w:szCs w:val="24"/>
              </w:rPr>
            </w:pPr>
            <w:r w:rsidRPr="00600B68">
              <w:rPr>
                <w:rFonts w:eastAsiaTheme="minorEastAsia"/>
                <w:sz w:val="24"/>
                <w:szCs w:val="24"/>
              </w:rPr>
              <w:t>3</w:t>
            </w:r>
            <w:r w:rsidR="00850B98" w:rsidRPr="00600B68">
              <w:rPr>
                <w:rFonts w:eastAsiaTheme="minorEastAsia"/>
                <w:sz w:val="24"/>
                <w:szCs w:val="24"/>
              </w:rPr>
              <w:t>. MK noteikumu 22.3. apakšpunkt</w:t>
            </w:r>
            <w:r w:rsidRPr="00600B68">
              <w:rPr>
                <w:rFonts w:eastAsiaTheme="minorEastAsia"/>
                <w:sz w:val="24"/>
                <w:szCs w:val="24"/>
              </w:rPr>
              <w:t xml:space="preserve">a </w:t>
            </w:r>
            <w:r w:rsidR="000F3637" w:rsidRPr="00600B68">
              <w:rPr>
                <w:rFonts w:eastAsiaTheme="minorEastAsia"/>
                <w:sz w:val="24"/>
                <w:szCs w:val="24"/>
              </w:rPr>
              <w:t>aktualizācija</w:t>
            </w:r>
            <w:r w:rsidR="00850B98" w:rsidRPr="00600B68">
              <w:rPr>
                <w:rFonts w:eastAsiaTheme="minorEastAsia"/>
                <w:sz w:val="24"/>
                <w:szCs w:val="24"/>
              </w:rPr>
              <w:t xml:space="preserve">, </w:t>
            </w:r>
            <w:r w:rsidR="004F4DF8">
              <w:rPr>
                <w:rFonts w:eastAsiaTheme="minorEastAsia"/>
                <w:sz w:val="24"/>
                <w:szCs w:val="24"/>
              </w:rPr>
              <w:t>nodrošinot</w:t>
            </w:r>
            <w:r w:rsidR="000F3637" w:rsidRPr="00600B68">
              <w:rPr>
                <w:rFonts w:eastAsiaTheme="minorEastAsia"/>
                <w:sz w:val="24"/>
                <w:szCs w:val="24"/>
              </w:rPr>
              <w:t xml:space="preserve"> </w:t>
            </w:r>
            <w:r w:rsidR="00850B98" w:rsidRPr="00600B68">
              <w:rPr>
                <w:rFonts w:eastAsiaTheme="minorEastAsia"/>
                <w:sz w:val="24"/>
                <w:szCs w:val="24"/>
              </w:rPr>
              <w:t xml:space="preserve">saistīto komersantu </w:t>
            </w:r>
            <w:r w:rsidR="009C2904" w:rsidRPr="00600B68">
              <w:rPr>
                <w:rFonts w:eastAsiaTheme="minorEastAsia"/>
                <w:sz w:val="24"/>
                <w:szCs w:val="24"/>
              </w:rPr>
              <w:t>iesaisti sadarbības projektu īstenošanā</w:t>
            </w:r>
            <w:r w:rsidR="000F3637" w:rsidRPr="00600B68">
              <w:rPr>
                <w:rFonts w:eastAsiaTheme="minorEastAsia"/>
                <w:sz w:val="24"/>
                <w:szCs w:val="24"/>
              </w:rPr>
              <w:t>, lai sasniegtu kopīgu mērķi</w:t>
            </w:r>
            <w:r w:rsidR="004F4DF8">
              <w:rPr>
                <w:rFonts w:eastAsiaTheme="minorEastAsia"/>
                <w:sz w:val="24"/>
                <w:szCs w:val="24"/>
              </w:rPr>
              <w:t>.</w:t>
            </w:r>
          </w:p>
          <w:p w14:paraId="6B106056" w14:textId="43387ADD" w:rsidR="000717F0" w:rsidRPr="00600B68" w:rsidRDefault="00491E9B" w:rsidP="00850B98">
            <w:pPr>
              <w:pStyle w:val="ListParagraph"/>
              <w:spacing w:before="60" w:after="60"/>
              <w:ind w:left="101" w:right="102"/>
              <w:jc w:val="both"/>
              <w:rPr>
                <w:rFonts w:eastAsiaTheme="minorEastAsia"/>
                <w:sz w:val="24"/>
                <w:szCs w:val="24"/>
              </w:rPr>
            </w:pPr>
            <w:r w:rsidRPr="00600B68">
              <w:rPr>
                <w:rFonts w:eastAsiaTheme="minorEastAsia"/>
                <w:sz w:val="24"/>
                <w:szCs w:val="24"/>
              </w:rPr>
              <w:t>4. </w:t>
            </w:r>
            <w:r w:rsidR="004F4DF8">
              <w:rPr>
                <w:rFonts w:eastAsiaTheme="minorEastAsia"/>
                <w:sz w:val="24"/>
                <w:szCs w:val="24"/>
              </w:rPr>
              <w:t>P</w:t>
            </w:r>
            <w:r w:rsidRPr="00600B68">
              <w:rPr>
                <w:rFonts w:eastAsiaTheme="minorEastAsia"/>
                <w:sz w:val="24"/>
                <w:szCs w:val="24"/>
              </w:rPr>
              <w:t xml:space="preserve">rojekta rezultātu ilgtspējas nosacījumu aktualizācija, </w:t>
            </w:r>
            <w:r w:rsidR="004F4DF8">
              <w:rPr>
                <w:rFonts w:eastAsiaTheme="minorEastAsia"/>
                <w:sz w:val="24"/>
                <w:szCs w:val="24"/>
              </w:rPr>
              <w:t xml:space="preserve">no ilgtspējas kritērijiem </w:t>
            </w:r>
            <w:r w:rsidRPr="00600B68">
              <w:rPr>
                <w:rFonts w:eastAsiaTheme="minorEastAsia"/>
                <w:sz w:val="24"/>
                <w:szCs w:val="24"/>
              </w:rPr>
              <w:t>izslēdzot tādu rezultātu uzturēšanu, pilnveidi vai aktualizāciju, kas nesniedz ieguldījumu SAM 1.1.1. pasākuma iznākuma rādītāju izpildē</w:t>
            </w:r>
            <w:r w:rsidR="004F4DF8">
              <w:rPr>
                <w:rFonts w:eastAsiaTheme="minorEastAsia"/>
                <w:sz w:val="24"/>
                <w:szCs w:val="24"/>
              </w:rPr>
              <w:t xml:space="preserve"> </w:t>
            </w:r>
            <w:r w:rsidR="004F4DF8" w:rsidRPr="00600B68">
              <w:rPr>
                <w:rFonts w:eastAsiaTheme="minorEastAsia"/>
                <w:sz w:val="24"/>
                <w:szCs w:val="24"/>
              </w:rPr>
              <w:t xml:space="preserve">(noteikumu </w:t>
            </w:r>
            <w:r w:rsidR="004F4DF8">
              <w:rPr>
                <w:rFonts w:eastAsiaTheme="minorEastAsia"/>
                <w:sz w:val="24"/>
                <w:szCs w:val="24"/>
              </w:rPr>
              <w:t xml:space="preserve">projekta </w:t>
            </w:r>
            <w:r w:rsidR="004F4DF8" w:rsidRPr="00600B68">
              <w:rPr>
                <w:rFonts w:eastAsiaTheme="minorEastAsia"/>
                <w:sz w:val="24"/>
                <w:szCs w:val="24"/>
              </w:rPr>
              <w:t>)</w:t>
            </w:r>
            <w:r w:rsidR="00850B98" w:rsidRPr="00600B68">
              <w:rPr>
                <w:rFonts w:eastAsiaTheme="minorEastAsia"/>
                <w:sz w:val="24"/>
                <w:szCs w:val="24"/>
              </w:rPr>
              <w:t xml:space="preserve">. </w:t>
            </w:r>
          </w:p>
          <w:p w14:paraId="39658E83" w14:textId="77777777" w:rsidR="009C2904" w:rsidRPr="00600B68" w:rsidRDefault="009C2904" w:rsidP="00850B98">
            <w:pPr>
              <w:pStyle w:val="ListParagraph"/>
              <w:spacing w:before="60" w:after="60"/>
              <w:ind w:left="101" w:right="102"/>
              <w:jc w:val="both"/>
              <w:rPr>
                <w:rFonts w:eastAsiaTheme="minorEastAsia"/>
                <w:sz w:val="24"/>
                <w:szCs w:val="24"/>
              </w:rPr>
            </w:pPr>
          </w:p>
          <w:p w14:paraId="668F9686" w14:textId="2FC20D17" w:rsidR="00A434F6" w:rsidRPr="00600B68" w:rsidRDefault="00A434F6" w:rsidP="00A434F6">
            <w:pPr>
              <w:pStyle w:val="ListParagraph"/>
              <w:spacing w:before="60" w:after="60"/>
              <w:ind w:left="101" w:right="102"/>
              <w:jc w:val="both"/>
              <w:rPr>
                <w:rFonts w:eastAsiaTheme="minorEastAsia"/>
                <w:b/>
                <w:sz w:val="24"/>
                <w:szCs w:val="24"/>
              </w:rPr>
            </w:pPr>
            <w:r w:rsidRPr="00600B68">
              <w:rPr>
                <w:rFonts w:eastAsiaTheme="minorEastAsia"/>
                <w:b/>
                <w:sz w:val="24"/>
                <w:szCs w:val="24"/>
              </w:rPr>
              <w:t>II</w:t>
            </w:r>
            <w:r w:rsidR="00850B98" w:rsidRPr="00600B68">
              <w:rPr>
                <w:rFonts w:eastAsiaTheme="minorEastAsia"/>
                <w:b/>
                <w:sz w:val="24"/>
                <w:szCs w:val="24"/>
              </w:rPr>
              <w:t>I</w:t>
            </w:r>
            <w:r w:rsidRPr="00600B68">
              <w:rPr>
                <w:rFonts w:eastAsiaTheme="minorEastAsia"/>
                <w:b/>
                <w:sz w:val="24"/>
                <w:szCs w:val="24"/>
              </w:rPr>
              <w:t xml:space="preserve">. MK noteikumu normu </w:t>
            </w:r>
            <w:r w:rsidR="009C2904" w:rsidRPr="00600B68">
              <w:rPr>
                <w:rFonts w:eastAsiaTheme="minorEastAsia"/>
                <w:b/>
                <w:sz w:val="24"/>
                <w:szCs w:val="24"/>
              </w:rPr>
              <w:t>sistematizācija</w:t>
            </w:r>
          </w:p>
          <w:p w14:paraId="2D8E8459" w14:textId="67DAA3B9" w:rsidR="00A434F6" w:rsidRPr="00600B68" w:rsidRDefault="00A434F6" w:rsidP="00A434F6">
            <w:pPr>
              <w:pStyle w:val="ListParagraph"/>
              <w:spacing w:before="60" w:after="60"/>
              <w:ind w:left="101" w:right="102"/>
              <w:jc w:val="both"/>
              <w:rPr>
                <w:rFonts w:eastAsiaTheme="minorEastAsia"/>
                <w:sz w:val="24"/>
                <w:szCs w:val="24"/>
              </w:rPr>
            </w:pPr>
            <w:r w:rsidRPr="00600B68">
              <w:rPr>
                <w:rFonts w:eastAsiaTheme="minorEastAsia"/>
                <w:sz w:val="24"/>
                <w:szCs w:val="24"/>
              </w:rPr>
              <w:t xml:space="preserve">Lai </w:t>
            </w:r>
            <w:r w:rsidR="00A5457D" w:rsidRPr="00600B68">
              <w:rPr>
                <w:rFonts w:eastAsiaTheme="minorEastAsia"/>
                <w:sz w:val="24"/>
                <w:szCs w:val="24"/>
              </w:rPr>
              <w:t>nodrošinātu nacionālās un Eiropas Savienības tiesību sistēmas harmonizāciju</w:t>
            </w:r>
            <w:r w:rsidR="007D2897" w:rsidRPr="00600B68">
              <w:rPr>
                <w:rFonts w:eastAsiaTheme="minorEastAsia"/>
                <w:sz w:val="24"/>
                <w:szCs w:val="24"/>
              </w:rPr>
              <w:t>,</w:t>
            </w:r>
            <w:r w:rsidR="00A5457D" w:rsidRPr="00600B68">
              <w:rPr>
                <w:rFonts w:eastAsiaTheme="minorEastAsia"/>
                <w:sz w:val="24"/>
                <w:szCs w:val="24"/>
              </w:rPr>
              <w:t xml:space="preserve"> </w:t>
            </w:r>
            <w:r w:rsidRPr="00600B68">
              <w:rPr>
                <w:rFonts w:eastAsiaTheme="minorEastAsia"/>
                <w:sz w:val="24"/>
                <w:szCs w:val="24"/>
              </w:rPr>
              <w:t>atvieglotu MK noteikumu normu uztveramību, veicinātu projektu iesniegumu kvalitāti</w:t>
            </w:r>
            <w:r w:rsidR="00027BAD" w:rsidRPr="00600B68">
              <w:rPr>
                <w:rFonts w:eastAsiaTheme="minorEastAsia"/>
                <w:sz w:val="24"/>
                <w:szCs w:val="24"/>
              </w:rPr>
              <w:t>, kā</w:t>
            </w:r>
            <w:r w:rsidR="00D4587A" w:rsidRPr="00600B68">
              <w:rPr>
                <w:rFonts w:eastAsiaTheme="minorEastAsia"/>
                <w:sz w:val="24"/>
                <w:szCs w:val="24"/>
              </w:rPr>
              <w:t xml:space="preserve"> </w:t>
            </w:r>
            <w:r w:rsidR="00027BAD" w:rsidRPr="00600B68">
              <w:rPr>
                <w:rFonts w:eastAsiaTheme="minorEastAsia"/>
                <w:sz w:val="24"/>
                <w:szCs w:val="24"/>
              </w:rPr>
              <w:t>arī</w:t>
            </w:r>
            <w:r w:rsidR="007D2897" w:rsidRPr="00600B68">
              <w:rPr>
                <w:rFonts w:eastAsiaTheme="minorEastAsia"/>
                <w:sz w:val="24"/>
                <w:szCs w:val="24"/>
              </w:rPr>
              <w:t xml:space="preserve"> </w:t>
            </w:r>
            <w:r w:rsidRPr="00600B68">
              <w:rPr>
                <w:rFonts w:eastAsiaTheme="minorEastAsia"/>
                <w:sz w:val="24"/>
                <w:szCs w:val="24"/>
              </w:rPr>
              <w:t xml:space="preserve">sekmētu vērtēšanas procesa </w:t>
            </w:r>
            <w:r w:rsidR="00027BAD" w:rsidRPr="00600B68">
              <w:rPr>
                <w:rFonts w:eastAsiaTheme="minorEastAsia"/>
                <w:sz w:val="24"/>
                <w:szCs w:val="24"/>
              </w:rPr>
              <w:t xml:space="preserve">un projektu zinātniskās kvalitātes uzraudzības procedūras </w:t>
            </w:r>
            <w:r w:rsidRPr="00600B68">
              <w:rPr>
                <w:rFonts w:eastAsiaTheme="minorEastAsia"/>
                <w:sz w:val="24"/>
                <w:szCs w:val="24"/>
              </w:rPr>
              <w:t>efektivitāti, noteikumu projekts paredz:</w:t>
            </w:r>
          </w:p>
          <w:p w14:paraId="2FA75B51" w14:textId="47ECA2EB" w:rsidR="007D2897" w:rsidRPr="00600B68" w:rsidRDefault="00A5457D" w:rsidP="009C2904">
            <w:pPr>
              <w:pStyle w:val="ListParagraph"/>
              <w:numPr>
                <w:ilvl w:val="0"/>
                <w:numId w:val="20"/>
              </w:numPr>
              <w:spacing w:before="60" w:after="60"/>
              <w:ind w:right="102"/>
              <w:jc w:val="both"/>
              <w:rPr>
                <w:rFonts w:eastAsiaTheme="minorEastAsia"/>
                <w:sz w:val="24"/>
                <w:szCs w:val="24"/>
              </w:rPr>
            </w:pPr>
            <w:r w:rsidRPr="00600B68">
              <w:rPr>
                <w:rFonts w:eastAsiaTheme="minorEastAsia"/>
                <w:sz w:val="24"/>
                <w:szCs w:val="24"/>
              </w:rPr>
              <w:t>papildināt MK noteikumus ar terminu "atbalsta piešķiršanas diena" (MK noteikumu 2.2.1 apakšpunkts)</w:t>
            </w:r>
            <w:r w:rsidR="0041580B" w:rsidRPr="00600B68">
              <w:rPr>
                <w:rFonts w:eastAsiaTheme="minorEastAsia"/>
                <w:sz w:val="24"/>
                <w:szCs w:val="24"/>
              </w:rPr>
              <w:t xml:space="preserve">, nodrošinot MK noteikumu </w:t>
            </w:r>
            <w:r w:rsidR="009C2904" w:rsidRPr="00600B68">
              <w:rPr>
                <w:rFonts w:eastAsiaTheme="minorEastAsia"/>
                <w:sz w:val="24"/>
                <w:szCs w:val="24"/>
              </w:rPr>
              <w:t>atbilstību Latvijas Republikas starptautiskajām saistībām</w:t>
            </w:r>
            <w:r w:rsidR="007D2897" w:rsidRPr="00600B68">
              <w:rPr>
                <w:rFonts w:eastAsiaTheme="minorEastAsia"/>
                <w:sz w:val="24"/>
                <w:szCs w:val="24"/>
              </w:rPr>
              <w:t>;</w:t>
            </w:r>
          </w:p>
          <w:p w14:paraId="37DB0B6D" w14:textId="1D1D0CD8" w:rsidR="007D2897" w:rsidRPr="00600B68" w:rsidRDefault="007D2897" w:rsidP="006D146B">
            <w:pPr>
              <w:pStyle w:val="ListParagraph"/>
              <w:numPr>
                <w:ilvl w:val="0"/>
                <w:numId w:val="20"/>
              </w:numPr>
              <w:spacing w:before="60" w:after="60"/>
              <w:ind w:right="102"/>
              <w:jc w:val="both"/>
              <w:rPr>
                <w:rFonts w:eastAsiaTheme="minorEastAsia"/>
                <w:sz w:val="24"/>
                <w:szCs w:val="24"/>
              </w:rPr>
            </w:pPr>
            <w:r w:rsidRPr="00600B68">
              <w:rPr>
                <w:rFonts w:eastAsiaTheme="minorEastAsia"/>
                <w:sz w:val="24"/>
                <w:szCs w:val="24"/>
              </w:rPr>
              <w:t xml:space="preserve">viennozīmīgi </w:t>
            </w:r>
            <w:r w:rsidR="00FB3D8B" w:rsidRPr="00600B68">
              <w:rPr>
                <w:rFonts w:eastAsiaTheme="minorEastAsia"/>
                <w:sz w:val="24"/>
                <w:szCs w:val="24"/>
              </w:rPr>
              <w:t>noteikt</w:t>
            </w:r>
            <w:r w:rsidRPr="00600B68">
              <w:rPr>
                <w:rFonts w:eastAsiaTheme="minorEastAsia"/>
                <w:sz w:val="24"/>
                <w:szCs w:val="24"/>
              </w:rPr>
              <w:t xml:space="preserve"> iznākuma rādītāja</w:t>
            </w:r>
            <w:r w:rsidR="00FB3D8B" w:rsidRPr="00600B68">
              <w:rPr>
                <w:rFonts w:eastAsiaTheme="minorEastAsia"/>
                <w:sz w:val="24"/>
                <w:szCs w:val="24"/>
              </w:rPr>
              <w:t> </w:t>
            </w:r>
            <w:r w:rsidRPr="00600B68">
              <w:rPr>
                <w:rFonts w:eastAsiaTheme="minorEastAsia"/>
                <w:sz w:val="24"/>
                <w:szCs w:val="24"/>
              </w:rPr>
              <w:t>"</w:t>
            </w:r>
            <w:r w:rsidR="00FB3D8B" w:rsidRPr="00600B68">
              <w:rPr>
                <w:rFonts w:eastAsiaTheme="minorEastAsia"/>
                <w:sz w:val="24"/>
                <w:szCs w:val="24"/>
              </w:rPr>
              <w:t>jauno</w:t>
            </w:r>
            <w:r w:rsidRPr="00600B68">
              <w:rPr>
                <w:rFonts w:eastAsiaTheme="minorEastAsia"/>
                <w:sz w:val="24"/>
                <w:szCs w:val="24"/>
              </w:rPr>
              <w:t xml:space="preserve"> pētnieku skaits atbalstītajās vienībās" sasniegšanas periodu (MK noteikumu 2.10.</w:t>
            </w:r>
            <w:r w:rsidRPr="00600B68">
              <w:rPr>
                <w:rFonts w:eastAsiaTheme="minorEastAsia"/>
                <w:sz w:val="24"/>
                <w:szCs w:val="24"/>
                <w:vertAlign w:val="superscript"/>
              </w:rPr>
              <w:t>1</w:t>
            </w:r>
            <w:r w:rsidRPr="00600B68">
              <w:rPr>
                <w:rFonts w:eastAsiaTheme="minorEastAsia"/>
                <w:sz w:val="24"/>
                <w:szCs w:val="24"/>
              </w:rPr>
              <w:t> apakšpunkts);</w:t>
            </w:r>
          </w:p>
          <w:p w14:paraId="7086494D" w14:textId="4EB36BA4" w:rsidR="00C635A7" w:rsidRPr="00600B68" w:rsidRDefault="00C635A7" w:rsidP="007213EE">
            <w:pPr>
              <w:pStyle w:val="ListParagraph"/>
              <w:numPr>
                <w:ilvl w:val="0"/>
                <w:numId w:val="20"/>
              </w:numPr>
              <w:spacing w:before="60" w:after="60"/>
              <w:ind w:right="102"/>
              <w:jc w:val="both"/>
              <w:rPr>
                <w:rFonts w:eastAsiaTheme="minorEastAsia"/>
                <w:sz w:val="24"/>
                <w:szCs w:val="24"/>
              </w:rPr>
            </w:pPr>
            <w:r w:rsidRPr="00600B68">
              <w:rPr>
                <w:rFonts w:eastAsiaTheme="minorEastAsia"/>
                <w:sz w:val="24"/>
                <w:szCs w:val="24"/>
              </w:rPr>
              <w:t xml:space="preserve">precizēt terminu "zinātniskā institūcija", ievērojot Zinātniskās darbības likuma (ZDL) 1.panta pirmās daļas 7. </w:t>
            </w:r>
            <w:r w:rsidR="000F3637" w:rsidRPr="00600B68">
              <w:rPr>
                <w:rFonts w:eastAsiaTheme="minorEastAsia"/>
                <w:sz w:val="24"/>
                <w:szCs w:val="24"/>
              </w:rPr>
              <w:t xml:space="preserve">punkta, </w:t>
            </w:r>
            <w:r w:rsidRPr="00600B68">
              <w:rPr>
                <w:rFonts w:eastAsiaTheme="minorEastAsia"/>
                <w:sz w:val="24"/>
                <w:szCs w:val="24"/>
              </w:rPr>
              <w:t>21. panta otrās daļas un Eiropas Savienības struktūrfondu un Kohēzijas fonda 2014.—2020.gada plānošanas perioda vadības likuma 1. panta 4. punkta nosacījumus (MK noteikumu 2.29. apakšpunkts)</w:t>
            </w:r>
            <w:r w:rsidR="007213EE">
              <w:rPr>
                <w:rFonts w:eastAsiaTheme="minorEastAsia"/>
                <w:sz w:val="24"/>
                <w:szCs w:val="24"/>
              </w:rPr>
              <w:t xml:space="preserve">. Tādējādi </w:t>
            </w:r>
            <w:r w:rsidR="007213EE" w:rsidRPr="007213EE">
              <w:rPr>
                <w:rFonts w:eastAsiaTheme="minorEastAsia"/>
                <w:sz w:val="24"/>
                <w:szCs w:val="24"/>
              </w:rPr>
              <w:t xml:space="preserve">MK noteikumu 2.29. apakšpunktā sniegta </w:t>
            </w:r>
            <w:r w:rsidR="007213EE">
              <w:rPr>
                <w:rFonts w:eastAsiaTheme="minorEastAsia"/>
                <w:sz w:val="24"/>
                <w:szCs w:val="24"/>
              </w:rPr>
              <w:t xml:space="preserve">viennozīmīga </w:t>
            </w:r>
            <w:r w:rsidR="007213EE" w:rsidRPr="007213EE">
              <w:rPr>
                <w:rFonts w:eastAsiaTheme="minorEastAsia"/>
                <w:sz w:val="24"/>
                <w:szCs w:val="24"/>
              </w:rPr>
              <w:t>norāde, ka MK noteikumu kontekstā zinātniskā institūcija (t.sk. projekta iesniedzējs) ir juridiska persona, nevis juridiskas personas struktūrvienība, piem., zinātniskais institūt</w:t>
            </w:r>
            <w:r w:rsidR="004F4DF8">
              <w:rPr>
                <w:rFonts w:eastAsiaTheme="minorEastAsia"/>
                <w:sz w:val="24"/>
                <w:szCs w:val="24"/>
              </w:rPr>
              <w:t>s – augstskolas struktūrvienība</w:t>
            </w:r>
            <w:r w:rsidRPr="00600B68">
              <w:rPr>
                <w:rFonts w:eastAsiaTheme="minorEastAsia"/>
                <w:sz w:val="24"/>
                <w:szCs w:val="24"/>
              </w:rPr>
              <w:t>;</w:t>
            </w:r>
          </w:p>
          <w:p w14:paraId="4EE38613" w14:textId="5C31F0AC" w:rsidR="00275A46" w:rsidRPr="00600B68" w:rsidRDefault="00850B98" w:rsidP="00C635A7">
            <w:pPr>
              <w:pStyle w:val="ListParagraph"/>
              <w:numPr>
                <w:ilvl w:val="0"/>
                <w:numId w:val="20"/>
              </w:numPr>
              <w:spacing w:before="60" w:after="60"/>
              <w:ind w:right="102"/>
              <w:jc w:val="both"/>
              <w:rPr>
                <w:rFonts w:eastAsiaTheme="minorEastAsia"/>
                <w:sz w:val="24"/>
                <w:szCs w:val="24"/>
              </w:rPr>
            </w:pPr>
            <w:r w:rsidRPr="00600B68">
              <w:rPr>
                <w:rFonts w:eastAsiaTheme="minorEastAsia"/>
                <w:sz w:val="24"/>
                <w:szCs w:val="24"/>
              </w:rPr>
              <w:t xml:space="preserve">savstarpēji </w:t>
            </w:r>
            <w:r w:rsidR="000F3637" w:rsidRPr="00600B68">
              <w:rPr>
                <w:rFonts w:eastAsiaTheme="minorEastAsia"/>
                <w:sz w:val="24"/>
                <w:szCs w:val="24"/>
              </w:rPr>
              <w:t xml:space="preserve">salāgot </w:t>
            </w:r>
            <w:r w:rsidRPr="00600B68">
              <w:rPr>
                <w:rFonts w:eastAsiaTheme="minorEastAsia"/>
                <w:sz w:val="24"/>
                <w:szCs w:val="24"/>
              </w:rPr>
              <w:t>MK noteikumos iekļautās normas</w:t>
            </w:r>
            <w:r w:rsidR="00275A46" w:rsidRPr="00600B68">
              <w:rPr>
                <w:rFonts w:eastAsiaTheme="minorEastAsia"/>
                <w:sz w:val="24"/>
                <w:szCs w:val="24"/>
              </w:rPr>
              <w:t>, tai skaitā:</w:t>
            </w:r>
          </w:p>
          <w:p w14:paraId="2ADE6AB6" w14:textId="3A7FCA93" w:rsidR="00275A46" w:rsidRPr="00600B68" w:rsidRDefault="00850B98" w:rsidP="00275A46">
            <w:pPr>
              <w:pStyle w:val="ListParagraph"/>
              <w:numPr>
                <w:ilvl w:val="1"/>
                <w:numId w:val="20"/>
              </w:numPr>
              <w:spacing w:before="60" w:after="60"/>
              <w:ind w:right="102"/>
              <w:jc w:val="both"/>
              <w:rPr>
                <w:rFonts w:eastAsiaTheme="minorEastAsia"/>
                <w:sz w:val="24"/>
                <w:szCs w:val="24"/>
              </w:rPr>
            </w:pPr>
            <w:r w:rsidRPr="00600B68">
              <w:rPr>
                <w:rFonts w:eastAsiaTheme="minorEastAsia"/>
                <w:sz w:val="24"/>
                <w:szCs w:val="24"/>
              </w:rPr>
              <w:lastRenderedPageBreak/>
              <w:t xml:space="preserve"> </w:t>
            </w:r>
            <w:r w:rsidR="00275A46" w:rsidRPr="00600B68">
              <w:rPr>
                <w:rFonts w:eastAsiaTheme="minorEastAsia"/>
                <w:sz w:val="24"/>
                <w:szCs w:val="24"/>
              </w:rPr>
              <w:t>28.4. apakšpunk</w:t>
            </w:r>
            <w:r w:rsidR="00A179BA" w:rsidRPr="00600B68">
              <w:rPr>
                <w:rFonts w:eastAsiaTheme="minorEastAsia"/>
                <w:sz w:val="24"/>
                <w:szCs w:val="24"/>
              </w:rPr>
              <w:t>t</w:t>
            </w:r>
            <w:r w:rsidR="00275A46" w:rsidRPr="00600B68">
              <w:rPr>
                <w:rFonts w:eastAsiaTheme="minorEastAsia"/>
                <w:sz w:val="24"/>
                <w:szCs w:val="24"/>
              </w:rPr>
              <w:t>s papildināts ar atsauci uz saistīto 20.</w:t>
            </w:r>
            <w:r w:rsidR="00275A46" w:rsidRPr="00600B68">
              <w:rPr>
                <w:rFonts w:eastAsiaTheme="minorEastAsia"/>
                <w:sz w:val="24"/>
                <w:szCs w:val="24"/>
                <w:vertAlign w:val="superscript"/>
              </w:rPr>
              <w:t>1</w:t>
            </w:r>
            <w:r w:rsidR="00275A46" w:rsidRPr="00600B68">
              <w:rPr>
                <w:rFonts w:eastAsiaTheme="minorEastAsia"/>
                <w:sz w:val="24"/>
                <w:szCs w:val="24"/>
              </w:rPr>
              <w:t> punktu;</w:t>
            </w:r>
          </w:p>
          <w:p w14:paraId="613D0978" w14:textId="741192E8" w:rsidR="00275A46" w:rsidRPr="00600B68" w:rsidRDefault="00850B98" w:rsidP="00275A46">
            <w:pPr>
              <w:pStyle w:val="ListParagraph"/>
              <w:numPr>
                <w:ilvl w:val="1"/>
                <w:numId w:val="20"/>
              </w:numPr>
              <w:spacing w:before="60" w:after="60"/>
              <w:ind w:right="102"/>
              <w:jc w:val="both"/>
              <w:rPr>
                <w:rFonts w:eastAsiaTheme="minorEastAsia"/>
                <w:sz w:val="24"/>
                <w:szCs w:val="24"/>
              </w:rPr>
            </w:pPr>
            <w:r w:rsidRPr="00600B68">
              <w:rPr>
                <w:rFonts w:eastAsiaTheme="minorEastAsia"/>
                <w:sz w:val="24"/>
                <w:szCs w:val="24"/>
              </w:rPr>
              <w:t>34.2.2. apakšpunkt</w:t>
            </w:r>
            <w:r w:rsidR="00275A46" w:rsidRPr="00600B68">
              <w:rPr>
                <w:rFonts w:eastAsiaTheme="minorEastAsia"/>
                <w:sz w:val="24"/>
                <w:szCs w:val="24"/>
              </w:rPr>
              <w:t>a norma salāgota ar 35. punkt</w:t>
            </w:r>
            <w:r w:rsidR="004F4DF8">
              <w:rPr>
                <w:rFonts w:eastAsiaTheme="minorEastAsia"/>
                <w:sz w:val="24"/>
                <w:szCs w:val="24"/>
              </w:rPr>
              <w:t>a nosacījumiem</w:t>
            </w:r>
            <w:r w:rsidR="00275A46" w:rsidRPr="00600B68">
              <w:rPr>
                <w:rFonts w:eastAsiaTheme="minorEastAsia"/>
                <w:sz w:val="24"/>
                <w:szCs w:val="24"/>
              </w:rPr>
              <w:t>;</w:t>
            </w:r>
          </w:p>
          <w:p w14:paraId="761DD47E" w14:textId="44C3C075" w:rsidR="00A179BA" w:rsidRPr="00600B68" w:rsidRDefault="00B000A1" w:rsidP="00275A46">
            <w:pPr>
              <w:pStyle w:val="ListParagraph"/>
              <w:numPr>
                <w:ilvl w:val="1"/>
                <w:numId w:val="20"/>
              </w:numPr>
              <w:spacing w:before="60" w:after="60"/>
              <w:ind w:right="102"/>
              <w:jc w:val="both"/>
              <w:rPr>
                <w:rFonts w:eastAsiaTheme="minorEastAsia"/>
                <w:sz w:val="24"/>
                <w:szCs w:val="24"/>
              </w:rPr>
            </w:pPr>
            <w:r w:rsidRPr="00600B68">
              <w:rPr>
                <w:rFonts w:eastAsiaTheme="minorEastAsia"/>
                <w:sz w:val="24"/>
                <w:szCs w:val="24"/>
              </w:rPr>
              <w:t xml:space="preserve">3. pielikuma tabula papildināta ar 3. piezīmi, ievērojot </w:t>
            </w:r>
            <w:r w:rsidR="00A179BA" w:rsidRPr="00600B68">
              <w:rPr>
                <w:rFonts w:eastAsiaTheme="minorEastAsia"/>
                <w:sz w:val="24"/>
                <w:szCs w:val="24"/>
              </w:rPr>
              <w:t>8.2. apak</w:t>
            </w:r>
            <w:r w:rsidRPr="00600B68">
              <w:rPr>
                <w:rFonts w:eastAsiaTheme="minorEastAsia"/>
                <w:sz w:val="24"/>
                <w:szCs w:val="24"/>
              </w:rPr>
              <w:t>špunkta nosacījumus</w:t>
            </w:r>
            <w:r w:rsidR="00A179BA" w:rsidRPr="00600B68">
              <w:rPr>
                <w:rFonts w:eastAsiaTheme="minorEastAsia"/>
                <w:sz w:val="24"/>
                <w:szCs w:val="24"/>
              </w:rPr>
              <w:t>;</w:t>
            </w:r>
          </w:p>
          <w:p w14:paraId="0CEE065F" w14:textId="17C958CB" w:rsidR="00A179BA" w:rsidRPr="00600B68" w:rsidRDefault="00830676" w:rsidP="00275A46">
            <w:pPr>
              <w:pStyle w:val="ListParagraph"/>
              <w:numPr>
                <w:ilvl w:val="1"/>
                <w:numId w:val="20"/>
              </w:numPr>
              <w:spacing w:before="60" w:after="60"/>
              <w:ind w:right="102"/>
              <w:jc w:val="both"/>
              <w:rPr>
                <w:rFonts w:eastAsiaTheme="minorEastAsia"/>
                <w:sz w:val="24"/>
                <w:szCs w:val="24"/>
              </w:rPr>
            </w:pPr>
            <w:r w:rsidRPr="00600B68">
              <w:rPr>
                <w:rFonts w:eastAsiaTheme="minorEastAsia"/>
                <w:sz w:val="24"/>
                <w:szCs w:val="24"/>
              </w:rPr>
              <w:t xml:space="preserve">MK noteikumi papildināti ar 34.3. apakšpunktu, nodrošinot atbilstību ar 36.11. apakšpunktu. </w:t>
            </w:r>
          </w:p>
          <w:p w14:paraId="59DDC2DF" w14:textId="1E02F1AE" w:rsidR="00D4587A" w:rsidRPr="00600B68" w:rsidRDefault="0041580B" w:rsidP="00D4587A">
            <w:pPr>
              <w:pStyle w:val="ListParagraph"/>
              <w:numPr>
                <w:ilvl w:val="0"/>
                <w:numId w:val="20"/>
              </w:numPr>
              <w:spacing w:before="60" w:after="60"/>
              <w:ind w:right="102"/>
              <w:jc w:val="both"/>
              <w:rPr>
                <w:rFonts w:eastAsiaTheme="minorEastAsia"/>
                <w:sz w:val="24"/>
                <w:szCs w:val="24"/>
              </w:rPr>
            </w:pPr>
            <w:r w:rsidRPr="00600B68">
              <w:rPr>
                <w:rFonts w:eastAsiaTheme="minorEastAsia"/>
                <w:sz w:val="24"/>
                <w:szCs w:val="24"/>
              </w:rPr>
              <w:t xml:space="preserve">noteikt, ka ieguldījuma natūrā procentuālā ierobežojuma atbilstību pārbauda un absolūtu skaitļu pozīcijā fiksē sadarbības iestāde, apstiprinot projekta iesniegumu. Normu nepieciešams piemērot, ja </w:t>
            </w:r>
            <w:r w:rsidR="00384728" w:rsidRPr="00600B68">
              <w:rPr>
                <w:rFonts w:eastAsiaTheme="minorEastAsia"/>
                <w:sz w:val="24"/>
                <w:szCs w:val="24"/>
              </w:rPr>
              <w:t xml:space="preserve">projekta īstenošanas laikā samazinās projekta kopējais attiecināmais finansējums izmaksu pozīcijās, kas nav saistītas ar ieguldījumiem natūrā, kā rezultātā palielinās ieguldījumu natūrā kopējais procentuālais apmērs, lai arī ieguldījumi natūrā absolūtos skaitļos nav mainījušies </w:t>
            </w:r>
            <w:r w:rsidR="00D4587A" w:rsidRPr="00600B68">
              <w:rPr>
                <w:rFonts w:eastAsiaTheme="minorEastAsia"/>
                <w:sz w:val="24"/>
                <w:szCs w:val="24"/>
              </w:rPr>
              <w:t>(MK noteikumu 30.1.2. apakšpunkts);</w:t>
            </w:r>
          </w:p>
          <w:p w14:paraId="459CC103" w14:textId="300BEB5D" w:rsidR="00F71640" w:rsidRPr="00600B68" w:rsidRDefault="00830676" w:rsidP="00C635A7">
            <w:pPr>
              <w:pStyle w:val="ListParagraph"/>
              <w:numPr>
                <w:ilvl w:val="0"/>
                <w:numId w:val="20"/>
              </w:numPr>
              <w:spacing w:before="60" w:after="60"/>
              <w:ind w:right="102"/>
              <w:jc w:val="both"/>
              <w:rPr>
                <w:rFonts w:eastAsiaTheme="minorEastAsia"/>
                <w:sz w:val="24"/>
                <w:szCs w:val="24"/>
              </w:rPr>
            </w:pPr>
            <w:r w:rsidRPr="00600B68">
              <w:rPr>
                <w:rFonts w:eastAsiaTheme="minorEastAsia"/>
                <w:sz w:val="24"/>
                <w:szCs w:val="24"/>
              </w:rPr>
              <w:t xml:space="preserve">precizēt </w:t>
            </w:r>
            <w:r w:rsidR="00850B98" w:rsidRPr="00600B68">
              <w:rPr>
                <w:rFonts w:eastAsiaTheme="minorEastAsia"/>
                <w:sz w:val="24"/>
                <w:szCs w:val="24"/>
              </w:rPr>
              <w:t>MK noteikumu 36.11. apakšpunkt</w:t>
            </w:r>
            <w:r w:rsidRPr="00600B68">
              <w:rPr>
                <w:rFonts w:eastAsiaTheme="minorEastAsia"/>
                <w:sz w:val="24"/>
                <w:szCs w:val="24"/>
              </w:rPr>
              <w:t>s</w:t>
            </w:r>
            <w:r w:rsidR="00850B98" w:rsidRPr="00600B68">
              <w:rPr>
                <w:rFonts w:eastAsiaTheme="minorEastAsia"/>
                <w:sz w:val="24"/>
                <w:szCs w:val="24"/>
              </w:rPr>
              <w:t>, nodrošin</w:t>
            </w:r>
            <w:r w:rsidRPr="00600B68">
              <w:rPr>
                <w:rFonts w:eastAsiaTheme="minorEastAsia"/>
                <w:sz w:val="24"/>
                <w:szCs w:val="24"/>
              </w:rPr>
              <w:t>ot</w:t>
            </w:r>
            <w:r w:rsidR="00850B98" w:rsidRPr="00600B68">
              <w:rPr>
                <w:rFonts w:eastAsiaTheme="minorEastAsia"/>
                <w:sz w:val="24"/>
                <w:szCs w:val="24"/>
              </w:rPr>
              <w:t xml:space="preserve"> atbilstību </w:t>
            </w:r>
            <w:r w:rsidRPr="00600B68">
              <w:rPr>
                <w:rFonts w:eastAsiaTheme="minorEastAsia"/>
                <w:sz w:val="24"/>
                <w:szCs w:val="24"/>
              </w:rPr>
              <w:t xml:space="preserve">ar </w:t>
            </w:r>
            <w:r w:rsidR="00850B98" w:rsidRPr="00600B68">
              <w:rPr>
                <w:rFonts w:eastAsiaTheme="minorEastAsia"/>
                <w:sz w:val="24"/>
                <w:szCs w:val="24"/>
              </w:rPr>
              <w:t>Vadlīnijām attiecināmo un neattiecināmo izmaksu noteikšanai 2014.-2020. gada plānošanas periodā</w:t>
            </w:r>
            <w:r w:rsidR="00F71640" w:rsidRPr="00600B68">
              <w:rPr>
                <w:rFonts w:eastAsiaTheme="minorEastAsia"/>
                <w:sz w:val="24"/>
                <w:szCs w:val="24"/>
              </w:rPr>
              <w:t>;</w:t>
            </w:r>
          </w:p>
          <w:p w14:paraId="7A82DC07" w14:textId="24F90C50" w:rsidR="007A5090" w:rsidRPr="00600B68" w:rsidRDefault="00671043" w:rsidP="00671043">
            <w:pPr>
              <w:pStyle w:val="ListParagraph"/>
              <w:numPr>
                <w:ilvl w:val="0"/>
                <w:numId w:val="20"/>
              </w:numPr>
              <w:spacing w:before="60" w:after="60"/>
              <w:ind w:right="102"/>
              <w:jc w:val="both"/>
              <w:rPr>
                <w:rFonts w:eastAsiaTheme="minorEastAsia"/>
                <w:sz w:val="24"/>
                <w:szCs w:val="24"/>
              </w:rPr>
            </w:pPr>
            <w:r w:rsidRPr="00600B68">
              <w:rPr>
                <w:rFonts w:eastAsiaTheme="minorEastAsia"/>
                <w:sz w:val="24"/>
                <w:szCs w:val="24"/>
              </w:rPr>
              <w:t xml:space="preserve">precizēt projekta </w:t>
            </w:r>
            <w:proofErr w:type="spellStart"/>
            <w:r w:rsidRPr="00600B68">
              <w:rPr>
                <w:rFonts w:eastAsiaTheme="minorEastAsia"/>
                <w:sz w:val="24"/>
                <w:szCs w:val="24"/>
              </w:rPr>
              <w:t>vidusposma</w:t>
            </w:r>
            <w:proofErr w:type="spellEnd"/>
            <w:r w:rsidRPr="00600B68">
              <w:rPr>
                <w:rFonts w:eastAsiaTheme="minorEastAsia"/>
                <w:sz w:val="24"/>
                <w:szCs w:val="24"/>
              </w:rPr>
              <w:t xml:space="preserve"> rezultātu </w:t>
            </w:r>
            <w:proofErr w:type="spellStart"/>
            <w:r w:rsidRPr="00600B68">
              <w:rPr>
                <w:rFonts w:eastAsiaTheme="minorEastAsia"/>
                <w:sz w:val="24"/>
                <w:szCs w:val="24"/>
              </w:rPr>
              <w:t>izvērtējuma</w:t>
            </w:r>
            <w:proofErr w:type="spellEnd"/>
            <w:r w:rsidRPr="00600B68">
              <w:rPr>
                <w:rFonts w:eastAsiaTheme="minorEastAsia"/>
                <w:sz w:val="24"/>
                <w:szCs w:val="24"/>
              </w:rPr>
              <w:t xml:space="preserve"> kārtību, </w:t>
            </w:r>
            <w:r w:rsidR="00384728" w:rsidRPr="00600B68">
              <w:rPr>
                <w:rFonts w:eastAsiaTheme="minorEastAsia"/>
                <w:sz w:val="24"/>
                <w:szCs w:val="24"/>
              </w:rPr>
              <w:t xml:space="preserve">ņemot vērā pirmajā projektu iesniegumu atlases </w:t>
            </w:r>
            <w:proofErr w:type="spellStart"/>
            <w:r w:rsidR="00384728" w:rsidRPr="00600B68">
              <w:rPr>
                <w:rFonts w:eastAsiaTheme="minorEastAsia"/>
                <w:sz w:val="24"/>
                <w:szCs w:val="24"/>
              </w:rPr>
              <w:t>kārtrā</w:t>
            </w:r>
            <w:proofErr w:type="spellEnd"/>
            <w:r w:rsidR="00384728" w:rsidRPr="00600B68">
              <w:rPr>
                <w:rFonts w:eastAsiaTheme="minorEastAsia"/>
                <w:sz w:val="24"/>
                <w:szCs w:val="24"/>
              </w:rPr>
              <w:t xml:space="preserve"> gūto pieredzi, tai skaitā paredzot</w:t>
            </w:r>
            <w:r w:rsidRPr="00600B68">
              <w:rPr>
                <w:rFonts w:eastAsiaTheme="minorEastAsia"/>
                <w:sz w:val="24"/>
                <w:szCs w:val="24"/>
              </w:rPr>
              <w:t xml:space="preserve">, ka </w:t>
            </w:r>
            <w:r w:rsidR="007A5090" w:rsidRPr="00600B68">
              <w:rPr>
                <w:rFonts w:eastAsiaTheme="minorEastAsia"/>
                <w:sz w:val="24"/>
                <w:szCs w:val="24"/>
              </w:rPr>
              <w:t xml:space="preserve">projektiem, kuru īstenošanas termiņš nepārsniedz 12 mēnešus (tostarp ieskaitot darbības, kas īstenotas pirms vienošanās vai līguma noslēgšanas), netiek veikts </w:t>
            </w:r>
            <w:proofErr w:type="spellStart"/>
            <w:r w:rsidR="007A5090" w:rsidRPr="00600B68">
              <w:rPr>
                <w:rFonts w:eastAsiaTheme="minorEastAsia"/>
                <w:sz w:val="24"/>
                <w:szCs w:val="24"/>
              </w:rPr>
              <w:t>vidusposma</w:t>
            </w:r>
            <w:proofErr w:type="spellEnd"/>
            <w:r w:rsidR="007A5090" w:rsidRPr="00600B68">
              <w:rPr>
                <w:rFonts w:eastAsiaTheme="minorEastAsia"/>
                <w:sz w:val="24"/>
                <w:szCs w:val="24"/>
              </w:rPr>
              <w:t xml:space="preserve"> rezultātu zinātniskās kvalitātes </w:t>
            </w:r>
            <w:proofErr w:type="spellStart"/>
            <w:r w:rsidR="007A5090" w:rsidRPr="00600B68">
              <w:rPr>
                <w:rFonts w:eastAsiaTheme="minorEastAsia"/>
                <w:sz w:val="24"/>
                <w:szCs w:val="24"/>
              </w:rPr>
              <w:t>izvērtējums</w:t>
            </w:r>
            <w:proofErr w:type="spellEnd"/>
            <w:r w:rsidRPr="00600B68">
              <w:rPr>
                <w:rFonts w:eastAsiaTheme="minorEastAsia"/>
                <w:sz w:val="24"/>
                <w:szCs w:val="24"/>
              </w:rPr>
              <w:t xml:space="preserve"> (MK noteikumu 64. punkt</w:t>
            </w:r>
            <w:r w:rsidR="00830676" w:rsidRPr="00600B68">
              <w:rPr>
                <w:rFonts w:eastAsiaTheme="minorEastAsia"/>
                <w:sz w:val="24"/>
                <w:szCs w:val="24"/>
              </w:rPr>
              <w:t>a ievaddaļa un 64.3. apakšpunkts</w:t>
            </w:r>
            <w:r w:rsidRPr="00600B68">
              <w:rPr>
                <w:rFonts w:eastAsiaTheme="minorEastAsia"/>
                <w:sz w:val="24"/>
                <w:szCs w:val="24"/>
              </w:rPr>
              <w:t>);</w:t>
            </w:r>
          </w:p>
          <w:p w14:paraId="5BD2A94A" w14:textId="77777777" w:rsidR="006D146B" w:rsidRPr="00600B68" w:rsidRDefault="006D146B" w:rsidP="006D146B">
            <w:pPr>
              <w:pStyle w:val="ListParagraph"/>
              <w:numPr>
                <w:ilvl w:val="0"/>
                <w:numId w:val="20"/>
              </w:numPr>
              <w:spacing w:before="60" w:after="60"/>
              <w:ind w:right="102"/>
              <w:jc w:val="both"/>
              <w:rPr>
                <w:rFonts w:eastAsiaTheme="minorEastAsia"/>
                <w:sz w:val="24"/>
                <w:szCs w:val="24"/>
              </w:rPr>
            </w:pPr>
            <w:r w:rsidRPr="00600B68">
              <w:rPr>
                <w:rFonts w:eastAsiaTheme="minorEastAsia"/>
                <w:sz w:val="24"/>
                <w:szCs w:val="24"/>
              </w:rPr>
              <w:t>skaidrot terminu "jauno zinātnieku skaits (pilnas slodzes ekvivalents), kuri projekta ietvaros pilnveidojuši kompetenci, ieskaitot karjeras izaugsmes un personāla atjaunotnes procesus" (1.</w:t>
            </w:r>
            <w:r w:rsidRPr="00600B68">
              <w:rPr>
                <w:rFonts w:eastAsiaTheme="minorEastAsia"/>
                <w:sz w:val="24"/>
                <w:szCs w:val="24"/>
                <w:vertAlign w:val="superscript"/>
              </w:rPr>
              <w:t>1</w:t>
            </w:r>
            <w:r w:rsidRPr="00600B68">
              <w:rPr>
                <w:rFonts w:eastAsiaTheme="minorEastAsia"/>
                <w:sz w:val="24"/>
                <w:szCs w:val="24"/>
              </w:rPr>
              <w:t xml:space="preserve"> pielikuma </w:t>
            </w:r>
            <w:r w:rsidRPr="00600B68">
              <w:rPr>
                <w:rFonts w:eastAsiaTheme="minorEastAsia"/>
                <w:sz w:val="24"/>
                <w:szCs w:val="24"/>
                <w:vertAlign w:val="superscript"/>
              </w:rPr>
              <w:t>4</w:t>
            </w:r>
            <w:r w:rsidRPr="00600B68">
              <w:rPr>
                <w:rFonts w:eastAsiaTheme="minorEastAsia"/>
                <w:sz w:val="24"/>
                <w:szCs w:val="24"/>
              </w:rPr>
              <w:t xml:space="preserve"> piezīme);</w:t>
            </w:r>
          </w:p>
          <w:p w14:paraId="5B428C57" w14:textId="77777777" w:rsidR="00710DE1" w:rsidRPr="00600B68" w:rsidRDefault="00027BAD" w:rsidP="00027BAD">
            <w:pPr>
              <w:pStyle w:val="ListParagraph"/>
              <w:numPr>
                <w:ilvl w:val="0"/>
                <w:numId w:val="20"/>
              </w:numPr>
              <w:spacing w:before="60" w:after="60"/>
              <w:ind w:right="102"/>
              <w:jc w:val="both"/>
              <w:rPr>
                <w:rFonts w:eastAsiaTheme="minorEastAsia"/>
                <w:sz w:val="24"/>
                <w:szCs w:val="24"/>
              </w:rPr>
            </w:pPr>
            <w:r w:rsidRPr="00600B68">
              <w:rPr>
                <w:rFonts w:eastAsiaTheme="minorEastAsia"/>
                <w:sz w:val="24"/>
                <w:szCs w:val="24"/>
              </w:rPr>
              <w:t xml:space="preserve">papildināt 3. pielikuma tabulu ar 14. rindu, kurā sniedz pamatojumu publiskā finansējuma intensitātes palielinājumam atbilstoši Komisijas regulas Nr. 651/2014 25. panta 6. punkta </w:t>
            </w:r>
            <w:r w:rsidR="00710DE1" w:rsidRPr="00600B68">
              <w:rPr>
                <w:rFonts w:eastAsiaTheme="minorEastAsia"/>
                <w:sz w:val="24"/>
                <w:szCs w:val="24"/>
              </w:rPr>
              <w:t>"</w:t>
            </w:r>
            <w:r w:rsidRPr="00600B68">
              <w:rPr>
                <w:rFonts w:eastAsiaTheme="minorEastAsia"/>
                <w:sz w:val="24"/>
                <w:szCs w:val="24"/>
              </w:rPr>
              <w:t>b</w:t>
            </w:r>
            <w:r w:rsidR="00710DE1" w:rsidRPr="00600B68">
              <w:rPr>
                <w:rFonts w:eastAsiaTheme="minorEastAsia"/>
                <w:sz w:val="24"/>
                <w:szCs w:val="24"/>
              </w:rPr>
              <w:t>"</w:t>
            </w:r>
            <w:r w:rsidRPr="00600B68">
              <w:rPr>
                <w:rFonts w:eastAsiaTheme="minorEastAsia"/>
                <w:sz w:val="24"/>
                <w:szCs w:val="24"/>
              </w:rPr>
              <w:t xml:space="preserve"> apakšpunktam</w:t>
            </w:r>
            <w:r w:rsidR="00710DE1" w:rsidRPr="00600B68">
              <w:rPr>
                <w:rFonts w:eastAsiaTheme="minorEastAsia"/>
                <w:sz w:val="24"/>
                <w:szCs w:val="24"/>
              </w:rPr>
              <w:t>;</w:t>
            </w:r>
          </w:p>
          <w:p w14:paraId="3CE36412" w14:textId="1C464C0C" w:rsidR="007A5090" w:rsidRPr="00600B68" w:rsidRDefault="00710DE1" w:rsidP="00027BAD">
            <w:pPr>
              <w:pStyle w:val="ListParagraph"/>
              <w:numPr>
                <w:ilvl w:val="0"/>
                <w:numId w:val="20"/>
              </w:numPr>
              <w:spacing w:before="60" w:after="60"/>
              <w:ind w:right="102"/>
              <w:jc w:val="both"/>
              <w:rPr>
                <w:rFonts w:eastAsiaTheme="minorEastAsia"/>
                <w:sz w:val="24"/>
                <w:szCs w:val="24"/>
              </w:rPr>
            </w:pPr>
            <w:r w:rsidRPr="00600B68">
              <w:rPr>
                <w:rFonts w:eastAsiaTheme="minorEastAsia"/>
                <w:sz w:val="24"/>
                <w:szCs w:val="24"/>
              </w:rPr>
              <w:t>veikt tehnisk</w:t>
            </w:r>
            <w:r w:rsidR="00830676" w:rsidRPr="00600B68">
              <w:rPr>
                <w:rFonts w:eastAsiaTheme="minorEastAsia"/>
                <w:sz w:val="24"/>
                <w:szCs w:val="24"/>
              </w:rPr>
              <w:t>us</w:t>
            </w:r>
            <w:r w:rsidRPr="00600B68">
              <w:rPr>
                <w:rFonts w:eastAsiaTheme="minorEastAsia"/>
                <w:sz w:val="24"/>
                <w:szCs w:val="24"/>
              </w:rPr>
              <w:t xml:space="preserve"> precizējum</w:t>
            </w:r>
            <w:r w:rsidR="00830676" w:rsidRPr="00600B68">
              <w:rPr>
                <w:rFonts w:eastAsiaTheme="minorEastAsia"/>
                <w:sz w:val="24"/>
                <w:szCs w:val="24"/>
              </w:rPr>
              <w:t>us</w:t>
            </w:r>
            <w:r w:rsidRPr="00600B68">
              <w:rPr>
                <w:rFonts w:eastAsiaTheme="minorEastAsia"/>
                <w:sz w:val="24"/>
                <w:szCs w:val="24"/>
              </w:rPr>
              <w:t xml:space="preserve"> (MK noteikumu 2.3., 8.2.2. apakšpunkt</w:t>
            </w:r>
            <w:r w:rsidR="00830676" w:rsidRPr="00600B68">
              <w:rPr>
                <w:rFonts w:eastAsiaTheme="minorEastAsia"/>
                <w:sz w:val="24"/>
                <w:szCs w:val="24"/>
              </w:rPr>
              <w:t>a ievaddaļa</w:t>
            </w:r>
            <w:r w:rsidRPr="00600B68">
              <w:rPr>
                <w:rFonts w:eastAsiaTheme="minorEastAsia"/>
                <w:sz w:val="24"/>
                <w:szCs w:val="24"/>
              </w:rPr>
              <w:t>)</w:t>
            </w:r>
            <w:r w:rsidR="003930D5" w:rsidRPr="00600B68">
              <w:rPr>
                <w:rFonts w:eastAsiaTheme="minorEastAsia"/>
                <w:sz w:val="24"/>
                <w:szCs w:val="24"/>
              </w:rPr>
              <w:t>.</w:t>
            </w:r>
          </w:p>
          <w:p w14:paraId="6CFF584C" w14:textId="286D8625" w:rsidR="002532F9" w:rsidRPr="00600B68" w:rsidRDefault="003930D5" w:rsidP="003930D5">
            <w:pPr>
              <w:pStyle w:val="ListParagraph"/>
              <w:spacing w:before="60" w:after="60"/>
              <w:ind w:left="101" w:right="102"/>
              <w:jc w:val="both"/>
              <w:rPr>
                <w:rFonts w:eastAsiaTheme="minorEastAsia"/>
                <w:sz w:val="24"/>
                <w:szCs w:val="24"/>
              </w:rPr>
            </w:pPr>
            <w:r w:rsidRPr="00600B68">
              <w:rPr>
                <w:rFonts w:eastAsiaTheme="minorEastAsia"/>
                <w:sz w:val="24"/>
                <w:szCs w:val="24"/>
              </w:rPr>
              <w:t>MK noteikumu projekt</w:t>
            </w:r>
            <w:r w:rsidR="008A3DD6">
              <w:rPr>
                <w:rFonts w:eastAsiaTheme="minorEastAsia"/>
                <w:sz w:val="24"/>
                <w:szCs w:val="24"/>
              </w:rPr>
              <w:t xml:space="preserve">a </w:t>
            </w:r>
            <w:r w:rsidRPr="00600B68">
              <w:rPr>
                <w:rFonts w:eastAsiaTheme="minorEastAsia"/>
                <w:sz w:val="24"/>
                <w:szCs w:val="24"/>
              </w:rPr>
              <w:t xml:space="preserve">iekļauto normu aktualizācija veikta, ņemot vērā </w:t>
            </w:r>
            <w:r w:rsidR="00B31617" w:rsidRPr="00600B68">
              <w:rPr>
                <w:rFonts w:eastAsiaTheme="minorEastAsia"/>
                <w:sz w:val="24"/>
                <w:szCs w:val="24"/>
              </w:rPr>
              <w:t xml:space="preserve">projektu iesniegumu pirmajā atlases kārtā gūto pieredzi, </w:t>
            </w:r>
            <w:r w:rsidRPr="00600B68">
              <w:rPr>
                <w:rFonts w:eastAsiaTheme="minorEastAsia"/>
                <w:sz w:val="24"/>
                <w:szCs w:val="24"/>
              </w:rPr>
              <w:t>kas saistīta ar</w:t>
            </w:r>
            <w:r w:rsidR="008E626F" w:rsidRPr="00600B68">
              <w:rPr>
                <w:rFonts w:eastAsiaTheme="minorEastAsia"/>
                <w:sz w:val="24"/>
                <w:szCs w:val="24"/>
              </w:rPr>
              <w:t xml:space="preserve"> </w:t>
            </w:r>
            <w:r w:rsidR="00903B19" w:rsidRPr="00600B68">
              <w:rPr>
                <w:rFonts w:eastAsiaTheme="minorEastAsia"/>
                <w:sz w:val="24"/>
                <w:szCs w:val="24"/>
              </w:rPr>
              <w:t xml:space="preserve">projektu </w:t>
            </w:r>
            <w:r w:rsidRPr="00600B68">
              <w:rPr>
                <w:rFonts w:eastAsiaTheme="minorEastAsia"/>
                <w:sz w:val="24"/>
                <w:szCs w:val="24"/>
              </w:rPr>
              <w:t xml:space="preserve">vērtēšanas un </w:t>
            </w:r>
            <w:r w:rsidR="00903B19" w:rsidRPr="00600B68">
              <w:rPr>
                <w:rFonts w:eastAsiaTheme="minorEastAsia"/>
                <w:sz w:val="24"/>
                <w:szCs w:val="24"/>
              </w:rPr>
              <w:t xml:space="preserve">īstenošanas </w:t>
            </w:r>
            <w:r w:rsidR="008E626F" w:rsidRPr="00600B68">
              <w:rPr>
                <w:rFonts w:eastAsiaTheme="minorEastAsia"/>
                <w:sz w:val="24"/>
                <w:szCs w:val="24"/>
              </w:rPr>
              <w:t xml:space="preserve">uzraudzības procesa lietderību un </w:t>
            </w:r>
            <w:r w:rsidRPr="00600B68">
              <w:rPr>
                <w:rFonts w:eastAsiaTheme="minorEastAsia"/>
                <w:sz w:val="24"/>
                <w:szCs w:val="24"/>
              </w:rPr>
              <w:t xml:space="preserve">efektivitāti. </w:t>
            </w:r>
          </w:p>
          <w:p w14:paraId="1471DFBA" w14:textId="094454EC" w:rsidR="00D120EE" w:rsidRDefault="006679D1" w:rsidP="003930D5">
            <w:pPr>
              <w:pStyle w:val="ListParagraph"/>
              <w:spacing w:before="60" w:after="60"/>
              <w:ind w:left="101" w:right="102"/>
              <w:jc w:val="both"/>
              <w:rPr>
                <w:rFonts w:eastAsiaTheme="minorEastAsia"/>
                <w:sz w:val="24"/>
                <w:szCs w:val="24"/>
              </w:rPr>
            </w:pPr>
            <w:r w:rsidRPr="00600B68">
              <w:rPr>
                <w:rFonts w:eastAsiaTheme="minorEastAsia"/>
                <w:sz w:val="24"/>
                <w:szCs w:val="24"/>
              </w:rPr>
              <w:t xml:space="preserve">Noteikumu </w:t>
            </w:r>
            <w:r w:rsidR="00BE5F13" w:rsidRPr="00600B68">
              <w:rPr>
                <w:rFonts w:eastAsiaTheme="minorEastAsia"/>
                <w:sz w:val="24"/>
                <w:szCs w:val="24"/>
              </w:rPr>
              <w:t>projekt</w:t>
            </w:r>
            <w:r w:rsidR="008A3DD6">
              <w:rPr>
                <w:rFonts w:eastAsiaTheme="minorEastAsia"/>
                <w:sz w:val="24"/>
                <w:szCs w:val="24"/>
              </w:rPr>
              <w:t xml:space="preserve">a </w:t>
            </w:r>
            <w:r w:rsidR="008A3DD6">
              <w:rPr>
                <w:rFonts w:eastAsiaTheme="minorEastAsia"/>
                <w:sz w:val="24"/>
                <w:szCs w:val="24"/>
              </w:rPr>
              <w:t>1., 3., 4., 11., 12., 13., 14., 15., 16., 19., 20., 21. punktā</w:t>
            </w:r>
            <w:r w:rsidR="00BE5F13" w:rsidRPr="00600B68">
              <w:rPr>
                <w:rFonts w:eastAsiaTheme="minorEastAsia"/>
                <w:sz w:val="24"/>
                <w:szCs w:val="24"/>
              </w:rPr>
              <w:t xml:space="preserve"> ietvertie </w:t>
            </w:r>
            <w:r w:rsidR="003930D5" w:rsidRPr="00600B68">
              <w:rPr>
                <w:rFonts w:eastAsiaTheme="minorEastAsia"/>
                <w:sz w:val="24"/>
                <w:szCs w:val="24"/>
              </w:rPr>
              <w:t>nosacījumi</w:t>
            </w:r>
            <w:r w:rsidR="00A360A5" w:rsidRPr="00600B68">
              <w:rPr>
                <w:rFonts w:eastAsiaTheme="minorEastAsia"/>
                <w:sz w:val="24"/>
                <w:szCs w:val="24"/>
              </w:rPr>
              <w:t xml:space="preserve"> </w:t>
            </w:r>
            <w:r w:rsidR="004A2355" w:rsidRPr="00600B68">
              <w:rPr>
                <w:rFonts w:eastAsiaTheme="minorEastAsia"/>
                <w:sz w:val="24"/>
                <w:szCs w:val="24"/>
              </w:rPr>
              <w:t xml:space="preserve">no to spēkā stāšanās </w:t>
            </w:r>
            <w:r w:rsidR="003930D5" w:rsidRPr="00600B68">
              <w:rPr>
                <w:rFonts w:eastAsiaTheme="minorEastAsia"/>
                <w:sz w:val="24"/>
                <w:szCs w:val="24"/>
              </w:rPr>
              <w:t>dienas</w:t>
            </w:r>
            <w:r w:rsidR="004A2355" w:rsidRPr="00600B68">
              <w:rPr>
                <w:rFonts w:eastAsiaTheme="minorEastAsia"/>
                <w:sz w:val="24"/>
                <w:szCs w:val="24"/>
              </w:rPr>
              <w:t xml:space="preserve"> </w:t>
            </w:r>
            <w:r w:rsidR="00A360A5" w:rsidRPr="00600B68">
              <w:rPr>
                <w:rFonts w:eastAsiaTheme="minorEastAsia"/>
                <w:sz w:val="24"/>
                <w:szCs w:val="24"/>
              </w:rPr>
              <w:t>piemērojami</w:t>
            </w:r>
            <w:r w:rsidR="00BE5F13" w:rsidRPr="00600B68">
              <w:rPr>
                <w:rFonts w:eastAsiaTheme="minorEastAsia"/>
                <w:sz w:val="24"/>
                <w:szCs w:val="24"/>
              </w:rPr>
              <w:t xml:space="preserve"> visiem 1.1.1.1. pasākuma ietvaros īstenotajiem projektiem, </w:t>
            </w:r>
            <w:r w:rsidR="003930D5" w:rsidRPr="00600B68">
              <w:rPr>
                <w:rFonts w:eastAsiaTheme="minorEastAsia"/>
                <w:sz w:val="24"/>
                <w:szCs w:val="24"/>
              </w:rPr>
              <w:t>tai skaitā</w:t>
            </w:r>
            <w:r w:rsidR="00A360A5" w:rsidRPr="00600B68">
              <w:rPr>
                <w:rFonts w:eastAsiaTheme="minorEastAsia"/>
                <w:sz w:val="24"/>
                <w:szCs w:val="24"/>
              </w:rPr>
              <w:t xml:space="preserve"> </w:t>
            </w:r>
            <w:r w:rsidRPr="00600B68">
              <w:rPr>
                <w:rFonts w:eastAsiaTheme="minorEastAsia"/>
                <w:sz w:val="24"/>
                <w:szCs w:val="24"/>
              </w:rPr>
              <w:t xml:space="preserve">1.1.1.1. pasākuma </w:t>
            </w:r>
            <w:r w:rsidR="00A360A5" w:rsidRPr="00600B68">
              <w:rPr>
                <w:rFonts w:eastAsiaTheme="minorEastAsia"/>
                <w:sz w:val="24"/>
                <w:szCs w:val="24"/>
              </w:rPr>
              <w:t xml:space="preserve">pirmās </w:t>
            </w:r>
            <w:r w:rsidR="003930D5" w:rsidRPr="00600B68">
              <w:rPr>
                <w:rFonts w:eastAsiaTheme="minorEastAsia"/>
                <w:sz w:val="24"/>
                <w:szCs w:val="24"/>
              </w:rPr>
              <w:lastRenderedPageBreak/>
              <w:t xml:space="preserve">un otrās </w:t>
            </w:r>
            <w:r w:rsidR="00A360A5" w:rsidRPr="00600B68">
              <w:rPr>
                <w:rFonts w:eastAsiaTheme="minorEastAsia"/>
                <w:sz w:val="24"/>
                <w:szCs w:val="24"/>
              </w:rPr>
              <w:t>projektu iesniegumu atlases kārtas ietvaros</w:t>
            </w:r>
            <w:r w:rsidRPr="00600B68">
              <w:rPr>
                <w:rFonts w:eastAsiaTheme="minorEastAsia"/>
                <w:sz w:val="24"/>
                <w:szCs w:val="24"/>
              </w:rPr>
              <w:t xml:space="preserve"> </w:t>
            </w:r>
            <w:r w:rsidR="00A360A5" w:rsidRPr="00600B68">
              <w:rPr>
                <w:rFonts w:eastAsiaTheme="minorEastAsia"/>
                <w:sz w:val="24"/>
                <w:szCs w:val="24"/>
              </w:rPr>
              <w:t>īstenotajiem projektiem</w:t>
            </w:r>
            <w:r w:rsidR="003930D5" w:rsidRPr="00600B68">
              <w:rPr>
                <w:rFonts w:eastAsiaTheme="minorEastAsia"/>
                <w:sz w:val="24"/>
                <w:szCs w:val="24"/>
              </w:rPr>
              <w:t>.</w:t>
            </w:r>
          </w:p>
          <w:p w14:paraId="5D09B803" w14:textId="2EF36B5B" w:rsidR="00D120EE" w:rsidRPr="00600B68" w:rsidRDefault="00906145" w:rsidP="003930D5">
            <w:pPr>
              <w:pStyle w:val="ListParagraph"/>
              <w:spacing w:before="60" w:after="60"/>
              <w:ind w:left="101" w:right="102"/>
              <w:jc w:val="both"/>
              <w:rPr>
                <w:rFonts w:eastAsiaTheme="minorEastAsia"/>
                <w:sz w:val="24"/>
                <w:szCs w:val="24"/>
              </w:rPr>
            </w:pPr>
            <w:r w:rsidRPr="00600B68">
              <w:rPr>
                <w:rFonts w:eastAsiaTheme="minorEastAsia"/>
                <w:sz w:val="24"/>
                <w:szCs w:val="24"/>
              </w:rPr>
              <w:t xml:space="preserve">Noteikumu projektā ietvertais regulējums </w:t>
            </w:r>
            <w:r w:rsidR="00D120EE" w:rsidRPr="00600B68">
              <w:rPr>
                <w:rFonts w:eastAsiaTheme="minorEastAsia"/>
                <w:sz w:val="24"/>
                <w:szCs w:val="24"/>
              </w:rPr>
              <w:t>rada labvēlīgākus īstenošanas nosacījumus</w:t>
            </w:r>
            <w:r w:rsidR="00DF01B7" w:rsidRPr="00600B68">
              <w:rPr>
                <w:rFonts w:eastAsiaTheme="minorEastAsia"/>
                <w:sz w:val="24"/>
                <w:szCs w:val="24"/>
              </w:rPr>
              <w:t xml:space="preserve"> finansējuma saņēmējiem</w:t>
            </w:r>
            <w:r w:rsidR="00D120EE" w:rsidRPr="00600B68">
              <w:rPr>
                <w:rFonts w:eastAsiaTheme="minorEastAsia"/>
                <w:sz w:val="24"/>
                <w:szCs w:val="24"/>
              </w:rPr>
              <w:t xml:space="preserve">, </w:t>
            </w:r>
            <w:r w:rsidR="008A3DD6">
              <w:rPr>
                <w:rFonts w:eastAsiaTheme="minorEastAsia"/>
                <w:sz w:val="24"/>
                <w:szCs w:val="24"/>
              </w:rPr>
              <w:t xml:space="preserve">jo noteikumu projekts paredz </w:t>
            </w:r>
            <w:r w:rsidR="0082251E" w:rsidRPr="00600B68">
              <w:rPr>
                <w:rFonts w:eastAsiaTheme="minorEastAsia"/>
                <w:sz w:val="24"/>
                <w:szCs w:val="24"/>
              </w:rPr>
              <w:t xml:space="preserve">viennozīmīgi skaidri </w:t>
            </w:r>
            <w:r w:rsidR="008A3DD6">
              <w:rPr>
                <w:rFonts w:eastAsiaTheme="minorEastAsia"/>
                <w:sz w:val="24"/>
                <w:szCs w:val="24"/>
              </w:rPr>
              <w:t xml:space="preserve">definēt </w:t>
            </w:r>
            <w:r w:rsidR="0082251E" w:rsidRPr="00600B68">
              <w:rPr>
                <w:rFonts w:eastAsiaTheme="minorEastAsia"/>
                <w:sz w:val="24"/>
                <w:szCs w:val="24"/>
              </w:rPr>
              <w:t>projekta īstenošanas un uzraudzības nosacījumi, tai skaitā</w:t>
            </w:r>
            <w:r w:rsidR="00DF01B7" w:rsidRPr="00600B68">
              <w:rPr>
                <w:rFonts w:eastAsiaTheme="minorEastAsia"/>
                <w:sz w:val="24"/>
                <w:szCs w:val="24"/>
              </w:rPr>
              <w:t>:</w:t>
            </w:r>
            <w:r w:rsidR="00D120EE" w:rsidRPr="00600B68">
              <w:rPr>
                <w:rFonts w:eastAsiaTheme="minorEastAsia"/>
                <w:sz w:val="24"/>
                <w:szCs w:val="24"/>
              </w:rPr>
              <w:t xml:space="preserve"> </w:t>
            </w:r>
          </w:p>
          <w:p w14:paraId="1F417A00" w14:textId="1D05233F" w:rsidR="00D120EE" w:rsidRPr="00600B68" w:rsidRDefault="00DF01B7" w:rsidP="00DF01B7">
            <w:pPr>
              <w:pStyle w:val="Default"/>
              <w:numPr>
                <w:ilvl w:val="0"/>
                <w:numId w:val="18"/>
              </w:numPr>
              <w:jc w:val="both"/>
              <w:rPr>
                <w:rFonts w:eastAsiaTheme="minorEastAsia"/>
                <w:color w:val="auto"/>
              </w:rPr>
            </w:pPr>
            <w:r w:rsidRPr="00600B68">
              <w:rPr>
                <w:rFonts w:eastAsiaTheme="minorEastAsia"/>
                <w:color w:val="auto"/>
              </w:rPr>
              <w:t>gadījumos, ja projektā, kura īstenošanā kā līdzfinansējuma veids paredzēti ieguldījumi natūrā, izmaksu pozīcijā, kas nav saistīta ar ieguldījumiem natūrā, radušies izmaksu ietaupījumi vai konstat</w:t>
            </w:r>
            <w:r w:rsidR="00791266" w:rsidRPr="00600B68">
              <w:rPr>
                <w:rFonts w:eastAsiaTheme="minorEastAsia"/>
                <w:color w:val="auto"/>
              </w:rPr>
              <w:t>ētas</w:t>
            </w:r>
            <w:r w:rsidRPr="00600B68">
              <w:rPr>
                <w:rFonts w:eastAsiaTheme="minorEastAsia"/>
                <w:color w:val="auto"/>
              </w:rPr>
              <w:t xml:space="preserve"> neatbilstoši veiktas izmaksas, finansējuma saņēmējam tiek nodrošināts tiesiskās paļāvības princips attiecībā uz projekta īstenošanai nepieciešamo nacionālā līdzfinansējuma apmēru;</w:t>
            </w:r>
          </w:p>
          <w:p w14:paraId="208E4524" w14:textId="50070B8C" w:rsidR="0037076B" w:rsidRPr="00600B68" w:rsidRDefault="00791266" w:rsidP="00791266">
            <w:pPr>
              <w:pStyle w:val="Default"/>
              <w:numPr>
                <w:ilvl w:val="0"/>
                <w:numId w:val="18"/>
              </w:numPr>
              <w:jc w:val="both"/>
              <w:rPr>
                <w:rFonts w:eastAsiaTheme="minorEastAsia"/>
                <w:color w:val="auto"/>
              </w:rPr>
            </w:pPr>
            <w:r w:rsidRPr="00600B68">
              <w:rPr>
                <w:rFonts w:eastAsiaTheme="minorEastAsia"/>
                <w:color w:val="auto"/>
              </w:rPr>
              <w:t>finansējuma saņēmējiem</w:t>
            </w:r>
            <w:r w:rsidR="00DF01B7" w:rsidRPr="00600B68">
              <w:rPr>
                <w:rFonts w:eastAsiaTheme="minorEastAsia"/>
                <w:color w:val="auto"/>
              </w:rPr>
              <w:t>, kuru</w:t>
            </w:r>
            <w:r w:rsidRPr="00600B68">
              <w:rPr>
                <w:rFonts w:eastAsiaTheme="minorEastAsia"/>
                <w:color w:val="auto"/>
              </w:rPr>
              <w:t xml:space="preserve"> īstenoto projektu</w:t>
            </w:r>
            <w:r w:rsidR="00DF01B7" w:rsidRPr="00600B68">
              <w:rPr>
                <w:rFonts w:eastAsiaTheme="minorEastAsia"/>
                <w:color w:val="auto"/>
              </w:rPr>
              <w:t xml:space="preserve"> darbību īstenošanas termiņš nepārsniedz 12 mēnešus</w:t>
            </w:r>
            <w:r w:rsidRPr="00600B68">
              <w:rPr>
                <w:rFonts w:eastAsiaTheme="minorEastAsia"/>
                <w:color w:val="auto"/>
              </w:rPr>
              <w:t>,</w:t>
            </w:r>
            <w:r w:rsidR="00DF01B7" w:rsidRPr="00600B68">
              <w:rPr>
                <w:rFonts w:eastAsiaTheme="minorEastAsia"/>
                <w:color w:val="auto"/>
              </w:rPr>
              <w:t xml:space="preserve"> tiek samazināts administratīvais slogs projekta īstenošanas laikā, vienlaikus saglabājot zinātniskās kvalitātes uzraudzības procesa būtību un lietderību. </w:t>
            </w:r>
          </w:p>
        </w:tc>
      </w:tr>
      <w:tr w:rsidR="00600B68" w:rsidRPr="00600B68" w14:paraId="516B9E37" w14:textId="77777777" w:rsidTr="00530226">
        <w:tc>
          <w:tcPr>
            <w:tcW w:w="443" w:type="pct"/>
            <w:tcBorders>
              <w:top w:val="single" w:sz="4" w:space="0" w:color="auto"/>
              <w:left w:val="single" w:sz="4" w:space="0" w:color="auto"/>
              <w:bottom w:val="single" w:sz="4" w:space="0" w:color="auto"/>
              <w:right w:val="single" w:sz="4" w:space="0" w:color="auto"/>
            </w:tcBorders>
            <w:shd w:val="clear" w:color="auto" w:fill="auto"/>
          </w:tcPr>
          <w:p w14:paraId="33D2FF4B" w14:textId="743E8662" w:rsidR="00055596" w:rsidRPr="00600B68" w:rsidRDefault="00B650B7" w:rsidP="001351FC">
            <w:pPr>
              <w:jc w:val="center"/>
              <w:rPr>
                <w:lang w:eastAsia="en-US"/>
              </w:rPr>
            </w:pPr>
            <w:r w:rsidRPr="00600B68">
              <w:lastRenderedPageBreak/>
              <w:t>3.</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4098B43E" w14:textId="27C085DD" w:rsidR="00055596" w:rsidRPr="00600B68" w:rsidRDefault="00B650B7" w:rsidP="001351FC">
            <w:pPr>
              <w:rPr>
                <w:lang w:eastAsia="en-US"/>
              </w:rPr>
            </w:pPr>
            <w:r w:rsidRPr="00600B68">
              <w:t>Projekta izstrādē iesaistītās institūcijas</w:t>
            </w:r>
            <w:r w:rsidR="00742CA8" w:rsidRPr="00600B68">
              <w:t xml:space="preserve"> un publiskas personas kapitālsabiedrības</w:t>
            </w:r>
          </w:p>
        </w:tc>
        <w:tc>
          <w:tcPr>
            <w:tcW w:w="3495" w:type="pct"/>
            <w:tcBorders>
              <w:top w:val="single" w:sz="4" w:space="0" w:color="auto"/>
              <w:left w:val="single" w:sz="4" w:space="0" w:color="auto"/>
              <w:bottom w:val="single" w:sz="4" w:space="0" w:color="auto"/>
              <w:right w:val="single" w:sz="4" w:space="0" w:color="auto"/>
            </w:tcBorders>
            <w:shd w:val="clear" w:color="auto" w:fill="auto"/>
          </w:tcPr>
          <w:p w14:paraId="7A16A2AC" w14:textId="14DF902C" w:rsidR="00055596" w:rsidRPr="00600B68" w:rsidRDefault="00154ADC" w:rsidP="00E15EC6">
            <w:pPr>
              <w:ind w:left="66"/>
              <w:jc w:val="both"/>
              <w:rPr>
                <w:bCs/>
                <w:strike/>
              </w:rPr>
            </w:pPr>
            <w:r w:rsidRPr="00600B68">
              <w:rPr>
                <w:bCs/>
                <w:iCs/>
              </w:rPr>
              <w:t>Izglītības un zinātnes ministrija</w:t>
            </w:r>
          </w:p>
        </w:tc>
      </w:tr>
      <w:tr w:rsidR="00600B68" w:rsidRPr="00600B68" w14:paraId="67B406C4" w14:textId="77777777" w:rsidTr="00530226">
        <w:tc>
          <w:tcPr>
            <w:tcW w:w="443" w:type="pct"/>
            <w:tcBorders>
              <w:top w:val="single" w:sz="4" w:space="0" w:color="auto"/>
              <w:left w:val="single" w:sz="4" w:space="0" w:color="auto"/>
              <w:bottom w:val="single" w:sz="4" w:space="0" w:color="auto"/>
              <w:right w:val="single" w:sz="4" w:space="0" w:color="auto"/>
            </w:tcBorders>
            <w:shd w:val="clear" w:color="auto" w:fill="auto"/>
          </w:tcPr>
          <w:p w14:paraId="28A17607" w14:textId="77777777" w:rsidR="00055596" w:rsidRPr="00600B68" w:rsidRDefault="00B650B7" w:rsidP="001351FC">
            <w:pPr>
              <w:jc w:val="center"/>
              <w:rPr>
                <w:lang w:eastAsia="en-US"/>
              </w:rPr>
            </w:pPr>
            <w:r w:rsidRPr="00600B68">
              <w:t>4.</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5539C069" w14:textId="77777777" w:rsidR="00055596" w:rsidRPr="00600B68" w:rsidRDefault="00B650B7" w:rsidP="001351FC">
            <w:pPr>
              <w:rPr>
                <w:lang w:eastAsia="en-US"/>
              </w:rPr>
            </w:pPr>
            <w:r w:rsidRPr="00600B68">
              <w:t>Cita informācija</w:t>
            </w:r>
          </w:p>
        </w:tc>
        <w:tc>
          <w:tcPr>
            <w:tcW w:w="3495" w:type="pct"/>
            <w:tcBorders>
              <w:top w:val="single" w:sz="4" w:space="0" w:color="auto"/>
              <w:left w:val="single" w:sz="4" w:space="0" w:color="auto"/>
              <w:bottom w:val="single" w:sz="4" w:space="0" w:color="auto"/>
              <w:right w:val="single" w:sz="4" w:space="0" w:color="auto"/>
            </w:tcBorders>
            <w:shd w:val="clear" w:color="auto" w:fill="FFFFFF"/>
          </w:tcPr>
          <w:p w14:paraId="00B62B9E" w14:textId="1314BA4D" w:rsidR="00055596" w:rsidRPr="00600B68" w:rsidRDefault="00616CE1" w:rsidP="002B0E96">
            <w:pPr>
              <w:pStyle w:val="Default"/>
              <w:jc w:val="both"/>
              <w:rPr>
                <w:rFonts w:eastAsia="Times New Roman"/>
                <w:color w:val="auto"/>
                <w:lang w:bidi="lo-LA"/>
              </w:rPr>
            </w:pPr>
            <w:r w:rsidRPr="00600B68">
              <w:rPr>
                <w:bCs/>
                <w:color w:val="auto"/>
              </w:rPr>
              <w:t>Nav.</w:t>
            </w:r>
            <w:r w:rsidR="00B650B7" w:rsidRPr="00600B68">
              <w:rPr>
                <w:bCs/>
                <w:color w:val="auto"/>
              </w:rPr>
              <w:t xml:space="preserve"> </w:t>
            </w:r>
          </w:p>
        </w:tc>
      </w:tr>
    </w:tbl>
    <w:p w14:paraId="00747A27" w14:textId="28D70488" w:rsidR="000952B3" w:rsidRPr="00600B68" w:rsidRDefault="00176E94" w:rsidP="00176E94">
      <w:pPr>
        <w:tabs>
          <w:tab w:val="left" w:pos="7395"/>
        </w:tabs>
        <w:jc w:val="both"/>
      </w:pPr>
      <w:r w:rsidRPr="00600B6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400"/>
        <w:gridCol w:w="6265"/>
      </w:tblGrid>
      <w:tr w:rsidR="00600B68" w:rsidRPr="00600B68" w14:paraId="135CD9D9" w14:textId="77777777" w:rsidTr="009B606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F7EED28" w14:textId="77777777" w:rsidR="000952B3" w:rsidRPr="00600B68" w:rsidRDefault="00B650B7" w:rsidP="001351FC">
            <w:pPr>
              <w:pStyle w:val="ListParagraph"/>
              <w:tabs>
                <w:tab w:val="left" w:pos="2268"/>
                <w:tab w:val="left" w:pos="2410"/>
              </w:tabs>
              <w:ind w:left="1080"/>
              <w:jc w:val="center"/>
              <w:rPr>
                <w:b/>
                <w:sz w:val="24"/>
                <w:szCs w:val="24"/>
                <w:lang w:eastAsia="en-US"/>
              </w:rPr>
            </w:pPr>
            <w:r w:rsidRPr="00600B68">
              <w:rPr>
                <w:b/>
                <w:bCs/>
                <w:sz w:val="24"/>
                <w:szCs w:val="24"/>
              </w:rPr>
              <w:t>II. Tiesību akta projekta ietekme uz sabiedrību, tautsaimniecības attīstību un administratīvo slogu</w:t>
            </w:r>
          </w:p>
        </w:tc>
      </w:tr>
      <w:tr w:rsidR="00600B68" w:rsidRPr="00600B68" w14:paraId="30B0D353" w14:textId="77777777" w:rsidTr="009B6065">
        <w:tc>
          <w:tcPr>
            <w:tcW w:w="216" w:type="pct"/>
            <w:tcBorders>
              <w:top w:val="single" w:sz="4" w:space="0" w:color="auto"/>
              <w:left w:val="single" w:sz="4" w:space="0" w:color="auto"/>
              <w:bottom w:val="single" w:sz="4" w:space="0" w:color="auto"/>
              <w:right w:val="single" w:sz="4" w:space="0" w:color="auto"/>
            </w:tcBorders>
            <w:shd w:val="clear" w:color="auto" w:fill="auto"/>
            <w:hideMark/>
          </w:tcPr>
          <w:p w14:paraId="6C1E0F4A" w14:textId="77777777" w:rsidR="000952B3" w:rsidRPr="00600B68" w:rsidRDefault="00B650B7" w:rsidP="001351FC">
            <w:pPr>
              <w:jc w:val="center"/>
              <w:rPr>
                <w:lang w:eastAsia="en-US"/>
              </w:rPr>
            </w:pPr>
            <w:r w:rsidRPr="00600B68">
              <w:t>1.</w:t>
            </w:r>
          </w:p>
        </w:tc>
        <w:tc>
          <w:tcPr>
            <w:tcW w:w="1326" w:type="pct"/>
            <w:tcBorders>
              <w:top w:val="single" w:sz="4" w:space="0" w:color="auto"/>
              <w:left w:val="single" w:sz="4" w:space="0" w:color="auto"/>
              <w:bottom w:val="single" w:sz="4" w:space="0" w:color="auto"/>
              <w:right w:val="single" w:sz="4" w:space="0" w:color="auto"/>
            </w:tcBorders>
            <w:shd w:val="clear" w:color="auto" w:fill="auto"/>
            <w:hideMark/>
          </w:tcPr>
          <w:p w14:paraId="583D8DF1" w14:textId="77777777" w:rsidR="000952B3" w:rsidRPr="00600B68" w:rsidRDefault="00B650B7" w:rsidP="001351FC">
            <w:pPr>
              <w:rPr>
                <w:lang w:eastAsia="en-US"/>
              </w:rPr>
            </w:pPr>
            <w:r w:rsidRPr="00600B68">
              <w:t xml:space="preserve">Sabiedrības </w:t>
            </w:r>
            <w:proofErr w:type="spellStart"/>
            <w:r w:rsidRPr="00600B68">
              <w:t>mērķgrupas</w:t>
            </w:r>
            <w:proofErr w:type="spellEnd"/>
            <w:r w:rsidRPr="00600B68">
              <w:t>, kuras tiesiskais regulējums ietekmē vai varētu ietekmēt</w:t>
            </w:r>
          </w:p>
        </w:tc>
        <w:tc>
          <w:tcPr>
            <w:tcW w:w="3459" w:type="pct"/>
            <w:tcBorders>
              <w:top w:val="single" w:sz="4" w:space="0" w:color="auto"/>
              <w:left w:val="single" w:sz="4" w:space="0" w:color="auto"/>
              <w:bottom w:val="single" w:sz="4" w:space="0" w:color="auto"/>
              <w:right w:val="single" w:sz="4" w:space="0" w:color="auto"/>
            </w:tcBorders>
            <w:shd w:val="clear" w:color="auto" w:fill="auto"/>
            <w:vAlign w:val="center"/>
          </w:tcPr>
          <w:p w14:paraId="4C7B491E" w14:textId="7F08640E" w:rsidR="000952B3" w:rsidRPr="00600B68" w:rsidRDefault="00154ADC" w:rsidP="00DF01B7">
            <w:pPr>
              <w:shd w:val="clear" w:color="auto" w:fill="FFFFFF"/>
              <w:ind w:left="94" w:right="57"/>
              <w:jc w:val="both"/>
            </w:pPr>
            <w:r w:rsidRPr="00600B68">
              <w:t xml:space="preserve">Noteikumu projekta mērķa grupā ir </w:t>
            </w:r>
            <w:r w:rsidR="00796FD3" w:rsidRPr="00600B68">
              <w:t>zinātniskās institūcijas un Latvijas Republikas Komercreģistrā reģistrēti sīkie (mikro), mazie, vidējie vai lielie komersanti</w:t>
            </w:r>
            <w:r w:rsidR="000644ED" w:rsidRPr="00600B68">
              <w:t xml:space="preserve">, </w:t>
            </w:r>
            <w:r w:rsidR="006C27E2" w:rsidRPr="00600B68">
              <w:t>CFLA</w:t>
            </w:r>
            <w:r w:rsidR="000644ED" w:rsidRPr="00600B68">
              <w:t xml:space="preserve"> kā sadarbības iest</w:t>
            </w:r>
            <w:r w:rsidR="008E2B4B" w:rsidRPr="00600B68">
              <w:t>āde.</w:t>
            </w:r>
            <w:r w:rsidR="00796FD3" w:rsidRPr="00600B68">
              <w:t xml:space="preserve"> </w:t>
            </w:r>
          </w:p>
        </w:tc>
      </w:tr>
      <w:tr w:rsidR="00600B68" w:rsidRPr="00600B68" w14:paraId="3EBB70B5" w14:textId="77777777" w:rsidTr="009B6065">
        <w:tc>
          <w:tcPr>
            <w:tcW w:w="216" w:type="pct"/>
            <w:tcBorders>
              <w:top w:val="single" w:sz="4" w:space="0" w:color="auto"/>
              <w:left w:val="single" w:sz="4" w:space="0" w:color="auto"/>
              <w:bottom w:val="single" w:sz="4" w:space="0" w:color="auto"/>
              <w:right w:val="single" w:sz="4" w:space="0" w:color="auto"/>
            </w:tcBorders>
            <w:shd w:val="clear" w:color="auto" w:fill="auto"/>
          </w:tcPr>
          <w:p w14:paraId="0AA7DF50" w14:textId="77777777" w:rsidR="000952B3" w:rsidRPr="00600B68" w:rsidRDefault="00B650B7" w:rsidP="001351FC">
            <w:pPr>
              <w:jc w:val="center"/>
            </w:pPr>
            <w:r w:rsidRPr="00600B68">
              <w:t>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52EB077" w14:textId="77777777" w:rsidR="000952B3" w:rsidRPr="00600B68" w:rsidRDefault="00B650B7" w:rsidP="001351FC">
            <w:r w:rsidRPr="00600B68">
              <w:t>Tiesiskā regulējuma ietekme uz tautsaimniecību un administratīvo slogu</w:t>
            </w:r>
          </w:p>
        </w:tc>
        <w:tc>
          <w:tcPr>
            <w:tcW w:w="3459" w:type="pct"/>
            <w:tcBorders>
              <w:top w:val="single" w:sz="4" w:space="0" w:color="auto"/>
              <w:left w:val="single" w:sz="4" w:space="0" w:color="auto"/>
              <w:bottom w:val="single" w:sz="4" w:space="0" w:color="auto"/>
              <w:right w:val="single" w:sz="4" w:space="0" w:color="auto"/>
            </w:tcBorders>
            <w:shd w:val="clear" w:color="auto" w:fill="auto"/>
            <w:vAlign w:val="center"/>
          </w:tcPr>
          <w:p w14:paraId="34523083" w14:textId="1C95C566" w:rsidR="006B07D7" w:rsidRPr="00600B68" w:rsidRDefault="00717BF9" w:rsidP="00DF01B7">
            <w:pPr>
              <w:shd w:val="clear" w:color="auto" w:fill="FFFFFF"/>
              <w:ind w:left="94" w:right="57"/>
              <w:jc w:val="both"/>
            </w:pPr>
            <w:r w:rsidRPr="00600B68">
              <w:t>Ar noteikumu projektu</w:t>
            </w:r>
            <w:r w:rsidR="002F1D81" w:rsidRPr="00600B68">
              <w:t xml:space="preserve"> </w:t>
            </w:r>
            <w:r w:rsidRPr="00600B68">
              <w:t>tiek mazināts administratīvais slogs</w:t>
            </w:r>
            <w:r w:rsidR="006B07D7" w:rsidRPr="00600B68">
              <w:t>:</w:t>
            </w:r>
          </w:p>
          <w:p w14:paraId="684223FE" w14:textId="11523EA0" w:rsidR="006B07D7" w:rsidRPr="00600B68" w:rsidRDefault="006B07D7" w:rsidP="00DF01B7">
            <w:pPr>
              <w:shd w:val="clear" w:color="auto" w:fill="FFFFFF"/>
              <w:ind w:left="94" w:right="57"/>
              <w:jc w:val="both"/>
            </w:pPr>
            <w:r w:rsidRPr="00600B68">
              <w:t xml:space="preserve">- </w:t>
            </w:r>
            <w:r w:rsidR="000644ED" w:rsidRPr="00600B68">
              <w:t xml:space="preserve"> </w:t>
            </w:r>
            <w:r w:rsidRPr="00600B68">
              <w:t xml:space="preserve">finansējuma saņēmējiem, kuru projekta darbību īstenošanas termiņš nepārsniedz 12 mēnešus; </w:t>
            </w:r>
          </w:p>
          <w:p w14:paraId="4B34AC1B" w14:textId="78B1ED92" w:rsidR="000952B3" w:rsidRPr="00600B68" w:rsidRDefault="006B07D7" w:rsidP="00DF01B7">
            <w:pPr>
              <w:shd w:val="clear" w:color="auto" w:fill="FFFFFF"/>
              <w:ind w:left="94" w:right="57"/>
              <w:jc w:val="both"/>
              <w:rPr>
                <w:bCs/>
                <w:lang w:eastAsia="en-US"/>
              </w:rPr>
            </w:pPr>
            <w:r w:rsidRPr="00600B68">
              <w:t xml:space="preserve">- </w:t>
            </w:r>
            <w:r w:rsidR="006C27E2" w:rsidRPr="00600B68">
              <w:t>CFLA</w:t>
            </w:r>
            <w:r w:rsidR="000644ED" w:rsidRPr="00600B68">
              <w:t xml:space="preserve"> kā sadarbības iestādei, kas </w:t>
            </w:r>
            <w:r w:rsidR="00AB4574" w:rsidRPr="00600B68">
              <w:t xml:space="preserve">pārbauda un fiksē ieguldījumu natūrā vērtību absolūtu skaitļu izteiksmē un </w:t>
            </w:r>
            <w:r w:rsidR="000644ED" w:rsidRPr="00600B68">
              <w:t xml:space="preserve">veic projektu </w:t>
            </w:r>
            <w:proofErr w:type="spellStart"/>
            <w:r w:rsidR="000644ED" w:rsidRPr="00600B68">
              <w:t>vidusposma</w:t>
            </w:r>
            <w:proofErr w:type="spellEnd"/>
            <w:r w:rsidR="000644ED" w:rsidRPr="00600B68">
              <w:t xml:space="preserve"> rezultātu zinātniskās kvalitātes </w:t>
            </w:r>
            <w:proofErr w:type="spellStart"/>
            <w:r w:rsidR="000644ED" w:rsidRPr="00600B68">
              <w:t>izvērtējumu</w:t>
            </w:r>
            <w:proofErr w:type="spellEnd"/>
            <w:r w:rsidR="000644ED" w:rsidRPr="00600B68">
              <w:t>.</w:t>
            </w:r>
          </w:p>
        </w:tc>
      </w:tr>
      <w:tr w:rsidR="00600B68" w:rsidRPr="00600B68" w14:paraId="07A1EA65" w14:textId="77777777" w:rsidTr="009B6065">
        <w:tc>
          <w:tcPr>
            <w:tcW w:w="216" w:type="pct"/>
            <w:tcBorders>
              <w:top w:val="single" w:sz="4" w:space="0" w:color="auto"/>
              <w:left w:val="single" w:sz="4" w:space="0" w:color="auto"/>
              <w:bottom w:val="single" w:sz="4" w:space="0" w:color="auto"/>
              <w:right w:val="single" w:sz="4" w:space="0" w:color="auto"/>
            </w:tcBorders>
            <w:shd w:val="clear" w:color="auto" w:fill="auto"/>
          </w:tcPr>
          <w:p w14:paraId="37DFB4FC" w14:textId="1CD03428" w:rsidR="000952B3" w:rsidRPr="00600B68" w:rsidRDefault="00B650B7" w:rsidP="001351FC">
            <w:pPr>
              <w:jc w:val="center"/>
            </w:pPr>
            <w:r w:rsidRPr="00600B68">
              <w:t>3.</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C2EEA3C" w14:textId="77777777" w:rsidR="000952B3" w:rsidRPr="00600B68" w:rsidRDefault="00B650B7" w:rsidP="001351FC">
            <w:r w:rsidRPr="00600B68">
              <w:t>Administratīvo izmaksu monetārs novērtējums</w:t>
            </w:r>
          </w:p>
        </w:tc>
        <w:tc>
          <w:tcPr>
            <w:tcW w:w="3459" w:type="pct"/>
            <w:tcBorders>
              <w:top w:val="single" w:sz="4" w:space="0" w:color="auto"/>
              <w:left w:val="single" w:sz="4" w:space="0" w:color="auto"/>
              <w:bottom w:val="single" w:sz="4" w:space="0" w:color="auto"/>
              <w:right w:val="single" w:sz="4" w:space="0" w:color="auto"/>
            </w:tcBorders>
            <w:shd w:val="clear" w:color="auto" w:fill="auto"/>
            <w:vAlign w:val="center"/>
          </w:tcPr>
          <w:p w14:paraId="4EDCCC99" w14:textId="479A6C95" w:rsidR="000952B3" w:rsidRPr="00600B68" w:rsidRDefault="00154ADC" w:rsidP="00DF01B7">
            <w:pPr>
              <w:shd w:val="clear" w:color="auto" w:fill="FFFFFF"/>
              <w:ind w:left="94" w:right="57"/>
              <w:jc w:val="both"/>
              <w:rPr>
                <w:bCs/>
                <w:lang w:eastAsia="en-US"/>
              </w:rPr>
            </w:pPr>
            <w:r w:rsidRPr="00600B68">
              <w:t>Noteikumu projekta ietekme uz administratīvajām  izmaksām</w:t>
            </w:r>
            <w:r w:rsidR="000203E5" w:rsidRPr="00600B68">
              <w:t xml:space="preserve"> nepārsniedz </w:t>
            </w:r>
            <w:r w:rsidR="006B07D7" w:rsidRPr="00600B68">
              <w:t xml:space="preserve">Ministru kabineta 2009. gada 15. decembra instrukcijas Nr. 19 </w:t>
            </w:r>
            <w:r w:rsidR="006B07D7" w:rsidRPr="00600B68">
              <w:rPr>
                <w:bCs/>
              </w:rPr>
              <w:t>“</w:t>
            </w:r>
            <w:r w:rsidR="006B07D7" w:rsidRPr="00600B68">
              <w:t>Tiesību akta projekta sākotnējās ietekmes izvērtēšanas kārtība” 25. punktā noteikto administratīvo izmaksu monetārā novērtējuma slieksni</w:t>
            </w:r>
            <w:r w:rsidRPr="00600B68">
              <w:t>.</w:t>
            </w:r>
          </w:p>
        </w:tc>
      </w:tr>
      <w:tr w:rsidR="00600B68" w:rsidRPr="00600B68" w14:paraId="29EDAB30" w14:textId="77777777" w:rsidTr="009B6065">
        <w:tc>
          <w:tcPr>
            <w:tcW w:w="216" w:type="pct"/>
            <w:tcBorders>
              <w:top w:val="single" w:sz="4" w:space="0" w:color="auto"/>
              <w:left w:val="single" w:sz="4" w:space="0" w:color="auto"/>
              <w:bottom w:val="single" w:sz="4" w:space="0" w:color="auto"/>
              <w:right w:val="single" w:sz="4" w:space="0" w:color="auto"/>
            </w:tcBorders>
            <w:shd w:val="clear" w:color="auto" w:fill="auto"/>
          </w:tcPr>
          <w:p w14:paraId="69A9CBE0" w14:textId="77777777" w:rsidR="000952B3" w:rsidRPr="00600B68" w:rsidRDefault="00B650B7" w:rsidP="001351FC">
            <w:pPr>
              <w:jc w:val="center"/>
            </w:pPr>
            <w:r w:rsidRPr="00600B68">
              <w:t>4.</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1FF5081" w14:textId="77777777" w:rsidR="000952B3" w:rsidRPr="00600B68" w:rsidRDefault="00B650B7" w:rsidP="001351FC">
            <w:r w:rsidRPr="00600B68">
              <w:t>Atbilstības izmaksu monetārs novērtējums</w:t>
            </w:r>
          </w:p>
        </w:tc>
        <w:tc>
          <w:tcPr>
            <w:tcW w:w="3459" w:type="pct"/>
            <w:tcBorders>
              <w:top w:val="single" w:sz="4" w:space="0" w:color="auto"/>
              <w:left w:val="single" w:sz="4" w:space="0" w:color="auto"/>
              <w:bottom w:val="single" w:sz="4" w:space="0" w:color="auto"/>
              <w:right w:val="single" w:sz="4" w:space="0" w:color="auto"/>
            </w:tcBorders>
            <w:shd w:val="clear" w:color="auto" w:fill="auto"/>
            <w:vAlign w:val="center"/>
          </w:tcPr>
          <w:p w14:paraId="2AC02F92" w14:textId="36DFDC30" w:rsidR="000952B3" w:rsidRPr="00600B68" w:rsidRDefault="00154ADC" w:rsidP="00791266">
            <w:pPr>
              <w:shd w:val="clear" w:color="auto" w:fill="FFFFFF"/>
              <w:ind w:left="94" w:right="57"/>
              <w:jc w:val="both"/>
              <w:rPr>
                <w:bCs/>
                <w:lang w:eastAsia="en-US"/>
              </w:rPr>
            </w:pPr>
            <w:r w:rsidRPr="00600B68">
              <w:t>Noteikumu projektam nav ietekmes uz atbilstības izmaksām.</w:t>
            </w:r>
          </w:p>
        </w:tc>
      </w:tr>
      <w:tr w:rsidR="00600B68" w:rsidRPr="00600B68" w14:paraId="5109668B" w14:textId="77777777" w:rsidTr="009B6065">
        <w:tc>
          <w:tcPr>
            <w:tcW w:w="216" w:type="pct"/>
            <w:tcBorders>
              <w:top w:val="single" w:sz="4" w:space="0" w:color="auto"/>
              <w:left w:val="single" w:sz="4" w:space="0" w:color="auto"/>
              <w:bottom w:val="single" w:sz="4" w:space="0" w:color="auto"/>
              <w:right w:val="single" w:sz="4" w:space="0" w:color="auto"/>
            </w:tcBorders>
            <w:shd w:val="clear" w:color="auto" w:fill="auto"/>
          </w:tcPr>
          <w:p w14:paraId="1DCD1E4A" w14:textId="77777777" w:rsidR="000952B3" w:rsidRPr="00600B68" w:rsidRDefault="00B650B7" w:rsidP="001351FC">
            <w:pPr>
              <w:jc w:val="center"/>
            </w:pPr>
            <w:r w:rsidRPr="00600B68">
              <w:t>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10FCC28" w14:textId="77777777" w:rsidR="000952B3" w:rsidRPr="00600B68" w:rsidRDefault="00B650B7" w:rsidP="001351FC">
            <w:r w:rsidRPr="00600B68">
              <w:t>Cita informācija</w:t>
            </w:r>
          </w:p>
        </w:tc>
        <w:tc>
          <w:tcPr>
            <w:tcW w:w="3459" w:type="pct"/>
            <w:tcBorders>
              <w:top w:val="single" w:sz="4" w:space="0" w:color="auto"/>
              <w:left w:val="single" w:sz="4" w:space="0" w:color="auto"/>
              <w:bottom w:val="single" w:sz="4" w:space="0" w:color="auto"/>
              <w:right w:val="single" w:sz="4" w:space="0" w:color="auto"/>
            </w:tcBorders>
            <w:shd w:val="clear" w:color="auto" w:fill="auto"/>
            <w:vAlign w:val="center"/>
          </w:tcPr>
          <w:p w14:paraId="3617FB1D" w14:textId="77777777" w:rsidR="000952B3" w:rsidRPr="00600B68" w:rsidRDefault="00B650B7" w:rsidP="00791266">
            <w:pPr>
              <w:shd w:val="clear" w:color="auto" w:fill="FFFFFF"/>
              <w:ind w:left="94" w:right="57"/>
              <w:jc w:val="both"/>
              <w:rPr>
                <w:bCs/>
                <w:lang w:eastAsia="en-US"/>
              </w:rPr>
            </w:pPr>
            <w:r w:rsidRPr="00600B68">
              <w:t>Nav</w:t>
            </w:r>
            <w:r w:rsidR="00352BE9" w:rsidRPr="00600B68">
              <w:rPr>
                <w:bCs/>
                <w:lang w:eastAsia="en-US"/>
              </w:rPr>
              <w:t>.</w:t>
            </w:r>
          </w:p>
        </w:tc>
      </w:tr>
    </w:tbl>
    <w:p w14:paraId="70AFC89F" w14:textId="77777777" w:rsidR="004D2E35" w:rsidRPr="00600B68" w:rsidRDefault="004D2E35" w:rsidP="001351FC"/>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00B68" w:rsidRPr="00600B68" w14:paraId="6D88513B" w14:textId="77777777" w:rsidTr="009B6065">
        <w:trPr>
          <w:trHeight w:val="3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AF5622" w14:textId="77777777" w:rsidR="006109C0" w:rsidRPr="00600B68" w:rsidRDefault="006109C0" w:rsidP="006B07D7">
            <w:pPr>
              <w:pStyle w:val="ListParagraph"/>
              <w:tabs>
                <w:tab w:val="left" w:pos="317"/>
              </w:tabs>
              <w:ind w:left="0"/>
              <w:jc w:val="center"/>
              <w:rPr>
                <w:bCs/>
                <w:sz w:val="24"/>
                <w:szCs w:val="24"/>
                <w:lang w:eastAsia="en-US"/>
              </w:rPr>
            </w:pPr>
            <w:r w:rsidRPr="00600B68">
              <w:rPr>
                <w:b/>
                <w:bCs/>
                <w:sz w:val="24"/>
                <w:szCs w:val="24"/>
                <w:lang w:eastAsia="ja-JP"/>
              </w:rPr>
              <w:t>III. Tiesību akta projekta ietekme uz valsts budžetu un pašvaldību budžetiem</w:t>
            </w:r>
          </w:p>
        </w:tc>
      </w:tr>
      <w:tr w:rsidR="00600B68" w:rsidRPr="00600B68" w14:paraId="3F4D29F3" w14:textId="77777777" w:rsidTr="009B6065">
        <w:trPr>
          <w:trHeight w:val="3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BD040A7" w14:textId="56C9E7B0" w:rsidR="00742CA8" w:rsidRPr="00600B68" w:rsidRDefault="00742CA8" w:rsidP="006B07D7">
            <w:pPr>
              <w:pStyle w:val="ListParagraph"/>
              <w:tabs>
                <w:tab w:val="left" w:pos="317"/>
              </w:tabs>
              <w:ind w:left="0"/>
              <w:jc w:val="center"/>
              <w:rPr>
                <w:b/>
                <w:bCs/>
                <w:sz w:val="24"/>
                <w:szCs w:val="24"/>
                <w:lang w:eastAsia="ja-JP"/>
              </w:rPr>
            </w:pPr>
            <w:r w:rsidRPr="00600B68">
              <w:rPr>
                <w:iCs/>
                <w:sz w:val="24"/>
                <w:szCs w:val="24"/>
              </w:rPr>
              <w:t>Noteikumu projekts šo jomu neskar.</w:t>
            </w:r>
          </w:p>
        </w:tc>
      </w:tr>
    </w:tbl>
    <w:p w14:paraId="11BB16CE" w14:textId="77777777" w:rsidR="000952B3" w:rsidRPr="00600B68" w:rsidRDefault="000952B3" w:rsidP="001351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061"/>
      </w:tblGrid>
      <w:tr w:rsidR="008A3DD6" w:rsidRPr="00600B68" w14:paraId="37DA99DA" w14:textId="77777777" w:rsidTr="008A3DD6">
        <w:trPr>
          <w:trHeight w:val="375"/>
        </w:trPr>
        <w:tc>
          <w:tcPr>
            <w:tcW w:w="5000" w:type="pct"/>
          </w:tcPr>
          <w:p w14:paraId="73E51EC6" w14:textId="3EE78C78" w:rsidR="008A3DD6" w:rsidRPr="00600B68" w:rsidRDefault="008A3DD6" w:rsidP="00782421">
            <w:pPr>
              <w:ind w:firstLine="300"/>
              <w:jc w:val="center"/>
              <w:rPr>
                <w:rFonts w:eastAsia="Times New Roman"/>
                <w:b/>
                <w:bCs/>
              </w:rPr>
            </w:pPr>
            <w:r w:rsidRPr="00600B68">
              <w:rPr>
                <w:b/>
              </w:rPr>
              <w:t>IV.</w:t>
            </w:r>
            <w:r w:rsidRPr="00600B68">
              <w:t xml:space="preserve"> </w:t>
            </w:r>
            <w:r w:rsidRPr="00600B68">
              <w:rPr>
                <w:b/>
              </w:rPr>
              <w:t>Tiesību akta projekta ietekme uz spēkā esošo tiesību normu sistēmu</w:t>
            </w:r>
          </w:p>
        </w:tc>
      </w:tr>
      <w:tr w:rsidR="008A3DD6" w:rsidRPr="00600B68" w14:paraId="4BBAEFD7" w14:textId="77777777" w:rsidTr="008A3DD6">
        <w:tc>
          <w:tcPr>
            <w:tcW w:w="5000" w:type="pct"/>
          </w:tcPr>
          <w:p w14:paraId="491F2AD4" w14:textId="4FD2D8C6" w:rsidR="008A3DD6" w:rsidRPr="00600B68" w:rsidRDefault="008A3DD6" w:rsidP="008A3DD6">
            <w:pPr>
              <w:jc w:val="center"/>
            </w:pPr>
            <w:r w:rsidRPr="00600B68">
              <w:rPr>
                <w:iCs/>
              </w:rPr>
              <w:t>Noteikumu projekts šo jomu neskar.</w:t>
            </w:r>
          </w:p>
        </w:tc>
      </w:tr>
    </w:tbl>
    <w:p w14:paraId="6DE1DA1E" w14:textId="77777777" w:rsidR="00B000A1" w:rsidRPr="00600B68" w:rsidRDefault="00B000A1" w:rsidP="00AB4574">
      <w:pPr>
        <w:rPr>
          <w:rFonts w:eastAsia="Times New Roman"/>
          <w:sz w:val="26"/>
          <w:szCs w:val="26"/>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732"/>
        <w:gridCol w:w="1971"/>
        <w:gridCol w:w="6403"/>
      </w:tblGrid>
      <w:tr w:rsidR="00600B68" w:rsidRPr="00600B68" w14:paraId="08EBC5E3" w14:textId="77777777" w:rsidTr="00B30CB5">
        <w:trPr>
          <w:trHeight w:val="375"/>
        </w:trPr>
        <w:tc>
          <w:tcPr>
            <w:tcW w:w="0" w:type="auto"/>
            <w:gridSpan w:val="3"/>
            <w:vAlign w:val="center"/>
            <w:hideMark/>
          </w:tcPr>
          <w:p w14:paraId="1392FC75" w14:textId="77777777" w:rsidR="00AB4574" w:rsidRPr="00600B68" w:rsidRDefault="00AB4574" w:rsidP="00B30CB5">
            <w:pPr>
              <w:ind w:firstLine="300"/>
              <w:jc w:val="center"/>
              <w:rPr>
                <w:rFonts w:eastAsia="Times New Roman"/>
                <w:b/>
                <w:bCs/>
              </w:rPr>
            </w:pPr>
            <w:r w:rsidRPr="00600B68">
              <w:rPr>
                <w:rFonts w:eastAsia="Times New Roman"/>
                <w:b/>
                <w:bCs/>
              </w:rPr>
              <w:t>V. Tiesību akta projekta atbilstība Latvijas Republikas starptautiskajām saistībām</w:t>
            </w:r>
          </w:p>
        </w:tc>
      </w:tr>
      <w:tr w:rsidR="00600B68" w:rsidRPr="00600B68" w14:paraId="11910149" w14:textId="77777777" w:rsidTr="00B30CB5">
        <w:tc>
          <w:tcPr>
            <w:tcW w:w="402" w:type="pct"/>
            <w:hideMark/>
          </w:tcPr>
          <w:p w14:paraId="58133D7A" w14:textId="77777777" w:rsidR="00AB4574" w:rsidRPr="00600B68" w:rsidRDefault="00AB4574" w:rsidP="00B30CB5">
            <w:pPr>
              <w:rPr>
                <w:rFonts w:eastAsia="Times New Roman"/>
              </w:rPr>
            </w:pPr>
            <w:r w:rsidRPr="00600B68">
              <w:rPr>
                <w:rFonts w:eastAsia="Times New Roman"/>
              </w:rPr>
              <w:t>1.</w:t>
            </w:r>
          </w:p>
        </w:tc>
        <w:tc>
          <w:tcPr>
            <w:tcW w:w="1082" w:type="pct"/>
            <w:hideMark/>
          </w:tcPr>
          <w:p w14:paraId="752A4B02" w14:textId="77777777" w:rsidR="00AB4574" w:rsidRPr="00600B68" w:rsidRDefault="00AB4574" w:rsidP="00B30CB5">
            <w:pPr>
              <w:jc w:val="both"/>
              <w:rPr>
                <w:rFonts w:eastAsia="Times New Roman"/>
              </w:rPr>
            </w:pPr>
            <w:r w:rsidRPr="00600B68">
              <w:rPr>
                <w:rFonts w:eastAsia="Times New Roman"/>
              </w:rPr>
              <w:t>Saistības pret Eiropas Savienību</w:t>
            </w:r>
          </w:p>
        </w:tc>
        <w:tc>
          <w:tcPr>
            <w:tcW w:w="3515" w:type="pct"/>
            <w:hideMark/>
          </w:tcPr>
          <w:p w14:paraId="728C75D2" w14:textId="77777777" w:rsidR="00AB4574" w:rsidRPr="00600B68" w:rsidRDefault="00AB4574" w:rsidP="00B30CB5">
            <w:pPr>
              <w:spacing w:before="10"/>
              <w:ind w:right="113"/>
              <w:jc w:val="both"/>
              <w:rPr>
                <w:rFonts w:eastAsia="Times New Roman"/>
              </w:rPr>
            </w:pPr>
            <w:r w:rsidRPr="00600B68">
              <w:rPr>
                <w:rFonts w:eastAsia="Times New Roman"/>
              </w:rPr>
              <w:t>Eiropas Komisijas 2014. gada 17. jūnija Regulas Nr. 651/2014, ar ko noteiktas atbalsta kategorijas atzīst par saderīgām ar iekšējo tirgu, piemērojot Līguma 107. un 108. pantu (turpmāk – Komisijas regula Nr. 651/2014).</w:t>
            </w:r>
          </w:p>
        </w:tc>
      </w:tr>
      <w:tr w:rsidR="00600B68" w:rsidRPr="00600B68" w14:paraId="3F759626" w14:textId="77777777" w:rsidTr="00B30CB5">
        <w:tc>
          <w:tcPr>
            <w:tcW w:w="402" w:type="pct"/>
            <w:hideMark/>
          </w:tcPr>
          <w:p w14:paraId="02EB1B13" w14:textId="77777777" w:rsidR="00AB4574" w:rsidRPr="00600B68" w:rsidRDefault="00AB4574" w:rsidP="00B30CB5">
            <w:pPr>
              <w:rPr>
                <w:rFonts w:eastAsia="Times New Roman"/>
              </w:rPr>
            </w:pPr>
            <w:r w:rsidRPr="00600B68">
              <w:rPr>
                <w:rFonts w:eastAsia="Times New Roman"/>
              </w:rPr>
              <w:t>2.</w:t>
            </w:r>
          </w:p>
        </w:tc>
        <w:tc>
          <w:tcPr>
            <w:tcW w:w="1082" w:type="pct"/>
            <w:hideMark/>
          </w:tcPr>
          <w:p w14:paraId="107A5B4E" w14:textId="77777777" w:rsidR="00AB4574" w:rsidRPr="00600B68" w:rsidRDefault="00AB4574" w:rsidP="00B30CB5">
            <w:pPr>
              <w:jc w:val="both"/>
              <w:rPr>
                <w:rFonts w:eastAsia="Times New Roman"/>
              </w:rPr>
            </w:pPr>
            <w:r w:rsidRPr="00600B68">
              <w:rPr>
                <w:rFonts w:eastAsia="Times New Roman"/>
              </w:rPr>
              <w:t>Citas starptautiskās saistības</w:t>
            </w:r>
          </w:p>
        </w:tc>
        <w:tc>
          <w:tcPr>
            <w:tcW w:w="3515" w:type="pct"/>
            <w:hideMark/>
          </w:tcPr>
          <w:p w14:paraId="410D8A0B" w14:textId="77777777" w:rsidR="00AB4574" w:rsidRPr="00600B68" w:rsidRDefault="00AB4574" w:rsidP="00B30CB5">
            <w:pPr>
              <w:jc w:val="both"/>
              <w:rPr>
                <w:rFonts w:eastAsia="Times New Roman"/>
              </w:rPr>
            </w:pPr>
            <w:r w:rsidRPr="00600B68">
              <w:rPr>
                <w:rFonts w:eastAsia="Times New Roman"/>
              </w:rPr>
              <w:t>Noteikumu projekts šo jomu neskar.</w:t>
            </w:r>
          </w:p>
        </w:tc>
      </w:tr>
      <w:tr w:rsidR="00600B68" w:rsidRPr="00600B68" w14:paraId="6F374AD8" w14:textId="77777777" w:rsidTr="00B30CB5">
        <w:tc>
          <w:tcPr>
            <w:tcW w:w="402" w:type="pct"/>
            <w:hideMark/>
          </w:tcPr>
          <w:p w14:paraId="1D0DF497" w14:textId="77777777" w:rsidR="00AB4574" w:rsidRPr="00600B68" w:rsidRDefault="00AB4574" w:rsidP="00B30CB5">
            <w:pPr>
              <w:rPr>
                <w:rFonts w:eastAsia="Times New Roman"/>
              </w:rPr>
            </w:pPr>
            <w:r w:rsidRPr="00600B68">
              <w:rPr>
                <w:rFonts w:eastAsia="Times New Roman"/>
              </w:rPr>
              <w:t>3.</w:t>
            </w:r>
          </w:p>
        </w:tc>
        <w:tc>
          <w:tcPr>
            <w:tcW w:w="1082" w:type="pct"/>
            <w:hideMark/>
          </w:tcPr>
          <w:p w14:paraId="3B6D14F4" w14:textId="77777777" w:rsidR="00AB4574" w:rsidRPr="00600B68" w:rsidRDefault="00AB4574" w:rsidP="00B30CB5">
            <w:pPr>
              <w:jc w:val="both"/>
              <w:rPr>
                <w:rFonts w:eastAsia="Times New Roman"/>
              </w:rPr>
            </w:pPr>
            <w:r w:rsidRPr="00600B68">
              <w:rPr>
                <w:rFonts w:eastAsia="Times New Roman"/>
              </w:rPr>
              <w:t>Cita informācija</w:t>
            </w:r>
          </w:p>
        </w:tc>
        <w:tc>
          <w:tcPr>
            <w:tcW w:w="3515" w:type="pct"/>
            <w:hideMark/>
          </w:tcPr>
          <w:p w14:paraId="62C9B525" w14:textId="77777777" w:rsidR="00AB4574" w:rsidRPr="00600B68" w:rsidRDefault="00AB4574" w:rsidP="00B30CB5">
            <w:r w:rsidRPr="00600B68">
              <w:t>Nav</w:t>
            </w:r>
          </w:p>
        </w:tc>
      </w:tr>
    </w:tbl>
    <w:p w14:paraId="373F2AB8" w14:textId="77777777" w:rsidR="00AB4574" w:rsidRPr="00600B68" w:rsidRDefault="00AB4574" w:rsidP="00AB4574">
      <w:pPr>
        <w:rPr>
          <w:sz w:val="26"/>
          <w:szCs w:val="26"/>
        </w:rPr>
      </w:pPr>
    </w:p>
    <w:tbl>
      <w:tblPr>
        <w:tblW w:w="921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755"/>
        <w:gridCol w:w="2126"/>
        <w:gridCol w:w="2020"/>
        <w:gridCol w:w="2316"/>
      </w:tblGrid>
      <w:tr w:rsidR="00600B68" w:rsidRPr="00600B68" w14:paraId="4EFFDDB2" w14:textId="77777777" w:rsidTr="00B30CB5">
        <w:tc>
          <w:tcPr>
            <w:tcW w:w="9217" w:type="dxa"/>
            <w:gridSpan w:val="4"/>
            <w:vAlign w:val="center"/>
            <w:hideMark/>
          </w:tcPr>
          <w:p w14:paraId="0D569E34" w14:textId="77777777" w:rsidR="00AB4574" w:rsidRPr="00600B68" w:rsidRDefault="00AB4574" w:rsidP="00B30CB5">
            <w:pPr>
              <w:jc w:val="center"/>
              <w:rPr>
                <w:rFonts w:eastAsia="Times New Roman"/>
                <w:b/>
                <w:bCs/>
              </w:rPr>
            </w:pPr>
            <w:r w:rsidRPr="00600B68">
              <w:rPr>
                <w:rFonts w:eastAsia="Times New Roman"/>
                <w:b/>
                <w:bCs/>
              </w:rPr>
              <w:t>1.tabula</w:t>
            </w:r>
            <w:r w:rsidRPr="00600B68">
              <w:rPr>
                <w:rFonts w:eastAsia="Times New Roman"/>
                <w:b/>
                <w:bCs/>
              </w:rPr>
              <w:br/>
              <w:t>Tiesību akta projekta atbilstība ES tiesību aktiem</w:t>
            </w:r>
          </w:p>
        </w:tc>
      </w:tr>
      <w:tr w:rsidR="00600B68" w:rsidRPr="00600B68" w14:paraId="47883F64" w14:textId="77777777" w:rsidTr="00B30CB5">
        <w:tc>
          <w:tcPr>
            <w:tcW w:w="2755" w:type="dxa"/>
            <w:vAlign w:val="center"/>
            <w:hideMark/>
          </w:tcPr>
          <w:p w14:paraId="48E8E754" w14:textId="77777777" w:rsidR="00AB4574" w:rsidRPr="00600B68" w:rsidRDefault="00AB4574" w:rsidP="00B30CB5">
            <w:pPr>
              <w:jc w:val="both"/>
              <w:rPr>
                <w:rFonts w:eastAsia="Times New Roman"/>
              </w:rPr>
            </w:pPr>
            <w:r w:rsidRPr="00600B68">
              <w:rPr>
                <w:rFonts w:eastAsia="Times New Roman"/>
              </w:rPr>
              <w:t>Attiecīgā ES tiesību akta datums, numurs un nosaukums</w:t>
            </w:r>
          </w:p>
        </w:tc>
        <w:tc>
          <w:tcPr>
            <w:tcW w:w="6462" w:type="dxa"/>
            <w:gridSpan w:val="3"/>
            <w:vAlign w:val="center"/>
            <w:hideMark/>
          </w:tcPr>
          <w:p w14:paraId="29FF7069" w14:textId="77777777" w:rsidR="00AB4574" w:rsidRPr="00600B68" w:rsidRDefault="00AB4574" w:rsidP="00B30CB5">
            <w:pPr>
              <w:spacing w:before="10"/>
              <w:ind w:right="113"/>
              <w:jc w:val="both"/>
            </w:pPr>
            <w:r w:rsidRPr="00600B68">
              <w:rPr>
                <w:rFonts w:eastAsia="Times New Roman"/>
              </w:rPr>
              <w:t>Komisijas regula Nr. 651/2014</w:t>
            </w:r>
          </w:p>
        </w:tc>
      </w:tr>
      <w:tr w:rsidR="00600B68" w:rsidRPr="00600B68" w14:paraId="540ACF89" w14:textId="77777777" w:rsidTr="00B30CB5">
        <w:tc>
          <w:tcPr>
            <w:tcW w:w="2755" w:type="dxa"/>
            <w:vAlign w:val="center"/>
            <w:hideMark/>
          </w:tcPr>
          <w:p w14:paraId="50F4B199" w14:textId="77777777" w:rsidR="00AB4574" w:rsidRPr="00600B68" w:rsidRDefault="00AB4574" w:rsidP="00B30CB5">
            <w:pPr>
              <w:jc w:val="center"/>
              <w:rPr>
                <w:rFonts w:eastAsia="Times New Roman"/>
              </w:rPr>
            </w:pPr>
            <w:r w:rsidRPr="00600B68">
              <w:rPr>
                <w:rFonts w:eastAsia="Times New Roman"/>
              </w:rPr>
              <w:t>A</w:t>
            </w:r>
          </w:p>
        </w:tc>
        <w:tc>
          <w:tcPr>
            <w:tcW w:w="2126" w:type="dxa"/>
            <w:vAlign w:val="center"/>
            <w:hideMark/>
          </w:tcPr>
          <w:p w14:paraId="564E255B" w14:textId="77777777" w:rsidR="00AB4574" w:rsidRPr="00600B68" w:rsidRDefault="00AB4574" w:rsidP="00B30CB5">
            <w:pPr>
              <w:jc w:val="center"/>
              <w:rPr>
                <w:rFonts w:eastAsia="Times New Roman"/>
              </w:rPr>
            </w:pPr>
            <w:r w:rsidRPr="00600B68">
              <w:rPr>
                <w:rFonts w:eastAsia="Times New Roman"/>
              </w:rPr>
              <w:t>B</w:t>
            </w:r>
          </w:p>
        </w:tc>
        <w:tc>
          <w:tcPr>
            <w:tcW w:w="2020" w:type="dxa"/>
            <w:vAlign w:val="center"/>
            <w:hideMark/>
          </w:tcPr>
          <w:p w14:paraId="0EFBE7AF" w14:textId="77777777" w:rsidR="00AB4574" w:rsidRPr="00600B68" w:rsidRDefault="00AB4574" w:rsidP="00B30CB5">
            <w:pPr>
              <w:jc w:val="center"/>
              <w:rPr>
                <w:rFonts w:eastAsia="Times New Roman"/>
              </w:rPr>
            </w:pPr>
            <w:r w:rsidRPr="00600B68">
              <w:rPr>
                <w:rFonts w:eastAsia="Times New Roman"/>
              </w:rPr>
              <w:t>C</w:t>
            </w:r>
          </w:p>
        </w:tc>
        <w:tc>
          <w:tcPr>
            <w:tcW w:w="2316" w:type="dxa"/>
            <w:vAlign w:val="center"/>
            <w:hideMark/>
          </w:tcPr>
          <w:p w14:paraId="70F3CCF5" w14:textId="77777777" w:rsidR="00AB4574" w:rsidRPr="00600B68" w:rsidRDefault="00AB4574" w:rsidP="00B30CB5">
            <w:pPr>
              <w:jc w:val="center"/>
              <w:rPr>
                <w:rFonts w:eastAsia="Times New Roman"/>
              </w:rPr>
            </w:pPr>
            <w:r w:rsidRPr="00600B68">
              <w:rPr>
                <w:rFonts w:eastAsia="Times New Roman"/>
              </w:rPr>
              <w:t>D</w:t>
            </w:r>
          </w:p>
        </w:tc>
      </w:tr>
      <w:tr w:rsidR="00600B68" w:rsidRPr="00600B68" w14:paraId="407D95DB" w14:textId="77777777" w:rsidTr="00B30CB5">
        <w:tc>
          <w:tcPr>
            <w:tcW w:w="2755" w:type="dxa"/>
            <w:hideMark/>
          </w:tcPr>
          <w:p w14:paraId="3DC8906A" w14:textId="77777777" w:rsidR="00AB4574" w:rsidRPr="00600B68" w:rsidRDefault="00AB4574" w:rsidP="00B30CB5">
            <w:pPr>
              <w:pStyle w:val="naiskr"/>
              <w:spacing w:before="0" w:after="0"/>
              <w:jc w:val="both"/>
              <w:rPr>
                <w:lang w:eastAsia="en-US"/>
              </w:rPr>
            </w:pPr>
            <w:r w:rsidRPr="00600B68">
              <w:rPr>
                <w:lang w:eastAsia="en-US"/>
              </w:rPr>
              <w:t xml:space="preserve">Attiecīgā ES tiesību akta panta numurs (uzskaitot katru tiesību akta </w:t>
            </w:r>
            <w:r w:rsidRPr="00600B68">
              <w:rPr>
                <w:lang w:eastAsia="en-US"/>
              </w:rPr>
              <w:br/>
              <w:t>vienību – pantu, daļu, punktu, apakšpunktu)</w:t>
            </w:r>
          </w:p>
        </w:tc>
        <w:tc>
          <w:tcPr>
            <w:tcW w:w="2126" w:type="dxa"/>
            <w:hideMark/>
          </w:tcPr>
          <w:p w14:paraId="5258FD96" w14:textId="77777777" w:rsidR="00AB4574" w:rsidRPr="00600B68" w:rsidRDefault="00AB4574" w:rsidP="00B30CB5">
            <w:pPr>
              <w:pStyle w:val="naiskr"/>
              <w:spacing w:before="0" w:after="0"/>
              <w:jc w:val="both"/>
              <w:rPr>
                <w:lang w:eastAsia="en-US"/>
              </w:rPr>
            </w:pPr>
            <w:r w:rsidRPr="00600B68">
              <w:rPr>
                <w:lang w:eastAsia="en-US"/>
              </w:rPr>
              <w:t>Projekta vienība, kas pārņem vai ievieš katru šīs tabulas A ailē minēto ES tiesību akta vienību</w:t>
            </w:r>
          </w:p>
        </w:tc>
        <w:tc>
          <w:tcPr>
            <w:tcW w:w="2020" w:type="dxa"/>
            <w:hideMark/>
          </w:tcPr>
          <w:p w14:paraId="3B053D7B" w14:textId="77777777" w:rsidR="00AB4574" w:rsidRPr="00600B68" w:rsidRDefault="00AB4574" w:rsidP="00B30CB5">
            <w:pPr>
              <w:pStyle w:val="naiskr"/>
              <w:spacing w:before="0" w:after="0"/>
              <w:jc w:val="both"/>
              <w:rPr>
                <w:lang w:eastAsia="en-US"/>
              </w:rPr>
            </w:pPr>
            <w:r w:rsidRPr="00600B68">
              <w:rPr>
                <w:lang w:eastAsia="en-US"/>
              </w:rPr>
              <w:t>Informācija par to, vai šīs tabulas A ailē minētās ES tiesību akta vienības tiek pārņemtas vai ieviestas pilnībā vai daļēji.</w:t>
            </w:r>
          </w:p>
          <w:p w14:paraId="5314774B" w14:textId="77777777" w:rsidR="00AB4574" w:rsidRPr="00600B68" w:rsidRDefault="00AB4574" w:rsidP="00B30CB5">
            <w:pPr>
              <w:pStyle w:val="naiskr"/>
              <w:spacing w:before="0" w:after="0"/>
              <w:jc w:val="both"/>
              <w:rPr>
                <w:lang w:eastAsia="en-US"/>
              </w:rPr>
            </w:pPr>
            <w:r w:rsidRPr="00600B68">
              <w:rPr>
                <w:lang w:eastAsia="en-US"/>
              </w:rPr>
              <w:t>Ja attiecīgā ES tiesību akta vienība tiek pārņemta vai ieviesta daļēji, – sniedz attiecīgu skaidrojumu, kā arī precīzi norāda, kad un kādā veidā ES tiesību akta vienība tiks pārņemta vai ieviesta pilnībā.</w:t>
            </w:r>
          </w:p>
          <w:p w14:paraId="53314965" w14:textId="77777777" w:rsidR="00AB4574" w:rsidRPr="00600B68" w:rsidRDefault="00AB4574" w:rsidP="00B30CB5">
            <w:pPr>
              <w:pStyle w:val="naiskr"/>
              <w:spacing w:before="0" w:after="0"/>
              <w:jc w:val="both"/>
              <w:rPr>
                <w:lang w:eastAsia="en-US"/>
              </w:rPr>
            </w:pPr>
            <w:r w:rsidRPr="00600B68">
              <w:rPr>
                <w:lang w:eastAsia="en-US"/>
              </w:rPr>
              <w:t>Norāda institūciju, kas ir atbildīga par šo saistību izpildi pilnībā</w:t>
            </w:r>
          </w:p>
        </w:tc>
        <w:tc>
          <w:tcPr>
            <w:tcW w:w="2316" w:type="dxa"/>
            <w:hideMark/>
          </w:tcPr>
          <w:p w14:paraId="24D976AB" w14:textId="77777777" w:rsidR="00AB4574" w:rsidRPr="00600B68" w:rsidRDefault="00AB4574" w:rsidP="00B30CB5">
            <w:pPr>
              <w:pStyle w:val="naiskr"/>
              <w:spacing w:before="0" w:after="0"/>
              <w:jc w:val="both"/>
              <w:rPr>
                <w:lang w:eastAsia="en-US"/>
              </w:rPr>
            </w:pPr>
            <w:r w:rsidRPr="00600B68">
              <w:rPr>
                <w:lang w:eastAsia="en-US"/>
              </w:rPr>
              <w:t>Informācija par to, vai šīs tabulas B ailē minētās projekta vienības paredz stingrākas prasības nekā šīs tabulas A ailē minētās ES tiesību akta vienības.</w:t>
            </w:r>
          </w:p>
          <w:p w14:paraId="45AA42D5" w14:textId="77777777" w:rsidR="00AB4574" w:rsidRPr="00600B68" w:rsidRDefault="00AB4574" w:rsidP="00B30CB5">
            <w:pPr>
              <w:pStyle w:val="naiskr"/>
              <w:spacing w:before="0" w:after="0"/>
              <w:jc w:val="both"/>
              <w:rPr>
                <w:lang w:eastAsia="en-US"/>
              </w:rPr>
            </w:pPr>
            <w:r w:rsidRPr="00600B68">
              <w:rPr>
                <w:lang w:eastAsia="en-US"/>
              </w:rPr>
              <w:t>Ja projekts satur stingrākas prasības nekā attiecīgais ES tiesību akts, – norāda pamatojumu un samērīgumu.</w:t>
            </w:r>
          </w:p>
          <w:p w14:paraId="2FD2AE83" w14:textId="77777777" w:rsidR="00AB4574" w:rsidRPr="00600B68" w:rsidRDefault="00AB4574" w:rsidP="00B30CB5">
            <w:pPr>
              <w:pStyle w:val="naiskr"/>
              <w:spacing w:before="0" w:after="0"/>
              <w:jc w:val="both"/>
              <w:rPr>
                <w:lang w:eastAsia="en-US"/>
              </w:rPr>
            </w:pPr>
            <w:r w:rsidRPr="00600B68">
              <w:rPr>
                <w:lang w:eastAsia="en-US"/>
              </w:rPr>
              <w:t xml:space="preserve">Norāda iespējamās alternatīvas (t.sk. alternatīvas, kas neparedz tiesiskā regulējuma izstrādi) – kādos gadījumos būtu iespējams izvairīties no stingrāku prasību </w:t>
            </w:r>
            <w:r w:rsidRPr="00600B68">
              <w:rPr>
                <w:lang w:eastAsia="en-US"/>
              </w:rPr>
              <w:lastRenderedPageBreak/>
              <w:t>noteikšanas, nekā paredzēts attiecīgajos ES tiesību aktos.</w:t>
            </w:r>
          </w:p>
        </w:tc>
      </w:tr>
      <w:tr w:rsidR="00600B68" w:rsidRPr="00600B68" w14:paraId="53C9D258" w14:textId="77777777" w:rsidTr="00B30CB5">
        <w:tc>
          <w:tcPr>
            <w:tcW w:w="2755" w:type="dxa"/>
            <w:vAlign w:val="center"/>
          </w:tcPr>
          <w:p w14:paraId="2CEACA3A" w14:textId="7A697E80" w:rsidR="00AB4574" w:rsidRPr="00600B68" w:rsidRDefault="00AB4574" w:rsidP="00AB4574">
            <w:pPr>
              <w:spacing w:before="10"/>
              <w:ind w:left="113" w:right="113"/>
              <w:jc w:val="both"/>
              <w:rPr>
                <w:rFonts w:eastAsia="Times New Roman"/>
              </w:rPr>
            </w:pPr>
            <w:r w:rsidRPr="00600B68">
              <w:rPr>
                <w:rFonts w:eastAsia="Times New Roman"/>
              </w:rPr>
              <w:lastRenderedPageBreak/>
              <w:t>Regulas Nr. 651/2014 2. panta 28. punkts</w:t>
            </w:r>
          </w:p>
        </w:tc>
        <w:tc>
          <w:tcPr>
            <w:tcW w:w="2126" w:type="dxa"/>
            <w:vAlign w:val="center"/>
          </w:tcPr>
          <w:p w14:paraId="465CDA7A" w14:textId="5DB070B9" w:rsidR="00AB4574" w:rsidRPr="00600B68" w:rsidRDefault="00AB4574" w:rsidP="00AB4574">
            <w:pPr>
              <w:spacing w:before="10"/>
              <w:ind w:left="113" w:right="113"/>
              <w:jc w:val="both"/>
              <w:rPr>
                <w:rFonts w:eastAsia="Times New Roman"/>
              </w:rPr>
            </w:pPr>
            <w:r w:rsidRPr="00600B68">
              <w:rPr>
                <w:rFonts w:eastAsia="Times New Roman"/>
              </w:rPr>
              <w:t>Noteikumu projekta 1. punkts (MK noteikumu 2.2.</w:t>
            </w:r>
            <w:r w:rsidRPr="00600B68">
              <w:rPr>
                <w:rFonts w:eastAsia="Times New Roman"/>
                <w:vertAlign w:val="superscript"/>
              </w:rPr>
              <w:t>1</w:t>
            </w:r>
            <w:r w:rsidRPr="00600B68">
              <w:rPr>
                <w:rFonts w:eastAsia="Times New Roman"/>
              </w:rPr>
              <w:t> apakšpunkts)</w:t>
            </w:r>
          </w:p>
        </w:tc>
        <w:tc>
          <w:tcPr>
            <w:tcW w:w="2020" w:type="dxa"/>
            <w:vAlign w:val="center"/>
          </w:tcPr>
          <w:p w14:paraId="73365821" w14:textId="77777777" w:rsidR="00AB4574" w:rsidRPr="00600B68" w:rsidRDefault="00AB4574" w:rsidP="00B30CB5">
            <w:pPr>
              <w:spacing w:before="10"/>
              <w:ind w:left="113" w:right="113"/>
              <w:jc w:val="both"/>
              <w:rPr>
                <w:rFonts w:eastAsia="Times New Roman"/>
              </w:rPr>
            </w:pPr>
            <w:r w:rsidRPr="00600B68">
              <w:rPr>
                <w:rFonts w:eastAsia="Times New Roman"/>
              </w:rPr>
              <w:t>ieviesta pilnībā</w:t>
            </w:r>
          </w:p>
        </w:tc>
        <w:tc>
          <w:tcPr>
            <w:tcW w:w="2316" w:type="dxa"/>
            <w:vAlign w:val="center"/>
          </w:tcPr>
          <w:p w14:paraId="06DFD3B7" w14:textId="77777777" w:rsidR="00AB4574" w:rsidRPr="00600B68" w:rsidRDefault="00AB4574" w:rsidP="00B30CB5">
            <w:pPr>
              <w:spacing w:before="10"/>
              <w:ind w:left="113" w:right="113"/>
              <w:jc w:val="both"/>
              <w:rPr>
                <w:rFonts w:eastAsia="Times New Roman"/>
              </w:rPr>
            </w:pPr>
            <w:r w:rsidRPr="00600B68">
              <w:rPr>
                <w:rFonts w:eastAsia="Times New Roman"/>
              </w:rPr>
              <w:t>neparedz stingrākas prasības</w:t>
            </w:r>
          </w:p>
        </w:tc>
      </w:tr>
      <w:tr w:rsidR="00600B68" w:rsidRPr="00600B68" w14:paraId="0B3A97D1" w14:textId="77777777" w:rsidTr="00B30CB5">
        <w:tc>
          <w:tcPr>
            <w:tcW w:w="2755" w:type="dxa"/>
            <w:vAlign w:val="center"/>
          </w:tcPr>
          <w:p w14:paraId="00976306" w14:textId="77777777" w:rsidR="00AB4574" w:rsidRPr="00600B68" w:rsidRDefault="00AB4574" w:rsidP="00B30CB5">
            <w:pPr>
              <w:spacing w:before="10"/>
              <w:ind w:left="113" w:right="113"/>
              <w:jc w:val="both"/>
              <w:rPr>
                <w:rFonts w:eastAsia="Times New Roman"/>
              </w:rPr>
            </w:pPr>
          </w:p>
        </w:tc>
        <w:tc>
          <w:tcPr>
            <w:tcW w:w="2126" w:type="dxa"/>
            <w:vAlign w:val="center"/>
          </w:tcPr>
          <w:p w14:paraId="4ABE839E" w14:textId="77777777" w:rsidR="00AB4574" w:rsidRPr="00600B68" w:rsidRDefault="00AB4574" w:rsidP="00B30CB5">
            <w:pPr>
              <w:spacing w:before="10"/>
              <w:ind w:left="113" w:right="113"/>
              <w:jc w:val="both"/>
              <w:rPr>
                <w:rFonts w:eastAsia="Times New Roman"/>
              </w:rPr>
            </w:pPr>
          </w:p>
        </w:tc>
        <w:tc>
          <w:tcPr>
            <w:tcW w:w="2020" w:type="dxa"/>
            <w:vAlign w:val="center"/>
          </w:tcPr>
          <w:p w14:paraId="09CC2536" w14:textId="77777777" w:rsidR="00AB4574" w:rsidRPr="00600B68" w:rsidRDefault="00AB4574" w:rsidP="00B30CB5">
            <w:pPr>
              <w:spacing w:before="10"/>
              <w:ind w:left="113" w:right="113"/>
              <w:jc w:val="both"/>
              <w:rPr>
                <w:rFonts w:eastAsia="Times New Roman"/>
              </w:rPr>
            </w:pPr>
          </w:p>
        </w:tc>
        <w:tc>
          <w:tcPr>
            <w:tcW w:w="2316" w:type="dxa"/>
            <w:vAlign w:val="center"/>
          </w:tcPr>
          <w:p w14:paraId="77BC3B44" w14:textId="77777777" w:rsidR="00AB4574" w:rsidRPr="00600B68" w:rsidRDefault="00AB4574" w:rsidP="00B30CB5">
            <w:pPr>
              <w:spacing w:before="10"/>
              <w:ind w:left="113" w:right="113"/>
              <w:jc w:val="both"/>
              <w:rPr>
                <w:rFonts w:eastAsia="Times New Roman"/>
              </w:rPr>
            </w:pPr>
          </w:p>
        </w:tc>
      </w:tr>
      <w:tr w:rsidR="00600B68" w:rsidRPr="00600B68" w14:paraId="118C2F20" w14:textId="77777777" w:rsidTr="00B30CB5">
        <w:trPr>
          <w:trHeight w:val="805"/>
        </w:trPr>
        <w:tc>
          <w:tcPr>
            <w:tcW w:w="2755" w:type="dxa"/>
            <w:vAlign w:val="center"/>
            <w:hideMark/>
          </w:tcPr>
          <w:p w14:paraId="61DEE6FE" w14:textId="77777777" w:rsidR="00AB4574" w:rsidRPr="00600B68" w:rsidRDefault="00AB4574" w:rsidP="00B30CB5">
            <w:pPr>
              <w:ind w:left="174" w:right="149"/>
              <w:jc w:val="both"/>
              <w:rPr>
                <w:rFonts w:eastAsia="Times New Roman"/>
              </w:rPr>
            </w:pPr>
            <w:r w:rsidRPr="00600B68">
              <w:rPr>
                <w:rFonts w:eastAsia="Times New Roman"/>
              </w:rPr>
              <w:t>Kā ir izmantota ES tiesību aktā paredzētā rīcības brīvība dalībvalstij pārņemt vai ieviest noteiktas ES tiesību akta normas.</w:t>
            </w:r>
          </w:p>
        </w:tc>
        <w:tc>
          <w:tcPr>
            <w:tcW w:w="6462" w:type="dxa"/>
            <w:gridSpan w:val="3"/>
            <w:hideMark/>
          </w:tcPr>
          <w:p w14:paraId="3F5095B6" w14:textId="77777777" w:rsidR="00AB4574" w:rsidRPr="00600B68" w:rsidRDefault="00AB4574" w:rsidP="00B30CB5">
            <w:pPr>
              <w:jc w:val="both"/>
              <w:rPr>
                <w:rFonts w:eastAsia="Times New Roman"/>
              </w:rPr>
            </w:pPr>
            <w:r w:rsidRPr="00600B68">
              <w:rPr>
                <w:rFonts w:eastAsia="Times New Roman"/>
              </w:rPr>
              <w:t>Noteikumu projekts šo jomu neskar.</w:t>
            </w:r>
          </w:p>
        </w:tc>
      </w:tr>
      <w:tr w:rsidR="00600B68" w:rsidRPr="00600B68" w14:paraId="35A65821" w14:textId="77777777" w:rsidTr="00B30CB5">
        <w:trPr>
          <w:trHeight w:val="2934"/>
        </w:trPr>
        <w:tc>
          <w:tcPr>
            <w:tcW w:w="2755" w:type="dxa"/>
            <w:vAlign w:val="center"/>
            <w:hideMark/>
          </w:tcPr>
          <w:p w14:paraId="49F8A774" w14:textId="77777777" w:rsidR="00AB4574" w:rsidRPr="00600B68" w:rsidRDefault="00AB4574" w:rsidP="00B30CB5">
            <w:pPr>
              <w:ind w:left="174" w:right="149"/>
              <w:jc w:val="both"/>
              <w:rPr>
                <w:rFonts w:eastAsia="Times New Roman"/>
              </w:rPr>
            </w:pPr>
            <w:r w:rsidRPr="00600B68">
              <w:rPr>
                <w:rFonts w:eastAsia="Times New Roman"/>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462" w:type="dxa"/>
            <w:gridSpan w:val="3"/>
            <w:hideMark/>
          </w:tcPr>
          <w:p w14:paraId="633CFC42" w14:textId="77777777" w:rsidR="00AB4574" w:rsidRPr="00600B68" w:rsidRDefault="00AB4574" w:rsidP="00B30CB5">
            <w:pPr>
              <w:jc w:val="both"/>
              <w:rPr>
                <w:rFonts w:eastAsia="Times New Roman"/>
              </w:rPr>
            </w:pPr>
            <w:r w:rsidRPr="00600B68">
              <w:rPr>
                <w:rFonts w:eastAsia="Times New Roman"/>
              </w:rPr>
              <w:t>Noteikumu projekts šo jomu neskar.</w:t>
            </w:r>
          </w:p>
        </w:tc>
      </w:tr>
      <w:tr w:rsidR="00600B68" w:rsidRPr="00600B68" w14:paraId="654ACB69" w14:textId="77777777" w:rsidTr="00B30CB5">
        <w:tc>
          <w:tcPr>
            <w:tcW w:w="2755" w:type="dxa"/>
            <w:hideMark/>
          </w:tcPr>
          <w:p w14:paraId="498FAFE5" w14:textId="77777777" w:rsidR="00AB4574" w:rsidRPr="00600B68" w:rsidRDefault="00AB4574" w:rsidP="007A4F23">
            <w:pPr>
              <w:ind w:left="174" w:right="149"/>
              <w:jc w:val="both"/>
              <w:rPr>
                <w:rFonts w:eastAsia="Times New Roman"/>
              </w:rPr>
            </w:pPr>
            <w:r w:rsidRPr="00600B68">
              <w:rPr>
                <w:rFonts w:eastAsia="Times New Roman"/>
              </w:rPr>
              <w:t>Cita informācija</w:t>
            </w:r>
          </w:p>
        </w:tc>
        <w:tc>
          <w:tcPr>
            <w:tcW w:w="6462" w:type="dxa"/>
            <w:gridSpan w:val="3"/>
            <w:hideMark/>
          </w:tcPr>
          <w:p w14:paraId="285BD017" w14:textId="77777777" w:rsidR="00AB4574" w:rsidRPr="00600B68" w:rsidRDefault="00AB4574" w:rsidP="00B30CB5">
            <w:pPr>
              <w:jc w:val="both"/>
            </w:pPr>
            <w:r w:rsidRPr="00600B68">
              <w:rPr>
                <w:rFonts w:eastAsia="Times New Roman"/>
              </w:rPr>
              <w:t>Nav</w:t>
            </w:r>
            <w:r w:rsidRPr="00600B68">
              <w:t xml:space="preserve">. </w:t>
            </w:r>
          </w:p>
        </w:tc>
      </w:tr>
    </w:tbl>
    <w:p w14:paraId="1FE6CD26" w14:textId="77777777" w:rsidR="00AB4574" w:rsidRPr="00600B68" w:rsidRDefault="00AB4574" w:rsidP="004A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
        <w:gridCol w:w="2572"/>
        <w:gridCol w:w="6183"/>
      </w:tblGrid>
      <w:tr w:rsidR="00600B68" w:rsidRPr="00600B68" w14:paraId="1D1294BA" w14:textId="77777777" w:rsidTr="00AB4574">
        <w:trPr>
          <w:trHeight w:val="421"/>
        </w:trPr>
        <w:tc>
          <w:tcPr>
            <w:tcW w:w="5000" w:type="pct"/>
            <w:gridSpan w:val="3"/>
            <w:vAlign w:val="center"/>
          </w:tcPr>
          <w:p w14:paraId="1C6D02D6" w14:textId="77777777" w:rsidR="004A7F10" w:rsidRPr="00600B68" w:rsidRDefault="004A7F10" w:rsidP="006B07D7">
            <w:pPr>
              <w:pStyle w:val="naisnod"/>
              <w:spacing w:before="0" w:beforeAutospacing="0" w:after="0" w:afterAutospacing="0"/>
              <w:ind w:left="57" w:right="57"/>
              <w:jc w:val="center"/>
            </w:pPr>
            <w:bookmarkStart w:id="0" w:name="_GoBack"/>
            <w:r w:rsidRPr="00600B68">
              <w:rPr>
                <w:b/>
              </w:rPr>
              <w:t>VI. Sabiedrības līdzdalība un komunikācijas aktivitātes</w:t>
            </w:r>
          </w:p>
        </w:tc>
      </w:tr>
      <w:bookmarkEnd w:id="0"/>
      <w:tr w:rsidR="00600B68" w:rsidRPr="00600B68" w14:paraId="7EEF2664" w14:textId="77777777" w:rsidTr="009B6065">
        <w:trPr>
          <w:trHeight w:val="553"/>
        </w:trPr>
        <w:tc>
          <w:tcPr>
            <w:tcW w:w="169" w:type="pct"/>
          </w:tcPr>
          <w:p w14:paraId="6CE053E6" w14:textId="77777777" w:rsidR="004A7F10" w:rsidRPr="00600B68" w:rsidRDefault="004A7F10" w:rsidP="006B07D7">
            <w:pPr>
              <w:ind w:left="57" w:right="57"/>
              <w:jc w:val="both"/>
              <w:rPr>
                <w:bCs/>
              </w:rPr>
            </w:pPr>
            <w:r w:rsidRPr="00600B68">
              <w:rPr>
                <w:bCs/>
              </w:rPr>
              <w:t>1.</w:t>
            </w:r>
          </w:p>
        </w:tc>
        <w:tc>
          <w:tcPr>
            <w:tcW w:w="1419" w:type="pct"/>
          </w:tcPr>
          <w:p w14:paraId="74FF7E76" w14:textId="77777777" w:rsidR="004A7F10" w:rsidRPr="00600B68" w:rsidRDefault="004A7F10" w:rsidP="006B07D7">
            <w:pPr>
              <w:tabs>
                <w:tab w:val="left" w:pos="170"/>
              </w:tabs>
              <w:ind w:left="57" w:right="57"/>
            </w:pPr>
            <w:r w:rsidRPr="00600B68">
              <w:t>Plānotās sabiedrības līdzdalības un komunikācijas aktivitātes saistībā ar projektu</w:t>
            </w:r>
          </w:p>
        </w:tc>
        <w:tc>
          <w:tcPr>
            <w:tcW w:w="3412" w:type="pct"/>
          </w:tcPr>
          <w:p w14:paraId="769F9939" w14:textId="1C1DB772" w:rsidR="004A7F10" w:rsidRPr="00600B68" w:rsidRDefault="002871D2" w:rsidP="00906145">
            <w:pPr>
              <w:shd w:val="clear" w:color="auto" w:fill="FFFFFF"/>
              <w:ind w:left="94" w:right="57"/>
              <w:jc w:val="both"/>
              <w:rPr>
                <w:rFonts w:eastAsiaTheme="minorHAnsi"/>
                <w:bCs/>
                <w:iCs/>
                <w:lang w:eastAsia="en-US"/>
              </w:rPr>
            </w:pPr>
            <w:bookmarkStart w:id="1" w:name="p61"/>
            <w:bookmarkEnd w:id="1"/>
            <w:r w:rsidRPr="00600B68">
              <w:rPr>
                <w:rFonts w:eastAsiaTheme="minorHAnsi"/>
                <w:bCs/>
                <w:iCs/>
                <w:lang w:eastAsia="en-US"/>
              </w:rPr>
              <w:t xml:space="preserve">Sabiedrības pārstāvji varēs līdzdarboties noteikumu projekta izstrādē, sniedzot atzinumu un viedokli par noteikumu projektu, kas ievietots Izglītības un zinātnes ministrijas tīmekļa vietnē </w:t>
            </w:r>
            <w:hyperlink r:id="rId8" w:history="1">
              <w:r w:rsidRPr="00600B68">
                <w:rPr>
                  <w:rFonts w:eastAsiaTheme="minorHAnsi"/>
                  <w:iCs/>
                  <w:lang w:eastAsia="en-US"/>
                </w:rPr>
                <w:t>www.izm.gov.lv</w:t>
              </w:r>
            </w:hyperlink>
            <w:r w:rsidRPr="00600B68">
              <w:rPr>
                <w:rFonts w:eastAsiaTheme="minorHAnsi"/>
                <w:bCs/>
                <w:iCs/>
                <w:lang w:eastAsia="en-US"/>
              </w:rPr>
              <w:t xml:space="preserve"> (sadaļā</w:t>
            </w:r>
            <w:r w:rsidR="004A2355" w:rsidRPr="00600B68">
              <w:rPr>
                <w:rFonts w:eastAsiaTheme="minorHAnsi"/>
                <w:bCs/>
                <w:iCs/>
                <w:lang w:eastAsia="en-US"/>
              </w:rPr>
              <w:t xml:space="preserve"> Fondi</w:t>
            </w:r>
            <w:r w:rsidRPr="00600B68">
              <w:rPr>
                <w:rFonts w:eastAsiaTheme="minorHAnsi"/>
                <w:bCs/>
                <w:iCs/>
                <w:lang w:eastAsia="en-US"/>
              </w:rPr>
              <w:t xml:space="preserve"> </w:t>
            </w:r>
            <w:r w:rsidR="004A2355" w:rsidRPr="00600B68">
              <w:rPr>
                <w:rFonts w:eastAsiaTheme="minorHAnsi"/>
                <w:bCs/>
                <w:iCs/>
                <w:lang w:eastAsia="en-US"/>
              </w:rPr>
              <w:t xml:space="preserve">→ </w:t>
            </w:r>
            <w:r w:rsidRPr="00600B68">
              <w:rPr>
                <w:rFonts w:eastAsiaTheme="minorHAnsi"/>
                <w:bCs/>
                <w:iCs/>
                <w:lang w:eastAsia="en-US"/>
              </w:rPr>
              <w:t>ES struktūrfondi → 2014-2020 → Normatīvo aktu un nosacījumu projekti).</w:t>
            </w:r>
          </w:p>
          <w:p w14:paraId="08A361E4" w14:textId="5317412B" w:rsidR="002F1D81" w:rsidRPr="00600B68" w:rsidRDefault="006C27E2" w:rsidP="00906145">
            <w:pPr>
              <w:shd w:val="clear" w:color="auto" w:fill="FFFFFF"/>
              <w:ind w:left="94" w:right="57"/>
              <w:jc w:val="both"/>
            </w:pPr>
            <w:r w:rsidRPr="00600B68">
              <w:rPr>
                <w:rFonts w:eastAsiaTheme="minorHAnsi"/>
                <w:bCs/>
                <w:iCs/>
                <w:lang w:eastAsia="en-US"/>
              </w:rPr>
              <w:t xml:space="preserve">Pēc noteikumu projekta spēkā stāšanās </w:t>
            </w:r>
            <w:r w:rsidR="009B6065" w:rsidRPr="00600B68">
              <w:t>Izglītības un zinātnes ministrija kā atbildīgā iestāde</w:t>
            </w:r>
            <w:r w:rsidR="009B6065" w:rsidRPr="00600B68">
              <w:rPr>
                <w:rFonts w:eastAsiaTheme="minorHAnsi"/>
                <w:bCs/>
                <w:iCs/>
                <w:lang w:eastAsia="en-US"/>
              </w:rPr>
              <w:t xml:space="preserve"> un </w:t>
            </w:r>
            <w:r w:rsidRPr="00600B68">
              <w:rPr>
                <w:rFonts w:eastAsiaTheme="minorHAnsi"/>
                <w:bCs/>
                <w:iCs/>
                <w:lang w:eastAsia="en-US"/>
              </w:rPr>
              <w:t>CFLA informēs tos finansējuma saņēmējus, kurus skar veiktās izmaiņas MK noteikumos Nr.34, tostarp veicot atbilstošus grozījumus līgumā vai vienošanās par projekta īstenošanu (ja attiecināms).</w:t>
            </w:r>
            <w:r w:rsidRPr="00600B68">
              <w:rPr>
                <w:bCs/>
              </w:rPr>
              <w:t xml:space="preserve">  </w:t>
            </w:r>
          </w:p>
        </w:tc>
      </w:tr>
      <w:tr w:rsidR="00600B68" w:rsidRPr="00600B68" w14:paraId="07CF51C6" w14:textId="77777777" w:rsidTr="009B6065">
        <w:trPr>
          <w:trHeight w:val="339"/>
        </w:trPr>
        <w:tc>
          <w:tcPr>
            <w:tcW w:w="169" w:type="pct"/>
          </w:tcPr>
          <w:p w14:paraId="37A0BDDE" w14:textId="77777777" w:rsidR="004A7F10" w:rsidRPr="00600B68" w:rsidRDefault="004A7F10" w:rsidP="006B07D7">
            <w:pPr>
              <w:ind w:left="57" w:right="57"/>
              <w:jc w:val="both"/>
              <w:rPr>
                <w:bCs/>
              </w:rPr>
            </w:pPr>
            <w:r w:rsidRPr="00600B68">
              <w:rPr>
                <w:bCs/>
              </w:rPr>
              <w:t>2.</w:t>
            </w:r>
          </w:p>
        </w:tc>
        <w:tc>
          <w:tcPr>
            <w:tcW w:w="1419" w:type="pct"/>
          </w:tcPr>
          <w:p w14:paraId="2CA0CB16" w14:textId="77777777" w:rsidR="004A7F10" w:rsidRPr="00600B68" w:rsidRDefault="004A7F10" w:rsidP="006B07D7">
            <w:pPr>
              <w:ind w:left="57" w:right="57"/>
            </w:pPr>
            <w:r w:rsidRPr="00600B68">
              <w:t>Sabiedrības līdzdalība projekta izstrādē</w:t>
            </w:r>
          </w:p>
        </w:tc>
        <w:tc>
          <w:tcPr>
            <w:tcW w:w="3412" w:type="pct"/>
          </w:tcPr>
          <w:p w14:paraId="2F9BD1E0" w14:textId="6771D950" w:rsidR="004A7F10" w:rsidRPr="00600B68" w:rsidRDefault="002871D2" w:rsidP="004A2355">
            <w:pPr>
              <w:shd w:val="clear" w:color="auto" w:fill="FFFFFF"/>
              <w:ind w:left="94" w:right="57"/>
              <w:jc w:val="both"/>
              <w:rPr>
                <w:rFonts w:eastAsiaTheme="minorHAnsi"/>
                <w:bCs/>
                <w:lang w:eastAsia="en-US"/>
              </w:rPr>
            </w:pPr>
            <w:bookmarkStart w:id="2" w:name="p62"/>
            <w:bookmarkEnd w:id="2"/>
            <w:r w:rsidRPr="00600B68">
              <w:rPr>
                <w:rFonts w:eastAsiaTheme="minorHAnsi"/>
                <w:bCs/>
                <w:iCs/>
                <w:lang w:eastAsia="en-US"/>
              </w:rPr>
              <w:t xml:space="preserve">Sabiedrības līdzdalība noteikumu projekta izstrādē tiks nodrošināta, ievietojot noteikumu projektu tīmekļa vietnē </w:t>
            </w:r>
            <w:hyperlink r:id="rId9" w:history="1">
              <w:r w:rsidRPr="00600B68">
                <w:rPr>
                  <w:rStyle w:val="Hyperlink"/>
                  <w:rFonts w:eastAsiaTheme="minorHAnsi"/>
                  <w:bCs/>
                  <w:iCs/>
                  <w:color w:val="auto"/>
                  <w:lang w:eastAsia="en-US"/>
                </w:rPr>
                <w:t>www.izm.gov.lv</w:t>
              </w:r>
            </w:hyperlink>
            <w:r w:rsidRPr="00600B68">
              <w:rPr>
                <w:rFonts w:eastAsiaTheme="minorHAnsi"/>
                <w:bCs/>
                <w:iCs/>
                <w:lang w:eastAsia="en-US"/>
              </w:rPr>
              <w:t xml:space="preserve"> un aicinot sabiedrības pārstāvjus rakstiski sniegt viedokli par noteikumu projektu tā izstrādes stadijā – nosūtot elektroniski uz e-past</w:t>
            </w:r>
            <w:r w:rsidR="00A25D9C" w:rsidRPr="00600B68">
              <w:rPr>
                <w:rFonts w:eastAsiaTheme="minorHAnsi"/>
                <w:bCs/>
                <w:iCs/>
                <w:lang w:eastAsia="en-US"/>
              </w:rPr>
              <w:t>a adresi</w:t>
            </w:r>
            <w:r w:rsidRPr="00600B68">
              <w:rPr>
                <w:rFonts w:eastAsiaTheme="minorHAnsi"/>
                <w:bCs/>
                <w:iCs/>
                <w:lang w:eastAsia="en-US"/>
              </w:rPr>
              <w:t xml:space="preserve"> </w:t>
            </w:r>
            <w:hyperlink r:id="rId10" w:history="1">
              <w:r w:rsidRPr="00600B68">
                <w:rPr>
                  <w:rStyle w:val="Hyperlink"/>
                  <w:rFonts w:eastAsiaTheme="minorHAnsi"/>
                  <w:bCs/>
                  <w:iCs/>
                  <w:color w:val="auto"/>
                  <w:lang w:eastAsia="en-US"/>
                </w:rPr>
                <w:t>pasts@izm.gov.lv</w:t>
              </w:r>
            </w:hyperlink>
            <w:r w:rsidRPr="00600B68">
              <w:rPr>
                <w:rFonts w:eastAsiaTheme="minorHAnsi"/>
                <w:bCs/>
                <w:iCs/>
                <w:lang w:eastAsia="en-US"/>
              </w:rPr>
              <w:t xml:space="preserve"> vai </w:t>
            </w:r>
            <w:r w:rsidR="004A2355" w:rsidRPr="00600B68">
              <w:rPr>
                <w:rFonts w:eastAsiaTheme="minorHAnsi"/>
                <w:bCs/>
                <w:iCs/>
                <w:lang w:eastAsia="en-US"/>
              </w:rPr>
              <w:t>esf@izm.gov.lv</w:t>
            </w:r>
            <w:r w:rsidRPr="00600B68">
              <w:rPr>
                <w:rFonts w:eastAsiaTheme="minorHAnsi"/>
                <w:bCs/>
                <w:iCs/>
                <w:lang w:eastAsia="en-US"/>
              </w:rPr>
              <w:t>.</w:t>
            </w:r>
          </w:p>
        </w:tc>
      </w:tr>
      <w:tr w:rsidR="00600B68" w:rsidRPr="00600B68" w14:paraId="7D711ADD" w14:textId="77777777" w:rsidTr="009B6065">
        <w:trPr>
          <w:trHeight w:val="476"/>
        </w:trPr>
        <w:tc>
          <w:tcPr>
            <w:tcW w:w="169" w:type="pct"/>
          </w:tcPr>
          <w:p w14:paraId="3780D2C6" w14:textId="77777777" w:rsidR="004A7F10" w:rsidRPr="00600B68" w:rsidRDefault="004A7F10" w:rsidP="006B07D7">
            <w:pPr>
              <w:ind w:left="57" w:right="57"/>
              <w:jc w:val="both"/>
              <w:rPr>
                <w:bCs/>
              </w:rPr>
            </w:pPr>
            <w:r w:rsidRPr="00600B68">
              <w:rPr>
                <w:bCs/>
              </w:rPr>
              <w:lastRenderedPageBreak/>
              <w:t>3.</w:t>
            </w:r>
          </w:p>
        </w:tc>
        <w:tc>
          <w:tcPr>
            <w:tcW w:w="1419" w:type="pct"/>
          </w:tcPr>
          <w:p w14:paraId="6422D875" w14:textId="77777777" w:rsidR="004A7F10" w:rsidRPr="00600B68" w:rsidRDefault="004A7F10" w:rsidP="006B07D7">
            <w:pPr>
              <w:ind w:left="57" w:right="57"/>
            </w:pPr>
            <w:r w:rsidRPr="00600B68">
              <w:t>Sabiedrības līdzdalības rezultāti</w:t>
            </w:r>
          </w:p>
        </w:tc>
        <w:tc>
          <w:tcPr>
            <w:tcW w:w="3412" w:type="pct"/>
          </w:tcPr>
          <w:p w14:paraId="5FF7F62E" w14:textId="55628B99" w:rsidR="004A7F10" w:rsidRPr="00600B68" w:rsidRDefault="006B3106" w:rsidP="006B07D7">
            <w:pPr>
              <w:shd w:val="clear" w:color="auto" w:fill="FFFFFF"/>
              <w:tabs>
                <w:tab w:val="left" w:pos="878"/>
              </w:tabs>
              <w:ind w:left="94" w:right="57"/>
              <w:jc w:val="both"/>
              <w:rPr>
                <w:iCs/>
              </w:rPr>
            </w:pPr>
            <w:r w:rsidRPr="00600B68">
              <w:rPr>
                <w:iCs/>
              </w:rPr>
              <w:t>Saņemtie iebildumi un priekšlikumi tiks ņemti vērtā noteikumu projekta izstrādē</w:t>
            </w:r>
            <w:r w:rsidR="002871D2" w:rsidRPr="00600B68">
              <w:rPr>
                <w:iCs/>
              </w:rPr>
              <w:t>.</w:t>
            </w:r>
          </w:p>
          <w:p w14:paraId="27D6FB3D" w14:textId="4C00C44A" w:rsidR="002871D2" w:rsidRPr="00600B68" w:rsidRDefault="002871D2" w:rsidP="006B07D7">
            <w:pPr>
              <w:shd w:val="clear" w:color="auto" w:fill="FFFFFF"/>
              <w:tabs>
                <w:tab w:val="left" w:pos="878"/>
              </w:tabs>
              <w:ind w:left="94" w:right="57"/>
              <w:jc w:val="both"/>
            </w:pPr>
          </w:p>
        </w:tc>
      </w:tr>
      <w:tr w:rsidR="00600B68" w:rsidRPr="00600B68" w14:paraId="6ECC5445" w14:textId="77777777" w:rsidTr="009B6065">
        <w:trPr>
          <w:trHeight w:val="205"/>
        </w:trPr>
        <w:tc>
          <w:tcPr>
            <w:tcW w:w="169" w:type="pct"/>
          </w:tcPr>
          <w:p w14:paraId="772089F7" w14:textId="77777777" w:rsidR="004A7F10" w:rsidRPr="00600B68" w:rsidRDefault="004A7F10" w:rsidP="006B07D7">
            <w:pPr>
              <w:ind w:left="57" w:right="57"/>
              <w:jc w:val="both"/>
              <w:rPr>
                <w:bCs/>
              </w:rPr>
            </w:pPr>
            <w:r w:rsidRPr="00600B68">
              <w:rPr>
                <w:bCs/>
              </w:rPr>
              <w:t>4.</w:t>
            </w:r>
          </w:p>
        </w:tc>
        <w:tc>
          <w:tcPr>
            <w:tcW w:w="1419" w:type="pct"/>
          </w:tcPr>
          <w:p w14:paraId="3659C856" w14:textId="77777777" w:rsidR="004A7F10" w:rsidRPr="00600B68" w:rsidRDefault="004A7F10" w:rsidP="006B07D7">
            <w:pPr>
              <w:ind w:left="57" w:right="57"/>
            </w:pPr>
            <w:r w:rsidRPr="00600B68">
              <w:t>Cita informācija</w:t>
            </w:r>
          </w:p>
        </w:tc>
        <w:tc>
          <w:tcPr>
            <w:tcW w:w="3412" w:type="pct"/>
          </w:tcPr>
          <w:p w14:paraId="2D674B9B" w14:textId="77777777" w:rsidR="004A7F10" w:rsidRPr="00600B68" w:rsidRDefault="004A7F10" w:rsidP="006B07D7">
            <w:pPr>
              <w:ind w:left="57" w:right="113" w:firstLine="37"/>
              <w:jc w:val="both"/>
            </w:pPr>
            <w:r w:rsidRPr="00600B68">
              <w:t>Nav.</w:t>
            </w:r>
          </w:p>
        </w:tc>
      </w:tr>
    </w:tbl>
    <w:p w14:paraId="2FC9C88A" w14:textId="77777777" w:rsidR="004A7F10" w:rsidRPr="00600B68" w:rsidRDefault="004A7F10" w:rsidP="004A7F10">
      <w:pPr>
        <w:jc w:val="both"/>
      </w:pPr>
    </w:p>
    <w:tbl>
      <w:tblPr>
        <w:tblW w:w="93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
        <w:gridCol w:w="2634"/>
        <w:gridCol w:w="6379"/>
      </w:tblGrid>
      <w:tr w:rsidR="00600B68" w:rsidRPr="00600B68" w14:paraId="01A2BDF2" w14:textId="77777777" w:rsidTr="00477F62">
        <w:trPr>
          <w:trHeight w:val="421"/>
        </w:trPr>
        <w:tc>
          <w:tcPr>
            <w:tcW w:w="9346" w:type="dxa"/>
            <w:gridSpan w:val="3"/>
            <w:vAlign w:val="center"/>
          </w:tcPr>
          <w:p w14:paraId="43B7EA42" w14:textId="77777777" w:rsidR="000952B3" w:rsidRPr="00600B68" w:rsidRDefault="00B650B7" w:rsidP="001351FC">
            <w:pPr>
              <w:pStyle w:val="naisnod"/>
              <w:spacing w:before="0" w:beforeAutospacing="0" w:after="0" w:afterAutospacing="0"/>
              <w:ind w:left="57" w:right="57"/>
              <w:jc w:val="center"/>
            </w:pPr>
            <w:r w:rsidRPr="00600B68">
              <w:rPr>
                <w:b/>
              </w:rPr>
              <w:t>VII. Tiesību akta projekta izpildes nodrošināšana un tās ietekme uz institūcijām</w:t>
            </w:r>
          </w:p>
        </w:tc>
      </w:tr>
      <w:tr w:rsidR="00600B68" w:rsidRPr="00600B68" w14:paraId="4802C351" w14:textId="77777777" w:rsidTr="00785EFA">
        <w:trPr>
          <w:trHeight w:val="553"/>
        </w:trPr>
        <w:tc>
          <w:tcPr>
            <w:tcW w:w="333" w:type="dxa"/>
          </w:tcPr>
          <w:p w14:paraId="5B5DA9D4" w14:textId="77777777" w:rsidR="000952B3" w:rsidRPr="00600B68" w:rsidRDefault="00B650B7" w:rsidP="001351FC">
            <w:pPr>
              <w:ind w:left="57" w:right="57"/>
              <w:jc w:val="both"/>
              <w:rPr>
                <w:bCs/>
              </w:rPr>
            </w:pPr>
            <w:r w:rsidRPr="00600B68">
              <w:rPr>
                <w:bCs/>
              </w:rPr>
              <w:t>1.</w:t>
            </w:r>
          </w:p>
        </w:tc>
        <w:tc>
          <w:tcPr>
            <w:tcW w:w="2634" w:type="dxa"/>
          </w:tcPr>
          <w:p w14:paraId="33491DB5" w14:textId="77777777" w:rsidR="000952B3" w:rsidRPr="00600B68" w:rsidRDefault="00B650B7" w:rsidP="001351FC">
            <w:pPr>
              <w:ind w:left="57" w:right="57"/>
            </w:pPr>
            <w:r w:rsidRPr="00600B68">
              <w:t>Projekta izpildē iesaistītās institūcijas</w:t>
            </w:r>
          </w:p>
        </w:tc>
        <w:tc>
          <w:tcPr>
            <w:tcW w:w="6379" w:type="dxa"/>
          </w:tcPr>
          <w:p w14:paraId="57DD293D" w14:textId="489E5825" w:rsidR="000952B3" w:rsidRPr="00600B68" w:rsidRDefault="002F1D81" w:rsidP="008026E6">
            <w:pPr>
              <w:shd w:val="clear" w:color="auto" w:fill="FFFFFF"/>
              <w:ind w:left="57" w:right="113"/>
              <w:jc w:val="both"/>
            </w:pPr>
            <w:r w:rsidRPr="00600B68">
              <w:t xml:space="preserve">Noteikumu projekta izpildi nodrošinās </w:t>
            </w:r>
            <w:r w:rsidR="00154ADC" w:rsidRPr="00600B68">
              <w:t>Izglītības un zinātnes ministrija kā atbildīgā iestāde</w:t>
            </w:r>
            <w:r w:rsidRPr="00600B68">
              <w:t xml:space="preserve"> un</w:t>
            </w:r>
            <w:r w:rsidR="004A2355" w:rsidRPr="00600B68">
              <w:t xml:space="preserve"> </w:t>
            </w:r>
            <w:r w:rsidR="006C27E2" w:rsidRPr="00600B68">
              <w:t>CFLA</w:t>
            </w:r>
            <w:r w:rsidR="008026E6" w:rsidRPr="00600B68">
              <w:t xml:space="preserve"> kā sadarbības iestāde</w:t>
            </w:r>
            <w:r w:rsidR="008E2B4B" w:rsidRPr="00600B68">
              <w:t>.</w:t>
            </w:r>
          </w:p>
          <w:p w14:paraId="17057914" w14:textId="30CB51CB" w:rsidR="002871D2" w:rsidRPr="00600B68" w:rsidRDefault="006C27E2" w:rsidP="006C27E2">
            <w:pPr>
              <w:shd w:val="clear" w:color="auto" w:fill="FFFFFF"/>
              <w:tabs>
                <w:tab w:val="left" w:pos="1770"/>
              </w:tabs>
              <w:ind w:left="57" w:right="113"/>
              <w:jc w:val="both"/>
            </w:pPr>
            <w:r w:rsidRPr="00600B68">
              <w:tab/>
            </w:r>
          </w:p>
        </w:tc>
      </w:tr>
      <w:tr w:rsidR="00600B68" w:rsidRPr="00600B68" w14:paraId="4F24F579" w14:textId="77777777" w:rsidTr="00785EFA">
        <w:trPr>
          <w:trHeight w:val="339"/>
        </w:trPr>
        <w:tc>
          <w:tcPr>
            <w:tcW w:w="333" w:type="dxa"/>
          </w:tcPr>
          <w:p w14:paraId="2D0BC61B" w14:textId="77777777" w:rsidR="000952B3" w:rsidRPr="00600B68" w:rsidRDefault="00B650B7" w:rsidP="001351FC">
            <w:pPr>
              <w:ind w:left="57" w:right="57"/>
              <w:jc w:val="both"/>
              <w:rPr>
                <w:bCs/>
              </w:rPr>
            </w:pPr>
            <w:r w:rsidRPr="00600B68">
              <w:rPr>
                <w:bCs/>
              </w:rPr>
              <w:t>2.</w:t>
            </w:r>
          </w:p>
        </w:tc>
        <w:tc>
          <w:tcPr>
            <w:tcW w:w="2634" w:type="dxa"/>
          </w:tcPr>
          <w:p w14:paraId="37BBBED2" w14:textId="77777777" w:rsidR="000952B3" w:rsidRPr="00600B68" w:rsidRDefault="00B650B7" w:rsidP="001351FC">
            <w:pPr>
              <w:ind w:left="57" w:right="57"/>
            </w:pPr>
            <w:r w:rsidRPr="00600B68">
              <w:t xml:space="preserve">Projekta izpildes ietekme uz pārvaldes funkcijām un institucionālo struktūru. </w:t>
            </w:r>
          </w:p>
          <w:p w14:paraId="38943CEE" w14:textId="77777777" w:rsidR="000952B3" w:rsidRPr="00600B68" w:rsidRDefault="00B650B7" w:rsidP="001351FC">
            <w:pPr>
              <w:ind w:left="57" w:right="57"/>
            </w:pPr>
            <w:r w:rsidRPr="00600B68">
              <w:t>Jaunu institūciju izveide, esošu institūciju likvidācija vai reorganizācija, to ietekme uz institūcijas cilvēkresursiem</w:t>
            </w:r>
          </w:p>
        </w:tc>
        <w:tc>
          <w:tcPr>
            <w:tcW w:w="6379" w:type="dxa"/>
          </w:tcPr>
          <w:p w14:paraId="0748703C" w14:textId="77777777" w:rsidR="00FE7980" w:rsidRPr="00600B68" w:rsidRDefault="008026E6" w:rsidP="008026E6">
            <w:pPr>
              <w:spacing w:before="100" w:beforeAutospacing="1" w:after="100" w:afterAutospacing="1"/>
              <w:ind w:left="57"/>
              <w:jc w:val="both"/>
              <w:rPr>
                <w:iCs/>
              </w:rPr>
            </w:pPr>
            <w:r w:rsidRPr="00600B68">
              <w:rPr>
                <w:iCs/>
              </w:rPr>
              <w:t xml:space="preserve">Noteikumu projekta izpildes rezultātā netiek paplašinātas vai sašaurinātas esošo institūciju funkcijas, kā arī nav nepieciešams veidot jaunas institūcijas, likvidēt vai reorganizēt esošās institūcijas. </w:t>
            </w:r>
          </w:p>
          <w:p w14:paraId="29F24A9B" w14:textId="01066CAA" w:rsidR="000952B3" w:rsidRPr="00600B68" w:rsidRDefault="008026E6" w:rsidP="008026E6">
            <w:pPr>
              <w:spacing w:before="100" w:beforeAutospacing="1" w:after="100" w:afterAutospacing="1"/>
              <w:ind w:left="57"/>
              <w:jc w:val="both"/>
              <w:rPr>
                <w:iCs/>
              </w:rPr>
            </w:pPr>
            <w:r w:rsidRPr="00600B68">
              <w:rPr>
                <w:iCs/>
              </w:rPr>
              <w:t>Projekta izpilde nodrošināma pieejamo cilvēkresursu ietvaros.</w:t>
            </w:r>
          </w:p>
        </w:tc>
      </w:tr>
      <w:tr w:rsidR="00600B68" w:rsidRPr="00600B68" w14:paraId="48A2FB66" w14:textId="77777777" w:rsidTr="00785EFA">
        <w:trPr>
          <w:trHeight w:val="476"/>
        </w:trPr>
        <w:tc>
          <w:tcPr>
            <w:tcW w:w="333" w:type="dxa"/>
          </w:tcPr>
          <w:p w14:paraId="57EA02A4" w14:textId="77777777" w:rsidR="000952B3" w:rsidRPr="00600B68" w:rsidRDefault="00B650B7" w:rsidP="001351FC">
            <w:pPr>
              <w:ind w:left="57" w:right="57"/>
              <w:jc w:val="both"/>
              <w:rPr>
                <w:bCs/>
              </w:rPr>
            </w:pPr>
            <w:r w:rsidRPr="00600B68">
              <w:rPr>
                <w:bCs/>
              </w:rPr>
              <w:t>3.</w:t>
            </w:r>
          </w:p>
        </w:tc>
        <w:tc>
          <w:tcPr>
            <w:tcW w:w="2634" w:type="dxa"/>
          </w:tcPr>
          <w:p w14:paraId="477425B2" w14:textId="77777777" w:rsidR="000952B3" w:rsidRPr="00600B68" w:rsidRDefault="00B650B7" w:rsidP="001351FC">
            <w:pPr>
              <w:ind w:left="57" w:right="57"/>
            </w:pPr>
            <w:r w:rsidRPr="00600B68">
              <w:t>Cita informācija</w:t>
            </w:r>
          </w:p>
        </w:tc>
        <w:tc>
          <w:tcPr>
            <w:tcW w:w="6379" w:type="dxa"/>
          </w:tcPr>
          <w:p w14:paraId="4DD6E884" w14:textId="363012EB" w:rsidR="000952B3" w:rsidRPr="00600B68" w:rsidRDefault="000A5450" w:rsidP="00FE5FE2">
            <w:pPr>
              <w:shd w:val="clear" w:color="auto" w:fill="FFFFFF"/>
              <w:ind w:left="57" w:right="113"/>
              <w:jc w:val="both"/>
            </w:pPr>
            <w:r w:rsidRPr="00600B68">
              <w:t>Nav.</w:t>
            </w:r>
          </w:p>
        </w:tc>
      </w:tr>
    </w:tbl>
    <w:p w14:paraId="2F936407" w14:textId="77777777" w:rsidR="007A045B" w:rsidRPr="00600B68" w:rsidRDefault="007A045B" w:rsidP="001351FC">
      <w:pPr>
        <w:rPr>
          <w:b/>
        </w:rPr>
      </w:pPr>
    </w:p>
    <w:p w14:paraId="44713091" w14:textId="77777777" w:rsidR="00AF0818" w:rsidRDefault="00AF0818" w:rsidP="001351FC"/>
    <w:p w14:paraId="75E622AF" w14:textId="77777777" w:rsidR="007D4CE3" w:rsidRPr="00600B68" w:rsidRDefault="007D4CE3" w:rsidP="001351FC"/>
    <w:tbl>
      <w:tblPr>
        <w:tblW w:w="0" w:type="auto"/>
        <w:tblLook w:val="04A0" w:firstRow="1" w:lastRow="0" w:firstColumn="1" w:lastColumn="0" w:noHBand="0" w:noVBand="1"/>
      </w:tblPr>
      <w:tblGrid>
        <w:gridCol w:w="3313"/>
        <w:gridCol w:w="1679"/>
        <w:gridCol w:w="1903"/>
        <w:gridCol w:w="476"/>
        <w:gridCol w:w="1700"/>
      </w:tblGrid>
      <w:tr w:rsidR="00600B68" w:rsidRPr="00600B68" w14:paraId="5834315E" w14:textId="77777777" w:rsidTr="00600B68">
        <w:tc>
          <w:tcPr>
            <w:tcW w:w="3313" w:type="dxa"/>
          </w:tcPr>
          <w:p w14:paraId="45610437" w14:textId="6ABA0989" w:rsidR="002D2BD0" w:rsidRPr="00600B68" w:rsidRDefault="002D2BD0" w:rsidP="002D2BD0">
            <w:pPr>
              <w:tabs>
                <w:tab w:val="left" w:pos="4320"/>
              </w:tabs>
            </w:pPr>
            <w:r w:rsidRPr="00600B68">
              <w:t>Izglītības un zinātnes ministre</w:t>
            </w:r>
          </w:p>
        </w:tc>
        <w:tc>
          <w:tcPr>
            <w:tcW w:w="1679" w:type="dxa"/>
          </w:tcPr>
          <w:p w14:paraId="31702815" w14:textId="77777777" w:rsidR="002D2BD0" w:rsidRPr="00600B68" w:rsidRDefault="002D2BD0" w:rsidP="002D2BD0">
            <w:pPr>
              <w:tabs>
                <w:tab w:val="left" w:pos="4320"/>
              </w:tabs>
            </w:pPr>
          </w:p>
        </w:tc>
        <w:tc>
          <w:tcPr>
            <w:tcW w:w="2379" w:type="dxa"/>
            <w:gridSpan w:val="2"/>
          </w:tcPr>
          <w:p w14:paraId="336E0D9E" w14:textId="77777777" w:rsidR="002D2BD0" w:rsidRPr="00600B68" w:rsidRDefault="002D2BD0" w:rsidP="002D2BD0">
            <w:pPr>
              <w:tabs>
                <w:tab w:val="left" w:pos="4320"/>
              </w:tabs>
            </w:pPr>
          </w:p>
        </w:tc>
        <w:tc>
          <w:tcPr>
            <w:tcW w:w="1700" w:type="dxa"/>
          </w:tcPr>
          <w:p w14:paraId="28B8E4F4" w14:textId="57CB75AB" w:rsidR="002D2BD0" w:rsidRPr="00600B68" w:rsidRDefault="002D2BD0" w:rsidP="002D2BD0">
            <w:pPr>
              <w:tabs>
                <w:tab w:val="left" w:pos="4320"/>
              </w:tabs>
            </w:pPr>
            <w:r w:rsidRPr="00600B68">
              <w:t xml:space="preserve">Ilga </w:t>
            </w:r>
            <w:proofErr w:type="spellStart"/>
            <w:r w:rsidRPr="00600B68">
              <w:t>Šuplinska</w:t>
            </w:r>
            <w:proofErr w:type="spellEnd"/>
          </w:p>
        </w:tc>
      </w:tr>
      <w:tr w:rsidR="00600B68" w:rsidRPr="00600B68" w14:paraId="184E6440" w14:textId="77777777" w:rsidTr="002D2BD0">
        <w:tc>
          <w:tcPr>
            <w:tcW w:w="3313" w:type="dxa"/>
          </w:tcPr>
          <w:p w14:paraId="6556BCFC" w14:textId="77777777" w:rsidR="002D2BD0" w:rsidRPr="00600B68" w:rsidRDefault="002D2BD0" w:rsidP="001351FC">
            <w:pPr>
              <w:pStyle w:val="NormalWeb"/>
              <w:spacing w:before="0" w:beforeAutospacing="0" w:after="0" w:afterAutospacing="0"/>
            </w:pPr>
          </w:p>
          <w:p w14:paraId="6EF7940B" w14:textId="77777777" w:rsidR="00CC2B2A" w:rsidRDefault="00CC2B2A" w:rsidP="001351FC">
            <w:pPr>
              <w:pStyle w:val="NormalWeb"/>
              <w:spacing w:before="0" w:beforeAutospacing="0" w:after="0" w:afterAutospacing="0"/>
            </w:pPr>
          </w:p>
          <w:p w14:paraId="18CD8731" w14:textId="77777777" w:rsidR="007D4CE3" w:rsidRPr="00600B68" w:rsidRDefault="007D4CE3" w:rsidP="001351FC">
            <w:pPr>
              <w:pStyle w:val="NormalWeb"/>
              <w:spacing w:before="0" w:beforeAutospacing="0" w:after="0" w:afterAutospacing="0"/>
            </w:pPr>
          </w:p>
          <w:p w14:paraId="4B9D0795" w14:textId="2B799526" w:rsidR="002D2BD0" w:rsidRPr="00600B68" w:rsidRDefault="002D2BD0" w:rsidP="00EA151B">
            <w:pPr>
              <w:pStyle w:val="NormalWeb"/>
              <w:spacing w:before="0" w:beforeAutospacing="0" w:after="0" w:afterAutospacing="0"/>
            </w:pPr>
            <w:r w:rsidRPr="00600B68">
              <w:t>Vizē:</w:t>
            </w:r>
            <w:r w:rsidRPr="00600B68">
              <w:tab/>
            </w:r>
          </w:p>
        </w:tc>
        <w:tc>
          <w:tcPr>
            <w:tcW w:w="1679" w:type="dxa"/>
          </w:tcPr>
          <w:p w14:paraId="43BC56A8" w14:textId="77777777" w:rsidR="002D2BD0" w:rsidRPr="00600B68" w:rsidRDefault="002D2BD0" w:rsidP="001351FC">
            <w:pPr>
              <w:tabs>
                <w:tab w:val="left" w:pos="4320"/>
              </w:tabs>
              <w:jc w:val="right"/>
            </w:pPr>
          </w:p>
        </w:tc>
        <w:tc>
          <w:tcPr>
            <w:tcW w:w="1903" w:type="dxa"/>
          </w:tcPr>
          <w:p w14:paraId="377D34CC" w14:textId="77777777" w:rsidR="002D2BD0" w:rsidRPr="00600B68" w:rsidRDefault="002D2BD0" w:rsidP="001351FC">
            <w:pPr>
              <w:tabs>
                <w:tab w:val="left" w:pos="4320"/>
              </w:tabs>
              <w:jc w:val="right"/>
            </w:pPr>
          </w:p>
        </w:tc>
        <w:tc>
          <w:tcPr>
            <w:tcW w:w="2176" w:type="dxa"/>
            <w:gridSpan w:val="2"/>
          </w:tcPr>
          <w:p w14:paraId="6238B884" w14:textId="200D40D7" w:rsidR="002D2BD0" w:rsidRPr="00600B68" w:rsidRDefault="002D2BD0" w:rsidP="001351FC">
            <w:pPr>
              <w:tabs>
                <w:tab w:val="left" w:pos="4320"/>
              </w:tabs>
              <w:jc w:val="right"/>
            </w:pPr>
          </w:p>
          <w:p w14:paraId="350B948B" w14:textId="0FC3E964" w:rsidR="002D2BD0" w:rsidRPr="00600B68" w:rsidRDefault="002D2BD0" w:rsidP="001351FC">
            <w:pPr>
              <w:tabs>
                <w:tab w:val="left" w:pos="4320"/>
              </w:tabs>
              <w:jc w:val="center"/>
            </w:pPr>
          </w:p>
        </w:tc>
      </w:tr>
    </w:tbl>
    <w:p w14:paraId="452EB243" w14:textId="6F7BC551" w:rsidR="00EA151B" w:rsidRPr="00600B68" w:rsidRDefault="008B2BBF" w:rsidP="00EA151B">
      <w:pPr>
        <w:tabs>
          <w:tab w:val="left" w:pos="4020"/>
        </w:tabs>
        <w:ind w:left="709" w:hanging="567"/>
      </w:pPr>
      <w:r w:rsidRPr="00600B68">
        <w:t>Valsts sekretār</w:t>
      </w:r>
      <w:r w:rsidR="00600B68" w:rsidRPr="00600B68">
        <w:t xml:space="preserve">e </w:t>
      </w:r>
      <w:r w:rsidRPr="00600B68">
        <w:t xml:space="preserve"> </w:t>
      </w:r>
      <w:r w:rsidR="00F3153D" w:rsidRPr="00600B68">
        <w:tab/>
      </w:r>
      <w:r w:rsidR="00F3153D" w:rsidRPr="00600B68">
        <w:tab/>
      </w:r>
      <w:r w:rsidR="00F3153D" w:rsidRPr="00600B68">
        <w:tab/>
      </w:r>
      <w:r w:rsidR="00F3153D" w:rsidRPr="00600B68">
        <w:tab/>
      </w:r>
      <w:r w:rsidR="00F3153D" w:rsidRPr="00600B68">
        <w:tab/>
      </w:r>
      <w:r w:rsidR="00F3153D" w:rsidRPr="00600B68">
        <w:tab/>
      </w:r>
      <w:r w:rsidR="00600B68" w:rsidRPr="00600B68">
        <w:tab/>
        <w:t>Līga Lejiņa</w:t>
      </w:r>
    </w:p>
    <w:p w14:paraId="1268B73B" w14:textId="77777777" w:rsidR="007A045B" w:rsidRPr="00600B68" w:rsidRDefault="007A045B" w:rsidP="001351FC"/>
    <w:p w14:paraId="68D36323" w14:textId="77777777" w:rsidR="001151C4" w:rsidRPr="00600B68" w:rsidRDefault="001151C4" w:rsidP="00F3153D">
      <w:pPr>
        <w:tabs>
          <w:tab w:val="left" w:pos="2340"/>
          <w:tab w:val="center" w:pos="4153"/>
          <w:tab w:val="right" w:pos="8306"/>
        </w:tabs>
        <w:rPr>
          <w:rFonts w:eastAsia="Times New Roman"/>
          <w:sz w:val="20"/>
          <w:szCs w:val="20"/>
        </w:rPr>
      </w:pPr>
    </w:p>
    <w:p w14:paraId="108F2416" w14:textId="77777777" w:rsidR="001151C4" w:rsidRPr="00600B68" w:rsidRDefault="001151C4" w:rsidP="00F3153D">
      <w:pPr>
        <w:tabs>
          <w:tab w:val="left" w:pos="2340"/>
          <w:tab w:val="center" w:pos="4153"/>
          <w:tab w:val="right" w:pos="8306"/>
        </w:tabs>
        <w:rPr>
          <w:rFonts w:eastAsia="Times New Roman"/>
          <w:sz w:val="20"/>
          <w:szCs w:val="20"/>
        </w:rPr>
      </w:pPr>
    </w:p>
    <w:p w14:paraId="77704C28" w14:textId="46B6FCEC" w:rsidR="009B6065" w:rsidRPr="00600B68" w:rsidRDefault="009B6065" w:rsidP="009B6065">
      <w:pPr>
        <w:rPr>
          <w:sz w:val="20"/>
          <w:szCs w:val="20"/>
        </w:rPr>
      </w:pPr>
      <w:r w:rsidRPr="00600B68">
        <w:rPr>
          <w:sz w:val="20"/>
          <w:szCs w:val="20"/>
        </w:rPr>
        <w:fldChar w:fldCharType="begin"/>
      </w:r>
      <w:r w:rsidRPr="00600B68">
        <w:rPr>
          <w:sz w:val="20"/>
          <w:szCs w:val="20"/>
        </w:rPr>
        <w:instrText xml:space="preserve"> DATE  \@ "dd.MM.yyyy H:mm"  \* MERGEFORMAT </w:instrText>
      </w:r>
      <w:r w:rsidRPr="00600B68">
        <w:rPr>
          <w:sz w:val="20"/>
          <w:szCs w:val="20"/>
        </w:rPr>
        <w:fldChar w:fldCharType="separate"/>
      </w:r>
      <w:r w:rsidR="00192C5F">
        <w:rPr>
          <w:noProof/>
          <w:sz w:val="20"/>
          <w:szCs w:val="20"/>
        </w:rPr>
        <w:t>09.04.2019 11:29</w:t>
      </w:r>
      <w:r w:rsidRPr="00600B68">
        <w:rPr>
          <w:sz w:val="20"/>
          <w:szCs w:val="20"/>
        </w:rPr>
        <w:fldChar w:fldCharType="end"/>
      </w:r>
    </w:p>
    <w:p w14:paraId="2A269C9C" w14:textId="33A8FA84" w:rsidR="009B6065" w:rsidRPr="00600B68" w:rsidRDefault="009B6065" w:rsidP="009B6065">
      <w:pPr>
        <w:rPr>
          <w:sz w:val="20"/>
          <w:szCs w:val="20"/>
        </w:rPr>
      </w:pPr>
      <w:r w:rsidRPr="00600B68">
        <w:rPr>
          <w:sz w:val="20"/>
          <w:szCs w:val="20"/>
        </w:rPr>
        <w:fldChar w:fldCharType="begin"/>
      </w:r>
      <w:r w:rsidRPr="00600B68">
        <w:rPr>
          <w:sz w:val="20"/>
          <w:szCs w:val="20"/>
        </w:rPr>
        <w:instrText xml:space="preserve"> NUMWORDS   \* MERGEFORMAT </w:instrText>
      </w:r>
      <w:r w:rsidRPr="00600B68">
        <w:rPr>
          <w:sz w:val="20"/>
          <w:szCs w:val="20"/>
        </w:rPr>
        <w:fldChar w:fldCharType="separate"/>
      </w:r>
      <w:r w:rsidR="00192C5F">
        <w:rPr>
          <w:noProof/>
          <w:sz w:val="20"/>
          <w:szCs w:val="20"/>
        </w:rPr>
        <w:t>2045</w:t>
      </w:r>
      <w:r w:rsidRPr="00600B68">
        <w:rPr>
          <w:sz w:val="20"/>
          <w:szCs w:val="20"/>
        </w:rPr>
        <w:fldChar w:fldCharType="end"/>
      </w:r>
    </w:p>
    <w:p w14:paraId="7D38F656" w14:textId="77777777" w:rsidR="009B6065" w:rsidRDefault="009B6065" w:rsidP="009B6065">
      <w:pPr>
        <w:rPr>
          <w:sz w:val="20"/>
          <w:szCs w:val="20"/>
        </w:rPr>
      </w:pPr>
    </w:p>
    <w:p w14:paraId="0B6D1EC5" w14:textId="77777777" w:rsidR="00094B40" w:rsidRDefault="00094B40" w:rsidP="009B6065">
      <w:pPr>
        <w:rPr>
          <w:sz w:val="20"/>
          <w:szCs w:val="20"/>
        </w:rPr>
      </w:pPr>
    </w:p>
    <w:p w14:paraId="744212E7" w14:textId="77777777" w:rsidR="00094B40" w:rsidRDefault="00094B40" w:rsidP="009B6065">
      <w:pPr>
        <w:rPr>
          <w:sz w:val="20"/>
          <w:szCs w:val="20"/>
        </w:rPr>
      </w:pPr>
    </w:p>
    <w:p w14:paraId="25DC0F9F" w14:textId="77777777" w:rsidR="00094B40" w:rsidRPr="00600B68" w:rsidRDefault="00094B40" w:rsidP="009B6065">
      <w:pPr>
        <w:rPr>
          <w:sz w:val="20"/>
          <w:szCs w:val="20"/>
        </w:rPr>
      </w:pPr>
    </w:p>
    <w:p w14:paraId="2652CCBD" w14:textId="77777777" w:rsidR="009B6065" w:rsidRPr="00600B68" w:rsidRDefault="009B6065" w:rsidP="009B6065">
      <w:pPr>
        <w:rPr>
          <w:sz w:val="20"/>
          <w:szCs w:val="20"/>
        </w:rPr>
      </w:pPr>
      <w:proofErr w:type="spellStart"/>
      <w:r w:rsidRPr="00600B68">
        <w:rPr>
          <w:sz w:val="20"/>
          <w:szCs w:val="20"/>
        </w:rPr>
        <w:t>I..Švirksta</w:t>
      </w:r>
      <w:proofErr w:type="spellEnd"/>
      <w:r w:rsidRPr="00600B68">
        <w:rPr>
          <w:sz w:val="20"/>
          <w:szCs w:val="20"/>
        </w:rPr>
        <w:t xml:space="preserve"> 67047878</w:t>
      </w:r>
    </w:p>
    <w:p w14:paraId="495E2CA3" w14:textId="51852DC0" w:rsidR="009B6065" w:rsidRPr="00600B68" w:rsidRDefault="00782421" w:rsidP="009B6065">
      <w:pPr>
        <w:tabs>
          <w:tab w:val="left" w:pos="2340"/>
          <w:tab w:val="center" w:pos="4153"/>
          <w:tab w:val="right" w:pos="8306"/>
        </w:tabs>
        <w:rPr>
          <w:rFonts w:eastAsia="Times New Roman"/>
          <w:sz w:val="20"/>
          <w:szCs w:val="20"/>
        </w:rPr>
      </w:pPr>
      <w:hyperlink r:id="rId11" w:history="1">
        <w:r w:rsidR="009B6065" w:rsidRPr="00600B68">
          <w:rPr>
            <w:rStyle w:val="Hyperlink"/>
            <w:color w:val="auto"/>
            <w:sz w:val="20"/>
            <w:szCs w:val="20"/>
          </w:rPr>
          <w:t>inta.svirksta@izm.gov.lv</w:t>
        </w:r>
      </w:hyperlink>
    </w:p>
    <w:p w14:paraId="3CE34F91" w14:textId="77777777" w:rsidR="009B6065" w:rsidRPr="00600B68" w:rsidRDefault="009B6065" w:rsidP="00F3153D">
      <w:pPr>
        <w:tabs>
          <w:tab w:val="left" w:pos="2340"/>
          <w:tab w:val="center" w:pos="4153"/>
          <w:tab w:val="right" w:pos="8306"/>
        </w:tabs>
        <w:rPr>
          <w:rFonts w:eastAsia="Times New Roman"/>
          <w:sz w:val="20"/>
          <w:szCs w:val="20"/>
        </w:rPr>
      </w:pPr>
    </w:p>
    <w:p w14:paraId="236CE510" w14:textId="77777777" w:rsidR="00CC2B2A" w:rsidRPr="00600B68" w:rsidRDefault="00CC2B2A" w:rsidP="00CC2B2A">
      <w:pPr>
        <w:rPr>
          <w:rFonts w:eastAsiaTheme="minorHAnsi"/>
          <w:sz w:val="20"/>
          <w:szCs w:val="22"/>
          <w:lang w:eastAsia="en-US"/>
        </w:rPr>
      </w:pPr>
      <w:r w:rsidRPr="00600B68">
        <w:rPr>
          <w:sz w:val="20"/>
        </w:rPr>
        <w:t>Griķe 67047861</w:t>
      </w:r>
    </w:p>
    <w:p w14:paraId="239C5E86" w14:textId="77777777" w:rsidR="00CC2B2A" w:rsidRPr="00600B68" w:rsidRDefault="00782421" w:rsidP="00CC2B2A">
      <w:pPr>
        <w:rPr>
          <w:rStyle w:val="Hyperlink"/>
          <w:color w:val="auto"/>
          <w:sz w:val="20"/>
        </w:rPr>
      </w:pPr>
      <w:hyperlink r:id="rId12" w:history="1">
        <w:r w:rsidR="00CC2B2A" w:rsidRPr="00600B68">
          <w:rPr>
            <w:rStyle w:val="Hyperlink"/>
            <w:color w:val="auto"/>
            <w:sz w:val="20"/>
          </w:rPr>
          <w:t>Ieva.Grike@izm.gov.lv</w:t>
        </w:r>
      </w:hyperlink>
    </w:p>
    <w:p w14:paraId="6E837871" w14:textId="77777777" w:rsidR="00FE7980" w:rsidRPr="00600B68" w:rsidRDefault="00FE7980" w:rsidP="003676E2">
      <w:pPr>
        <w:rPr>
          <w:sz w:val="20"/>
        </w:rPr>
      </w:pPr>
    </w:p>
    <w:sectPr w:rsidR="00FE7980" w:rsidRPr="00600B68" w:rsidSect="003B01C6">
      <w:headerReference w:type="default" r:id="rId13"/>
      <w:footerReference w:type="defaul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7C1D8" w14:textId="77777777" w:rsidR="00A61A8E" w:rsidRDefault="00A61A8E">
      <w:r>
        <w:separator/>
      </w:r>
    </w:p>
  </w:endnote>
  <w:endnote w:type="continuationSeparator" w:id="0">
    <w:p w14:paraId="7D5B7AE2" w14:textId="77777777" w:rsidR="00A61A8E" w:rsidRDefault="00A6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FBBC8" w14:textId="7D253728" w:rsidR="00782421" w:rsidRPr="00521075" w:rsidRDefault="00782421" w:rsidP="00176E94">
    <w:pPr>
      <w:pStyle w:val="Footer"/>
      <w:tabs>
        <w:tab w:val="clear" w:pos="8306"/>
      </w:tabs>
      <w:jc w:val="both"/>
      <w:rPr>
        <w:noProof/>
        <w:sz w:val="20"/>
        <w:szCs w:val="20"/>
      </w:rPr>
    </w:pPr>
    <w:r>
      <w:rPr>
        <w:noProof/>
        <w:sz w:val="20"/>
        <w:szCs w:val="20"/>
      </w:rPr>
      <w:fldChar w:fldCharType="begin"/>
    </w:r>
    <w:r>
      <w:rPr>
        <w:noProof/>
        <w:sz w:val="20"/>
        <w:szCs w:val="20"/>
      </w:rPr>
      <w:instrText xml:space="preserve"> FILENAME   \* MERGEFORMAT </w:instrText>
    </w:r>
    <w:r>
      <w:rPr>
        <w:noProof/>
        <w:sz w:val="20"/>
        <w:szCs w:val="20"/>
      </w:rPr>
      <w:fldChar w:fldCharType="separate"/>
    </w:r>
    <w:r w:rsidR="001D78E9">
      <w:rPr>
        <w:noProof/>
        <w:sz w:val="20"/>
        <w:szCs w:val="20"/>
      </w:rPr>
      <w:t>IZMAnot_090419_1111</w:t>
    </w:r>
    <w:r>
      <w:rPr>
        <w:noProof/>
        <w:sz w:val="20"/>
        <w:szCs w:val="20"/>
      </w:rPr>
      <w:fldChar w:fldCharType="end"/>
    </w:r>
    <w:r>
      <w:rPr>
        <w:noProof/>
        <w:sz w:val="20"/>
        <w:szCs w:val="20"/>
      </w:rPr>
      <w:t xml:space="preserve">; </w:t>
    </w:r>
    <w:r w:rsidRPr="0099788D">
      <w:rPr>
        <w:color w:val="000000" w:themeColor="text1"/>
        <w:sz w:val="20"/>
        <w:szCs w:val="20"/>
      </w:rPr>
      <w:t>Ministru kabineta noteikumu "Grozījumi Ministru kabineta 2016. gada 12. janvāra noteikumos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projekta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418D3" w14:textId="6257CB36" w:rsidR="00782421" w:rsidRPr="00AB4574" w:rsidRDefault="00782421" w:rsidP="00192C5F">
    <w:pPr>
      <w:pStyle w:val="Footer"/>
      <w:jc w:val="both"/>
    </w:pPr>
    <w:r>
      <w:rPr>
        <w:noProof/>
        <w:sz w:val="20"/>
        <w:szCs w:val="20"/>
      </w:rPr>
      <w:fldChar w:fldCharType="begin"/>
    </w:r>
    <w:r>
      <w:rPr>
        <w:noProof/>
        <w:sz w:val="20"/>
        <w:szCs w:val="20"/>
      </w:rPr>
      <w:instrText xml:space="preserve"> FILENAME   \* MERGEFORMAT </w:instrText>
    </w:r>
    <w:r>
      <w:rPr>
        <w:noProof/>
        <w:sz w:val="20"/>
        <w:szCs w:val="20"/>
      </w:rPr>
      <w:fldChar w:fldCharType="separate"/>
    </w:r>
    <w:r w:rsidR="00192C5F">
      <w:rPr>
        <w:noProof/>
        <w:sz w:val="20"/>
        <w:szCs w:val="20"/>
      </w:rPr>
      <w:t>IZMAnot_090419_1111</w:t>
    </w:r>
    <w:r>
      <w:rPr>
        <w:noProof/>
        <w:sz w:val="20"/>
        <w:szCs w:val="20"/>
      </w:rPr>
      <w:fldChar w:fldCharType="end"/>
    </w:r>
    <w:r>
      <w:rPr>
        <w:noProof/>
        <w:sz w:val="20"/>
        <w:szCs w:val="20"/>
      </w:rPr>
      <w:t xml:space="preserve">; </w:t>
    </w:r>
    <w:r w:rsidRPr="0099788D">
      <w:rPr>
        <w:color w:val="000000" w:themeColor="text1"/>
        <w:sz w:val="20"/>
        <w:szCs w:val="20"/>
      </w:rPr>
      <w:t>Ministru kabineta noteikumu "Grozījumi Ministru kabineta 2016. gada 12. janvāra noteikumos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projekta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AB4D0" w14:textId="77777777" w:rsidR="00A61A8E" w:rsidRDefault="00A61A8E">
      <w:r>
        <w:separator/>
      </w:r>
    </w:p>
  </w:footnote>
  <w:footnote w:type="continuationSeparator" w:id="0">
    <w:p w14:paraId="5DBD3389" w14:textId="77777777" w:rsidR="00A61A8E" w:rsidRDefault="00A6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740153"/>
      <w:docPartObj>
        <w:docPartGallery w:val="Page Numbers (Top of Page)"/>
        <w:docPartUnique/>
      </w:docPartObj>
    </w:sdtPr>
    <w:sdtEndPr>
      <w:rPr>
        <w:noProof/>
      </w:rPr>
    </w:sdtEndPr>
    <w:sdtContent>
      <w:p w14:paraId="7D8F98E8" w14:textId="77777777" w:rsidR="00782421" w:rsidRDefault="00782421">
        <w:pPr>
          <w:pStyle w:val="Header"/>
          <w:jc w:val="center"/>
        </w:pPr>
        <w:r>
          <w:fldChar w:fldCharType="begin"/>
        </w:r>
        <w:r>
          <w:instrText xml:space="preserve"> PAGE   \* MERGEFORMAT </w:instrText>
        </w:r>
        <w:r>
          <w:fldChar w:fldCharType="separate"/>
        </w:r>
        <w:r w:rsidR="007A4F23">
          <w:rPr>
            <w:noProof/>
          </w:rPr>
          <w:t>8</w:t>
        </w:r>
        <w:r>
          <w:rPr>
            <w:noProof/>
          </w:rPr>
          <w:fldChar w:fldCharType="end"/>
        </w:r>
      </w:p>
    </w:sdtContent>
  </w:sdt>
  <w:p w14:paraId="08EA09F9" w14:textId="77777777" w:rsidR="00782421" w:rsidRDefault="00782421" w:rsidP="00521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0A7"/>
    <w:multiLevelType w:val="hybridMultilevel"/>
    <w:tmpl w:val="B7FCBE90"/>
    <w:lvl w:ilvl="0" w:tplc="947E2E7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F621C"/>
    <w:multiLevelType w:val="hybridMultilevel"/>
    <w:tmpl w:val="98D49D5C"/>
    <w:lvl w:ilvl="0" w:tplc="539AB96E">
      <w:start w:val="1"/>
      <w:numFmt w:val="bullet"/>
      <w:lvlText w:val=""/>
      <w:lvlJc w:val="left"/>
      <w:pPr>
        <w:ind w:left="754" w:hanging="360"/>
      </w:pPr>
      <w:rPr>
        <w:rFonts w:ascii="Symbol" w:hAnsi="Symbol" w:hint="default"/>
      </w:rPr>
    </w:lvl>
    <w:lvl w:ilvl="1" w:tplc="6198616E" w:tentative="1">
      <w:start w:val="1"/>
      <w:numFmt w:val="bullet"/>
      <w:lvlText w:val="o"/>
      <w:lvlJc w:val="left"/>
      <w:pPr>
        <w:ind w:left="1474" w:hanging="360"/>
      </w:pPr>
      <w:rPr>
        <w:rFonts w:ascii="Courier New" w:hAnsi="Courier New" w:cs="Courier New" w:hint="default"/>
      </w:rPr>
    </w:lvl>
    <w:lvl w:ilvl="2" w:tplc="3014D0EA" w:tentative="1">
      <w:start w:val="1"/>
      <w:numFmt w:val="bullet"/>
      <w:lvlText w:val=""/>
      <w:lvlJc w:val="left"/>
      <w:pPr>
        <w:ind w:left="2194" w:hanging="360"/>
      </w:pPr>
      <w:rPr>
        <w:rFonts w:ascii="Wingdings" w:hAnsi="Wingdings" w:hint="default"/>
      </w:rPr>
    </w:lvl>
    <w:lvl w:ilvl="3" w:tplc="38EE95B8" w:tentative="1">
      <w:start w:val="1"/>
      <w:numFmt w:val="bullet"/>
      <w:lvlText w:val=""/>
      <w:lvlJc w:val="left"/>
      <w:pPr>
        <w:ind w:left="2914" w:hanging="360"/>
      </w:pPr>
      <w:rPr>
        <w:rFonts w:ascii="Symbol" w:hAnsi="Symbol" w:hint="default"/>
      </w:rPr>
    </w:lvl>
    <w:lvl w:ilvl="4" w:tplc="598EFF7A" w:tentative="1">
      <w:start w:val="1"/>
      <w:numFmt w:val="bullet"/>
      <w:lvlText w:val="o"/>
      <w:lvlJc w:val="left"/>
      <w:pPr>
        <w:ind w:left="3634" w:hanging="360"/>
      </w:pPr>
      <w:rPr>
        <w:rFonts w:ascii="Courier New" w:hAnsi="Courier New" w:cs="Courier New" w:hint="default"/>
      </w:rPr>
    </w:lvl>
    <w:lvl w:ilvl="5" w:tplc="B40827D0" w:tentative="1">
      <w:start w:val="1"/>
      <w:numFmt w:val="bullet"/>
      <w:lvlText w:val=""/>
      <w:lvlJc w:val="left"/>
      <w:pPr>
        <w:ind w:left="4354" w:hanging="360"/>
      </w:pPr>
      <w:rPr>
        <w:rFonts w:ascii="Wingdings" w:hAnsi="Wingdings" w:hint="default"/>
      </w:rPr>
    </w:lvl>
    <w:lvl w:ilvl="6" w:tplc="99840C46" w:tentative="1">
      <w:start w:val="1"/>
      <w:numFmt w:val="bullet"/>
      <w:lvlText w:val=""/>
      <w:lvlJc w:val="left"/>
      <w:pPr>
        <w:ind w:left="5074" w:hanging="360"/>
      </w:pPr>
      <w:rPr>
        <w:rFonts w:ascii="Symbol" w:hAnsi="Symbol" w:hint="default"/>
      </w:rPr>
    </w:lvl>
    <w:lvl w:ilvl="7" w:tplc="48F68A4C" w:tentative="1">
      <w:start w:val="1"/>
      <w:numFmt w:val="bullet"/>
      <w:lvlText w:val="o"/>
      <w:lvlJc w:val="left"/>
      <w:pPr>
        <w:ind w:left="5794" w:hanging="360"/>
      </w:pPr>
      <w:rPr>
        <w:rFonts w:ascii="Courier New" w:hAnsi="Courier New" w:cs="Courier New" w:hint="default"/>
      </w:rPr>
    </w:lvl>
    <w:lvl w:ilvl="8" w:tplc="0284EFD8" w:tentative="1">
      <w:start w:val="1"/>
      <w:numFmt w:val="bullet"/>
      <w:lvlText w:val=""/>
      <w:lvlJc w:val="left"/>
      <w:pPr>
        <w:ind w:left="6514" w:hanging="360"/>
      </w:pPr>
      <w:rPr>
        <w:rFonts w:ascii="Wingdings" w:hAnsi="Wingdings" w:hint="default"/>
      </w:rPr>
    </w:lvl>
  </w:abstractNum>
  <w:abstractNum w:abstractNumId="2">
    <w:nsid w:val="0D133711"/>
    <w:multiLevelType w:val="hybridMultilevel"/>
    <w:tmpl w:val="6EE004F2"/>
    <w:lvl w:ilvl="0" w:tplc="C152F7CE">
      <w:start w:val="1"/>
      <w:numFmt w:val="decimal"/>
      <w:lvlText w:val="%1."/>
      <w:lvlJc w:val="left"/>
      <w:pPr>
        <w:ind w:left="720" w:hanging="360"/>
      </w:pPr>
    </w:lvl>
    <w:lvl w:ilvl="1" w:tplc="3CD067AC" w:tentative="1">
      <w:start w:val="1"/>
      <w:numFmt w:val="lowerLetter"/>
      <w:lvlText w:val="%2."/>
      <w:lvlJc w:val="left"/>
      <w:pPr>
        <w:ind w:left="1440" w:hanging="360"/>
      </w:pPr>
    </w:lvl>
    <w:lvl w:ilvl="2" w:tplc="8B163E64" w:tentative="1">
      <w:start w:val="1"/>
      <w:numFmt w:val="lowerRoman"/>
      <w:lvlText w:val="%3."/>
      <w:lvlJc w:val="right"/>
      <w:pPr>
        <w:ind w:left="2160" w:hanging="180"/>
      </w:pPr>
    </w:lvl>
    <w:lvl w:ilvl="3" w:tplc="D9E47EDE" w:tentative="1">
      <w:start w:val="1"/>
      <w:numFmt w:val="decimal"/>
      <w:lvlText w:val="%4."/>
      <w:lvlJc w:val="left"/>
      <w:pPr>
        <w:ind w:left="2880" w:hanging="360"/>
      </w:pPr>
    </w:lvl>
    <w:lvl w:ilvl="4" w:tplc="ACD87378" w:tentative="1">
      <w:start w:val="1"/>
      <w:numFmt w:val="lowerLetter"/>
      <w:lvlText w:val="%5."/>
      <w:lvlJc w:val="left"/>
      <w:pPr>
        <w:ind w:left="3600" w:hanging="360"/>
      </w:pPr>
    </w:lvl>
    <w:lvl w:ilvl="5" w:tplc="46B4CC26" w:tentative="1">
      <w:start w:val="1"/>
      <w:numFmt w:val="lowerRoman"/>
      <w:lvlText w:val="%6."/>
      <w:lvlJc w:val="right"/>
      <w:pPr>
        <w:ind w:left="4320" w:hanging="180"/>
      </w:pPr>
    </w:lvl>
    <w:lvl w:ilvl="6" w:tplc="8A2895D4" w:tentative="1">
      <w:start w:val="1"/>
      <w:numFmt w:val="decimal"/>
      <w:lvlText w:val="%7."/>
      <w:lvlJc w:val="left"/>
      <w:pPr>
        <w:ind w:left="5040" w:hanging="360"/>
      </w:pPr>
    </w:lvl>
    <w:lvl w:ilvl="7" w:tplc="50E0FBE6" w:tentative="1">
      <w:start w:val="1"/>
      <w:numFmt w:val="lowerLetter"/>
      <w:lvlText w:val="%8."/>
      <w:lvlJc w:val="left"/>
      <w:pPr>
        <w:ind w:left="5760" w:hanging="360"/>
      </w:pPr>
    </w:lvl>
    <w:lvl w:ilvl="8" w:tplc="6E30B3C0" w:tentative="1">
      <w:start w:val="1"/>
      <w:numFmt w:val="lowerRoman"/>
      <w:lvlText w:val="%9."/>
      <w:lvlJc w:val="right"/>
      <w:pPr>
        <w:ind w:left="6480" w:hanging="180"/>
      </w:pPr>
    </w:lvl>
  </w:abstractNum>
  <w:abstractNum w:abstractNumId="3">
    <w:nsid w:val="0D191B38"/>
    <w:multiLevelType w:val="hybridMultilevel"/>
    <w:tmpl w:val="84C6481C"/>
    <w:lvl w:ilvl="0" w:tplc="F2FA04E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D4C5E04"/>
    <w:multiLevelType w:val="hybridMultilevel"/>
    <w:tmpl w:val="2BA6FEEC"/>
    <w:lvl w:ilvl="0" w:tplc="3F5E6684">
      <w:start w:val="1"/>
      <w:numFmt w:val="decimal"/>
      <w:lvlText w:val="%1."/>
      <w:lvlJc w:val="left"/>
      <w:pPr>
        <w:ind w:left="720" w:hanging="360"/>
      </w:pPr>
    </w:lvl>
    <w:lvl w:ilvl="1" w:tplc="5C2C69A0" w:tentative="1">
      <w:start w:val="1"/>
      <w:numFmt w:val="lowerLetter"/>
      <w:lvlText w:val="%2."/>
      <w:lvlJc w:val="left"/>
      <w:pPr>
        <w:ind w:left="1440" w:hanging="360"/>
      </w:pPr>
    </w:lvl>
    <w:lvl w:ilvl="2" w:tplc="8236E16C" w:tentative="1">
      <w:start w:val="1"/>
      <w:numFmt w:val="lowerRoman"/>
      <w:lvlText w:val="%3."/>
      <w:lvlJc w:val="right"/>
      <w:pPr>
        <w:ind w:left="2160" w:hanging="180"/>
      </w:pPr>
    </w:lvl>
    <w:lvl w:ilvl="3" w:tplc="7D8A81A0" w:tentative="1">
      <w:start w:val="1"/>
      <w:numFmt w:val="decimal"/>
      <w:lvlText w:val="%4."/>
      <w:lvlJc w:val="left"/>
      <w:pPr>
        <w:ind w:left="2880" w:hanging="360"/>
      </w:pPr>
    </w:lvl>
    <w:lvl w:ilvl="4" w:tplc="49DE5DA8" w:tentative="1">
      <w:start w:val="1"/>
      <w:numFmt w:val="lowerLetter"/>
      <w:lvlText w:val="%5."/>
      <w:lvlJc w:val="left"/>
      <w:pPr>
        <w:ind w:left="3600" w:hanging="360"/>
      </w:pPr>
    </w:lvl>
    <w:lvl w:ilvl="5" w:tplc="4EA202C0" w:tentative="1">
      <w:start w:val="1"/>
      <w:numFmt w:val="lowerRoman"/>
      <w:lvlText w:val="%6."/>
      <w:lvlJc w:val="right"/>
      <w:pPr>
        <w:ind w:left="4320" w:hanging="180"/>
      </w:pPr>
    </w:lvl>
    <w:lvl w:ilvl="6" w:tplc="D5DCEF2C" w:tentative="1">
      <w:start w:val="1"/>
      <w:numFmt w:val="decimal"/>
      <w:lvlText w:val="%7."/>
      <w:lvlJc w:val="left"/>
      <w:pPr>
        <w:ind w:left="5040" w:hanging="360"/>
      </w:pPr>
    </w:lvl>
    <w:lvl w:ilvl="7" w:tplc="215C3218" w:tentative="1">
      <w:start w:val="1"/>
      <w:numFmt w:val="lowerLetter"/>
      <w:lvlText w:val="%8."/>
      <w:lvlJc w:val="left"/>
      <w:pPr>
        <w:ind w:left="5760" w:hanging="360"/>
      </w:pPr>
    </w:lvl>
    <w:lvl w:ilvl="8" w:tplc="0F243188" w:tentative="1">
      <w:start w:val="1"/>
      <w:numFmt w:val="lowerRoman"/>
      <w:lvlText w:val="%9."/>
      <w:lvlJc w:val="right"/>
      <w:pPr>
        <w:ind w:left="6480" w:hanging="180"/>
      </w:pPr>
    </w:lvl>
  </w:abstractNum>
  <w:abstractNum w:abstractNumId="5">
    <w:nsid w:val="1A5903C8"/>
    <w:multiLevelType w:val="hybridMultilevel"/>
    <w:tmpl w:val="95543244"/>
    <w:lvl w:ilvl="0" w:tplc="A866DC78">
      <w:start w:val="1"/>
      <w:numFmt w:val="bullet"/>
      <w:lvlText w:val=""/>
      <w:lvlJc w:val="left"/>
      <w:pPr>
        <w:ind w:left="777" w:hanging="360"/>
      </w:pPr>
      <w:rPr>
        <w:rFonts w:ascii="Symbol" w:hAnsi="Symbol" w:hint="default"/>
      </w:rPr>
    </w:lvl>
    <w:lvl w:ilvl="1" w:tplc="63D2D884" w:tentative="1">
      <w:start w:val="1"/>
      <w:numFmt w:val="bullet"/>
      <w:lvlText w:val="o"/>
      <w:lvlJc w:val="left"/>
      <w:pPr>
        <w:ind w:left="1497" w:hanging="360"/>
      </w:pPr>
      <w:rPr>
        <w:rFonts w:ascii="Courier New" w:hAnsi="Courier New" w:cs="Courier New" w:hint="default"/>
      </w:rPr>
    </w:lvl>
    <w:lvl w:ilvl="2" w:tplc="C6F05ECC" w:tentative="1">
      <w:start w:val="1"/>
      <w:numFmt w:val="bullet"/>
      <w:lvlText w:val=""/>
      <w:lvlJc w:val="left"/>
      <w:pPr>
        <w:ind w:left="2217" w:hanging="360"/>
      </w:pPr>
      <w:rPr>
        <w:rFonts w:ascii="Wingdings" w:hAnsi="Wingdings" w:hint="default"/>
      </w:rPr>
    </w:lvl>
    <w:lvl w:ilvl="3" w:tplc="13D2DD98" w:tentative="1">
      <w:start w:val="1"/>
      <w:numFmt w:val="bullet"/>
      <w:lvlText w:val=""/>
      <w:lvlJc w:val="left"/>
      <w:pPr>
        <w:ind w:left="2937" w:hanging="360"/>
      </w:pPr>
      <w:rPr>
        <w:rFonts w:ascii="Symbol" w:hAnsi="Symbol" w:hint="default"/>
      </w:rPr>
    </w:lvl>
    <w:lvl w:ilvl="4" w:tplc="A03CAF4C" w:tentative="1">
      <w:start w:val="1"/>
      <w:numFmt w:val="bullet"/>
      <w:lvlText w:val="o"/>
      <w:lvlJc w:val="left"/>
      <w:pPr>
        <w:ind w:left="3657" w:hanging="360"/>
      </w:pPr>
      <w:rPr>
        <w:rFonts w:ascii="Courier New" w:hAnsi="Courier New" w:cs="Courier New" w:hint="default"/>
      </w:rPr>
    </w:lvl>
    <w:lvl w:ilvl="5" w:tplc="75B8743C" w:tentative="1">
      <w:start w:val="1"/>
      <w:numFmt w:val="bullet"/>
      <w:lvlText w:val=""/>
      <w:lvlJc w:val="left"/>
      <w:pPr>
        <w:ind w:left="4377" w:hanging="360"/>
      </w:pPr>
      <w:rPr>
        <w:rFonts w:ascii="Wingdings" w:hAnsi="Wingdings" w:hint="default"/>
      </w:rPr>
    </w:lvl>
    <w:lvl w:ilvl="6" w:tplc="99E447AE" w:tentative="1">
      <w:start w:val="1"/>
      <w:numFmt w:val="bullet"/>
      <w:lvlText w:val=""/>
      <w:lvlJc w:val="left"/>
      <w:pPr>
        <w:ind w:left="5097" w:hanging="360"/>
      </w:pPr>
      <w:rPr>
        <w:rFonts w:ascii="Symbol" w:hAnsi="Symbol" w:hint="default"/>
      </w:rPr>
    </w:lvl>
    <w:lvl w:ilvl="7" w:tplc="476ED51E" w:tentative="1">
      <w:start w:val="1"/>
      <w:numFmt w:val="bullet"/>
      <w:lvlText w:val="o"/>
      <w:lvlJc w:val="left"/>
      <w:pPr>
        <w:ind w:left="5817" w:hanging="360"/>
      </w:pPr>
      <w:rPr>
        <w:rFonts w:ascii="Courier New" w:hAnsi="Courier New" w:cs="Courier New" w:hint="default"/>
      </w:rPr>
    </w:lvl>
    <w:lvl w:ilvl="8" w:tplc="8E68D1F6" w:tentative="1">
      <w:start w:val="1"/>
      <w:numFmt w:val="bullet"/>
      <w:lvlText w:val=""/>
      <w:lvlJc w:val="left"/>
      <w:pPr>
        <w:ind w:left="6537" w:hanging="360"/>
      </w:pPr>
      <w:rPr>
        <w:rFonts w:ascii="Wingdings" w:hAnsi="Wingdings" w:hint="default"/>
      </w:rPr>
    </w:lvl>
  </w:abstractNum>
  <w:abstractNum w:abstractNumId="6">
    <w:nsid w:val="1D0D3033"/>
    <w:multiLevelType w:val="hybridMultilevel"/>
    <w:tmpl w:val="94F4EC7A"/>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4EB7C61"/>
    <w:multiLevelType w:val="hybridMultilevel"/>
    <w:tmpl w:val="D1FAE87A"/>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4874DD1"/>
    <w:multiLevelType w:val="hybridMultilevel"/>
    <w:tmpl w:val="42588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827329"/>
    <w:multiLevelType w:val="hybridMultilevel"/>
    <w:tmpl w:val="CCEC3474"/>
    <w:lvl w:ilvl="0" w:tplc="CDA4A210">
      <w:start w:val="5"/>
      <w:numFmt w:val="bullet"/>
      <w:lvlText w:val="-"/>
      <w:lvlJc w:val="left"/>
      <w:pPr>
        <w:ind w:left="417" w:hanging="360"/>
      </w:pPr>
      <w:rPr>
        <w:rFonts w:ascii="Times New Roman" w:eastAsia="Times New Roman" w:hAnsi="Times New Roman" w:cs="Times New Roman" w:hint="default"/>
        <w:sz w:val="28"/>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10">
    <w:nsid w:val="47821293"/>
    <w:multiLevelType w:val="hybridMultilevel"/>
    <w:tmpl w:val="91F851B8"/>
    <w:lvl w:ilvl="0" w:tplc="2DC42034">
      <w:start w:val="1"/>
      <w:numFmt w:val="decimal"/>
      <w:lvlText w:val="%1."/>
      <w:lvlJc w:val="left"/>
      <w:pPr>
        <w:ind w:left="720" w:hanging="360"/>
      </w:pPr>
    </w:lvl>
    <w:lvl w:ilvl="1" w:tplc="F2A41AC8" w:tentative="1">
      <w:start w:val="1"/>
      <w:numFmt w:val="lowerLetter"/>
      <w:lvlText w:val="%2."/>
      <w:lvlJc w:val="left"/>
      <w:pPr>
        <w:ind w:left="1440" w:hanging="360"/>
      </w:pPr>
    </w:lvl>
    <w:lvl w:ilvl="2" w:tplc="F0A69B3A" w:tentative="1">
      <w:start w:val="1"/>
      <w:numFmt w:val="lowerRoman"/>
      <w:lvlText w:val="%3."/>
      <w:lvlJc w:val="right"/>
      <w:pPr>
        <w:ind w:left="2160" w:hanging="180"/>
      </w:pPr>
    </w:lvl>
    <w:lvl w:ilvl="3" w:tplc="A39C38C6" w:tentative="1">
      <w:start w:val="1"/>
      <w:numFmt w:val="decimal"/>
      <w:lvlText w:val="%4."/>
      <w:lvlJc w:val="left"/>
      <w:pPr>
        <w:ind w:left="2880" w:hanging="360"/>
      </w:pPr>
    </w:lvl>
    <w:lvl w:ilvl="4" w:tplc="83F004FE" w:tentative="1">
      <w:start w:val="1"/>
      <w:numFmt w:val="lowerLetter"/>
      <w:lvlText w:val="%5."/>
      <w:lvlJc w:val="left"/>
      <w:pPr>
        <w:ind w:left="3600" w:hanging="360"/>
      </w:pPr>
    </w:lvl>
    <w:lvl w:ilvl="5" w:tplc="E0162AB0" w:tentative="1">
      <w:start w:val="1"/>
      <w:numFmt w:val="lowerRoman"/>
      <w:lvlText w:val="%6."/>
      <w:lvlJc w:val="right"/>
      <w:pPr>
        <w:ind w:left="4320" w:hanging="180"/>
      </w:pPr>
    </w:lvl>
    <w:lvl w:ilvl="6" w:tplc="061A63E2" w:tentative="1">
      <w:start w:val="1"/>
      <w:numFmt w:val="decimal"/>
      <w:lvlText w:val="%7."/>
      <w:lvlJc w:val="left"/>
      <w:pPr>
        <w:ind w:left="5040" w:hanging="360"/>
      </w:pPr>
    </w:lvl>
    <w:lvl w:ilvl="7" w:tplc="48BA7904" w:tentative="1">
      <w:start w:val="1"/>
      <w:numFmt w:val="lowerLetter"/>
      <w:lvlText w:val="%8."/>
      <w:lvlJc w:val="left"/>
      <w:pPr>
        <w:ind w:left="5760" w:hanging="360"/>
      </w:pPr>
    </w:lvl>
    <w:lvl w:ilvl="8" w:tplc="1D22E78A" w:tentative="1">
      <w:start w:val="1"/>
      <w:numFmt w:val="lowerRoman"/>
      <w:lvlText w:val="%9."/>
      <w:lvlJc w:val="right"/>
      <w:pPr>
        <w:ind w:left="6480" w:hanging="180"/>
      </w:pPr>
    </w:lvl>
  </w:abstractNum>
  <w:abstractNum w:abstractNumId="11">
    <w:nsid w:val="4D4065A2"/>
    <w:multiLevelType w:val="hybridMultilevel"/>
    <w:tmpl w:val="59DA631E"/>
    <w:lvl w:ilvl="0" w:tplc="38D006E8">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2">
    <w:nsid w:val="541915C6"/>
    <w:multiLevelType w:val="hybridMultilevel"/>
    <w:tmpl w:val="C360BDB6"/>
    <w:lvl w:ilvl="0" w:tplc="3CF4B130">
      <w:start w:val="1"/>
      <w:numFmt w:val="decimal"/>
      <w:lvlText w:val="%1."/>
      <w:lvlJc w:val="left"/>
      <w:pPr>
        <w:ind w:left="720" w:hanging="360"/>
      </w:pPr>
      <w:rPr>
        <w:rFonts w:ascii="Times New Roman" w:eastAsia="Times New Roman" w:hAnsi="Times New Roman" w:cs="Times New Roman"/>
      </w:rPr>
    </w:lvl>
    <w:lvl w:ilvl="1" w:tplc="1F8C8748" w:tentative="1">
      <w:start w:val="1"/>
      <w:numFmt w:val="lowerLetter"/>
      <w:lvlText w:val="%2."/>
      <w:lvlJc w:val="left"/>
      <w:pPr>
        <w:ind w:left="1440" w:hanging="360"/>
      </w:pPr>
    </w:lvl>
    <w:lvl w:ilvl="2" w:tplc="5F48E9C2" w:tentative="1">
      <w:start w:val="1"/>
      <w:numFmt w:val="lowerRoman"/>
      <w:lvlText w:val="%3."/>
      <w:lvlJc w:val="right"/>
      <w:pPr>
        <w:ind w:left="2160" w:hanging="180"/>
      </w:pPr>
    </w:lvl>
    <w:lvl w:ilvl="3" w:tplc="7BAE4D48" w:tentative="1">
      <w:start w:val="1"/>
      <w:numFmt w:val="decimal"/>
      <w:lvlText w:val="%4."/>
      <w:lvlJc w:val="left"/>
      <w:pPr>
        <w:ind w:left="2880" w:hanging="360"/>
      </w:pPr>
    </w:lvl>
    <w:lvl w:ilvl="4" w:tplc="41F48E1E" w:tentative="1">
      <w:start w:val="1"/>
      <w:numFmt w:val="lowerLetter"/>
      <w:lvlText w:val="%5."/>
      <w:lvlJc w:val="left"/>
      <w:pPr>
        <w:ind w:left="3600" w:hanging="360"/>
      </w:pPr>
    </w:lvl>
    <w:lvl w:ilvl="5" w:tplc="B6406A0C" w:tentative="1">
      <w:start w:val="1"/>
      <w:numFmt w:val="lowerRoman"/>
      <w:lvlText w:val="%6."/>
      <w:lvlJc w:val="right"/>
      <w:pPr>
        <w:ind w:left="4320" w:hanging="180"/>
      </w:pPr>
    </w:lvl>
    <w:lvl w:ilvl="6" w:tplc="DE8646C2" w:tentative="1">
      <w:start w:val="1"/>
      <w:numFmt w:val="decimal"/>
      <w:lvlText w:val="%7."/>
      <w:lvlJc w:val="left"/>
      <w:pPr>
        <w:ind w:left="5040" w:hanging="360"/>
      </w:pPr>
    </w:lvl>
    <w:lvl w:ilvl="7" w:tplc="05923572" w:tentative="1">
      <w:start w:val="1"/>
      <w:numFmt w:val="lowerLetter"/>
      <w:lvlText w:val="%8."/>
      <w:lvlJc w:val="left"/>
      <w:pPr>
        <w:ind w:left="5760" w:hanging="360"/>
      </w:pPr>
    </w:lvl>
    <w:lvl w:ilvl="8" w:tplc="B9683AC0" w:tentative="1">
      <w:start w:val="1"/>
      <w:numFmt w:val="lowerRoman"/>
      <w:lvlText w:val="%9."/>
      <w:lvlJc w:val="right"/>
      <w:pPr>
        <w:ind w:left="6480" w:hanging="180"/>
      </w:pPr>
    </w:lvl>
  </w:abstractNum>
  <w:abstractNum w:abstractNumId="13">
    <w:nsid w:val="599A3748"/>
    <w:multiLevelType w:val="hybridMultilevel"/>
    <w:tmpl w:val="486CB8CA"/>
    <w:lvl w:ilvl="0" w:tplc="1A1E5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60F4B"/>
    <w:multiLevelType w:val="hybridMultilevel"/>
    <w:tmpl w:val="C3F4F89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2186FD9"/>
    <w:multiLevelType w:val="hybridMultilevel"/>
    <w:tmpl w:val="2CB0A9C2"/>
    <w:lvl w:ilvl="0" w:tplc="9C3C222C">
      <w:start w:val="1"/>
      <w:numFmt w:val="decimal"/>
      <w:lvlText w:val="%1."/>
      <w:lvlJc w:val="left"/>
      <w:pPr>
        <w:ind w:left="754" w:hanging="360"/>
      </w:pPr>
    </w:lvl>
    <w:lvl w:ilvl="1" w:tplc="7A963396" w:tentative="1">
      <w:start w:val="1"/>
      <w:numFmt w:val="lowerLetter"/>
      <w:lvlText w:val="%2."/>
      <w:lvlJc w:val="left"/>
      <w:pPr>
        <w:ind w:left="1474" w:hanging="360"/>
      </w:pPr>
    </w:lvl>
    <w:lvl w:ilvl="2" w:tplc="8DE88FCA" w:tentative="1">
      <w:start w:val="1"/>
      <w:numFmt w:val="lowerRoman"/>
      <w:lvlText w:val="%3."/>
      <w:lvlJc w:val="right"/>
      <w:pPr>
        <w:ind w:left="2194" w:hanging="180"/>
      </w:pPr>
    </w:lvl>
    <w:lvl w:ilvl="3" w:tplc="9D7E929E" w:tentative="1">
      <w:start w:val="1"/>
      <w:numFmt w:val="decimal"/>
      <w:lvlText w:val="%4."/>
      <w:lvlJc w:val="left"/>
      <w:pPr>
        <w:ind w:left="2914" w:hanging="360"/>
      </w:pPr>
    </w:lvl>
    <w:lvl w:ilvl="4" w:tplc="563CD118" w:tentative="1">
      <w:start w:val="1"/>
      <w:numFmt w:val="lowerLetter"/>
      <w:lvlText w:val="%5."/>
      <w:lvlJc w:val="left"/>
      <w:pPr>
        <w:ind w:left="3634" w:hanging="360"/>
      </w:pPr>
    </w:lvl>
    <w:lvl w:ilvl="5" w:tplc="144886FE" w:tentative="1">
      <w:start w:val="1"/>
      <w:numFmt w:val="lowerRoman"/>
      <w:lvlText w:val="%6."/>
      <w:lvlJc w:val="right"/>
      <w:pPr>
        <w:ind w:left="4354" w:hanging="180"/>
      </w:pPr>
    </w:lvl>
    <w:lvl w:ilvl="6" w:tplc="311A38B2" w:tentative="1">
      <w:start w:val="1"/>
      <w:numFmt w:val="decimal"/>
      <w:lvlText w:val="%7."/>
      <w:lvlJc w:val="left"/>
      <w:pPr>
        <w:ind w:left="5074" w:hanging="360"/>
      </w:pPr>
    </w:lvl>
    <w:lvl w:ilvl="7" w:tplc="62E8CBEA" w:tentative="1">
      <w:start w:val="1"/>
      <w:numFmt w:val="lowerLetter"/>
      <w:lvlText w:val="%8."/>
      <w:lvlJc w:val="left"/>
      <w:pPr>
        <w:ind w:left="5794" w:hanging="360"/>
      </w:pPr>
    </w:lvl>
    <w:lvl w:ilvl="8" w:tplc="4560D550" w:tentative="1">
      <w:start w:val="1"/>
      <w:numFmt w:val="lowerRoman"/>
      <w:lvlText w:val="%9."/>
      <w:lvlJc w:val="right"/>
      <w:pPr>
        <w:ind w:left="6514" w:hanging="180"/>
      </w:pPr>
    </w:lvl>
  </w:abstractNum>
  <w:abstractNum w:abstractNumId="16">
    <w:nsid w:val="70DF7BB3"/>
    <w:multiLevelType w:val="hybridMultilevel"/>
    <w:tmpl w:val="97C8386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1C26178"/>
    <w:multiLevelType w:val="hybridMultilevel"/>
    <w:tmpl w:val="9FBED11A"/>
    <w:lvl w:ilvl="0" w:tplc="A432BC34">
      <w:start w:val="1"/>
      <w:numFmt w:val="decimal"/>
      <w:lvlText w:val="%1)"/>
      <w:lvlJc w:val="left"/>
      <w:pPr>
        <w:ind w:left="720" w:hanging="360"/>
      </w:pPr>
      <w:rPr>
        <w:rFonts w:hint="default"/>
      </w:rPr>
    </w:lvl>
    <w:lvl w:ilvl="1" w:tplc="8A4E48BA" w:tentative="1">
      <w:start w:val="1"/>
      <w:numFmt w:val="lowerLetter"/>
      <w:lvlText w:val="%2."/>
      <w:lvlJc w:val="left"/>
      <w:pPr>
        <w:ind w:left="1440" w:hanging="360"/>
      </w:pPr>
    </w:lvl>
    <w:lvl w:ilvl="2" w:tplc="8EA248BC" w:tentative="1">
      <w:start w:val="1"/>
      <w:numFmt w:val="lowerRoman"/>
      <w:lvlText w:val="%3."/>
      <w:lvlJc w:val="right"/>
      <w:pPr>
        <w:ind w:left="2160" w:hanging="180"/>
      </w:pPr>
    </w:lvl>
    <w:lvl w:ilvl="3" w:tplc="E3A611FE" w:tentative="1">
      <w:start w:val="1"/>
      <w:numFmt w:val="decimal"/>
      <w:lvlText w:val="%4."/>
      <w:lvlJc w:val="left"/>
      <w:pPr>
        <w:ind w:left="2880" w:hanging="360"/>
      </w:pPr>
    </w:lvl>
    <w:lvl w:ilvl="4" w:tplc="B554D1C0" w:tentative="1">
      <w:start w:val="1"/>
      <w:numFmt w:val="lowerLetter"/>
      <w:lvlText w:val="%5."/>
      <w:lvlJc w:val="left"/>
      <w:pPr>
        <w:ind w:left="3600" w:hanging="360"/>
      </w:pPr>
    </w:lvl>
    <w:lvl w:ilvl="5" w:tplc="6D62E65C" w:tentative="1">
      <w:start w:val="1"/>
      <w:numFmt w:val="lowerRoman"/>
      <w:lvlText w:val="%6."/>
      <w:lvlJc w:val="right"/>
      <w:pPr>
        <w:ind w:left="4320" w:hanging="180"/>
      </w:pPr>
    </w:lvl>
    <w:lvl w:ilvl="6" w:tplc="138095DE" w:tentative="1">
      <w:start w:val="1"/>
      <w:numFmt w:val="decimal"/>
      <w:lvlText w:val="%7."/>
      <w:lvlJc w:val="left"/>
      <w:pPr>
        <w:ind w:left="5040" w:hanging="360"/>
      </w:pPr>
    </w:lvl>
    <w:lvl w:ilvl="7" w:tplc="DCDC8090" w:tentative="1">
      <w:start w:val="1"/>
      <w:numFmt w:val="lowerLetter"/>
      <w:lvlText w:val="%8."/>
      <w:lvlJc w:val="left"/>
      <w:pPr>
        <w:ind w:left="5760" w:hanging="360"/>
      </w:pPr>
    </w:lvl>
    <w:lvl w:ilvl="8" w:tplc="96108AE6" w:tentative="1">
      <w:start w:val="1"/>
      <w:numFmt w:val="lowerRoman"/>
      <w:lvlText w:val="%9."/>
      <w:lvlJc w:val="right"/>
      <w:pPr>
        <w:ind w:left="6480" w:hanging="180"/>
      </w:pPr>
    </w:lvl>
  </w:abstractNum>
  <w:abstractNum w:abstractNumId="18">
    <w:nsid w:val="74F8102F"/>
    <w:multiLevelType w:val="hybridMultilevel"/>
    <w:tmpl w:val="A48283C8"/>
    <w:lvl w:ilvl="0" w:tplc="1ADE2DB0">
      <w:start w:val="1"/>
      <w:numFmt w:val="decimal"/>
      <w:lvlText w:val="%1)"/>
      <w:lvlJc w:val="left"/>
      <w:pPr>
        <w:ind w:left="720" w:hanging="360"/>
      </w:pPr>
      <w:rPr>
        <w:rFonts w:hint="default"/>
      </w:rPr>
    </w:lvl>
    <w:lvl w:ilvl="1" w:tplc="387C3560" w:tentative="1">
      <w:start w:val="1"/>
      <w:numFmt w:val="lowerLetter"/>
      <w:lvlText w:val="%2."/>
      <w:lvlJc w:val="left"/>
      <w:pPr>
        <w:ind w:left="1440" w:hanging="360"/>
      </w:pPr>
    </w:lvl>
    <w:lvl w:ilvl="2" w:tplc="0004F6AE" w:tentative="1">
      <w:start w:val="1"/>
      <w:numFmt w:val="lowerRoman"/>
      <w:lvlText w:val="%3."/>
      <w:lvlJc w:val="right"/>
      <w:pPr>
        <w:ind w:left="2160" w:hanging="180"/>
      </w:pPr>
    </w:lvl>
    <w:lvl w:ilvl="3" w:tplc="F2FC4D34" w:tentative="1">
      <w:start w:val="1"/>
      <w:numFmt w:val="decimal"/>
      <w:lvlText w:val="%4."/>
      <w:lvlJc w:val="left"/>
      <w:pPr>
        <w:ind w:left="2880" w:hanging="360"/>
      </w:pPr>
    </w:lvl>
    <w:lvl w:ilvl="4" w:tplc="544C3D16" w:tentative="1">
      <w:start w:val="1"/>
      <w:numFmt w:val="lowerLetter"/>
      <w:lvlText w:val="%5."/>
      <w:lvlJc w:val="left"/>
      <w:pPr>
        <w:ind w:left="3600" w:hanging="360"/>
      </w:pPr>
    </w:lvl>
    <w:lvl w:ilvl="5" w:tplc="C8062364" w:tentative="1">
      <w:start w:val="1"/>
      <w:numFmt w:val="lowerRoman"/>
      <w:lvlText w:val="%6."/>
      <w:lvlJc w:val="right"/>
      <w:pPr>
        <w:ind w:left="4320" w:hanging="180"/>
      </w:pPr>
    </w:lvl>
    <w:lvl w:ilvl="6" w:tplc="3EC80560" w:tentative="1">
      <w:start w:val="1"/>
      <w:numFmt w:val="decimal"/>
      <w:lvlText w:val="%7."/>
      <w:lvlJc w:val="left"/>
      <w:pPr>
        <w:ind w:left="5040" w:hanging="360"/>
      </w:pPr>
    </w:lvl>
    <w:lvl w:ilvl="7" w:tplc="6DD89586" w:tentative="1">
      <w:start w:val="1"/>
      <w:numFmt w:val="lowerLetter"/>
      <w:lvlText w:val="%8."/>
      <w:lvlJc w:val="left"/>
      <w:pPr>
        <w:ind w:left="5760" w:hanging="360"/>
      </w:pPr>
    </w:lvl>
    <w:lvl w:ilvl="8" w:tplc="D7B01546" w:tentative="1">
      <w:start w:val="1"/>
      <w:numFmt w:val="lowerRoman"/>
      <w:lvlText w:val="%9."/>
      <w:lvlJc w:val="right"/>
      <w:pPr>
        <w:ind w:left="6480" w:hanging="180"/>
      </w:pPr>
    </w:lvl>
  </w:abstractNum>
  <w:abstractNum w:abstractNumId="19">
    <w:nsid w:val="7F7619F5"/>
    <w:multiLevelType w:val="hybridMultilevel"/>
    <w:tmpl w:val="C758ED3C"/>
    <w:lvl w:ilvl="0" w:tplc="A9F0EC62">
      <w:start w:val="1"/>
      <w:numFmt w:val="decimal"/>
      <w:lvlText w:val="%1)"/>
      <w:lvlJc w:val="left"/>
      <w:pPr>
        <w:ind w:left="720" w:hanging="360"/>
      </w:pPr>
      <w:rPr>
        <w:rFonts w:hint="default"/>
      </w:rPr>
    </w:lvl>
    <w:lvl w:ilvl="1" w:tplc="EC7037BA" w:tentative="1">
      <w:start w:val="1"/>
      <w:numFmt w:val="lowerLetter"/>
      <w:lvlText w:val="%2."/>
      <w:lvlJc w:val="left"/>
      <w:pPr>
        <w:ind w:left="1440" w:hanging="360"/>
      </w:pPr>
    </w:lvl>
    <w:lvl w:ilvl="2" w:tplc="5820178A" w:tentative="1">
      <w:start w:val="1"/>
      <w:numFmt w:val="lowerRoman"/>
      <w:lvlText w:val="%3."/>
      <w:lvlJc w:val="right"/>
      <w:pPr>
        <w:ind w:left="2160" w:hanging="180"/>
      </w:pPr>
    </w:lvl>
    <w:lvl w:ilvl="3" w:tplc="8B1AF176" w:tentative="1">
      <w:start w:val="1"/>
      <w:numFmt w:val="decimal"/>
      <w:lvlText w:val="%4."/>
      <w:lvlJc w:val="left"/>
      <w:pPr>
        <w:ind w:left="2880" w:hanging="360"/>
      </w:pPr>
    </w:lvl>
    <w:lvl w:ilvl="4" w:tplc="D32CC9B8" w:tentative="1">
      <w:start w:val="1"/>
      <w:numFmt w:val="lowerLetter"/>
      <w:lvlText w:val="%5."/>
      <w:lvlJc w:val="left"/>
      <w:pPr>
        <w:ind w:left="3600" w:hanging="360"/>
      </w:pPr>
    </w:lvl>
    <w:lvl w:ilvl="5" w:tplc="3778557C" w:tentative="1">
      <w:start w:val="1"/>
      <w:numFmt w:val="lowerRoman"/>
      <w:lvlText w:val="%6."/>
      <w:lvlJc w:val="right"/>
      <w:pPr>
        <w:ind w:left="4320" w:hanging="180"/>
      </w:pPr>
    </w:lvl>
    <w:lvl w:ilvl="6" w:tplc="0FFEEEB4" w:tentative="1">
      <w:start w:val="1"/>
      <w:numFmt w:val="decimal"/>
      <w:lvlText w:val="%7."/>
      <w:lvlJc w:val="left"/>
      <w:pPr>
        <w:ind w:left="5040" w:hanging="360"/>
      </w:pPr>
    </w:lvl>
    <w:lvl w:ilvl="7" w:tplc="1DC8F246" w:tentative="1">
      <w:start w:val="1"/>
      <w:numFmt w:val="lowerLetter"/>
      <w:lvlText w:val="%8."/>
      <w:lvlJc w:val="left"/>
      <w:pPr>
        <w:ind w:left="5760" w:hanging="360"/>
      </w:pPr>
    </w:lvl>
    <w:lvl w:ilvl="8" w:tplc="FF1EDB62" w:tentative="1">
      <w:start w:val="1"/>
      <w:numFmt w:val="lowerRoman"/>
      <w:lvlText w:val="%9."/>
      <w:lvlJc w:val="right"/>
      <w:pPr>
        <w:ind w:left="6480" w:hanging="180"/>
      </w:pPr>
    </w:lvl>
  </w:abstractNum>
  <w:num w:numId="1">
    <w:abstractNumId w:val="15"/>
  </w:num>
  <w:num w:numId="2">
    <w:abstractNumId w:val="2"/>
  </w:num>
  <w:num w:numId="3">
    <w:abstractNumId w:val="4"/>
  </w:num>
  <w:num w:numId="4">
    <w:abstractNumId w:val="10"/>
  </w:num>
  <w:num w:numId="5">
    <w:abstractNumId w:val="5"/>
  </w:num>
  <w:num w:numId="6">
    <w:abstractNumId w:val="12"/>
  </w:num>
  <w:num w:numId="7">
    <w:abstractNumId w:val="1"/>
  </w:num>
  <w:num w:numId="8">
    <w:abstractNumId w:val="18"/>
  </w:num>
  <w:num w:numId="9">
    <w:abstractNumId w:val="19"/>
  </w:num>
  <w:num w:numId="10">
    <w:abstractNumId w:val="17"/>
  </w:num>
  <w:num w:numId="11">
    <w:abstractNumId w:val="9"/>
  </w:num>
  <w:num w:numId="12">
    <w:abstractNumId w:val="13"/>
  </w:num>
  <w:num w:numId="13">
    <w:abstractNumId w:val="0"/>
  </w:num>
  <w:num w:numId="14">
    <w:abstractNumId w:val="14"/>
  </w:num>
  <w:num w:numId="15">
    <w:abstractNumId w:val="8"/>
  </w:num>
  <w:num w:numId="16">
    <w:abstractNumId w:val="3"/>
  </w:num>
  <w:num w:numId="17">
    <w:abstractNumId w:val="6"/>
  </w:num>
  <w:num w:numId="18">
    <w:abstractNumId w:val="16"/>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1C"/>
    <w:rsid w:val="00000B7A"/>
    <w:rsid w:val="00006F0F"/>
    <w:rsid w:val="000168A6"/>
    <w:rsid w:val="00017924"/>
    <w:rsid w:val="000203E5"/>
    <w:rsid w:val="00027BAD"/>
    <w:rsid w:val="00041814"/>
    <w:rsid w:val="00044224"/>
    <w:rsid w:val="00044C80"/>
    <w:rsid w:val="00046435"/>
    <w:rsid w:val="00047A59"/>
    <w:rsid w:val="00052921"/>
    <w:rsid w:val="000532A9"/>
    <w:rsid w:val="00055596"/>
    <w:rsid w:val="00055FF5"/>
    <w:rsid w:val="000570D3"/>
    <w:rsid w:val="00060804"/>
    <w:rsid w:val="00061975"/>
    <w:rsid w:val="000644ED"/>
    <w:rsid w:val="00066596"/>
    <w:rsid w:val="000717F0"/>
    <w:rsid w:val="000726BF"/>
    <w:rsid w:val="00073C8B"/>
    <w:rsid w:val="00085D80"/>
    <w:rsid w:val="000864C7"/>
    <w:rsid w:val="00092CEF"/>
    <w:rsid w:val="00094B40"/>
    <w:rsid w:val="000952B3"/>
    <w:rsid w:val="000A4EDF"/>
    <w:rsid w:val="000A5450"/>
    <w:rsid w:val="000A7A0E"/>
    <w:rsid w:val="000B2EE9"/>
    <w:rsid w:val="000C127A"/>
    <w:rsid w:val="000D24CB"/>
    <w:rsid w:val="000E7C62"/>
    <w:rsid w:val="000F01C5"/>
    <w:rsid w:val="000F2179"/>
    <w:rsid w:val="000F21B1"/>
    <w:rsid w:val="000F2D2A"/>
    <w:rsid w:val="000F3637"/>
    <w:rsid w:val="000F796B"/>
    <w:rsid w:val="001151C4"/>
    <w:rsid w:val="00115924"/>
    <w:rsid w:val="001226BE"/>
    <w:rsid w:val="001247CA"/>
    <w:rsid w:val="001273A7"/>
    <w:rsid w:val="00131111"/>
    <w:rsid w:val="0013477A"/>
    <w:rsid w:val="001351FC"/>
    <w:rsid w:val="001435F6"/>
    <w:rsid w:val="00150FB3"/>
    <w:rsid w:val="001522EB"/>
    <w:rsid w:val="0015241F"/>
    <w:rsid w:val="001531F9"/>
    <w:rsid w:val="00154ADC"/>
    <w:rsid w:val="00162663"/>
    <w:rsid w:val="001718C7"/>
    <w:rsid w:val="00173A4C"/>
    <w:rsid w:val="001740A1"/>
    <w:rsid w:val="0017518B"/>
    <w:rsid w:val="00175D92"/>
    <w:rsid w:val="00176E94"/>
    <w:rsid w:val="001916E1"/>
    <w:rsid w:val="00192C5F"/>
    <w:rsid w:val="001930D7"/>
    <w:rsid w:val="0019383F"/>
    <w:rsid w:val="001A037F"/>
    <w:rsid w:val="001A4EC5"/>
    <w:rsid w:val="001A7223"/>
    <w:rsid w:val="001B090E"/>
    <w:rsid w:val="001B348C"/>
    <w:rsid w:val="001B37C9"/>
    <w:rsid w:val="001B6449"/>
    <w:rsid w:val="001C0AEA"/>
    <w:rsid w:val="001C0C9B"/>
    <w:rsid w:val="001C5666"/>
    <w:rsid w:val="001D1E23"/>
    <w:rsid w:val="001D3C5A"/>
    <w:rsid w:val="001D45E6"/>
    <w:rsid w:val="001D5531"/>
    <w:rsid w:val="001D6C6A"/>
    <w:rsid w:val="001D78E9"/>
    <w:rsid w:val="001D7DE5"/>
    <w:rsid w:val="001E081D"/>
    <w:rsid w:val="001E0FDF"/>
    <w:rsid w:val="001E130E"/>
    <w:rsid w:val="001E2C60"/>
    <w:rsid w:val="001F097E"/>
    <w:rsid w:val="001F3907"/>
    <w:rsid w:val="00201E47"/>
    <w:rsid w:val="0020262C"/>
    <w:rsid w:val="00202B48"/>
    <w:rsid w:val="002054F1"/>
    <w:rsid w:val="00207834"/>
    <w:rsid w:val="0022054B"/>
    <w:rsid w:val="0022526E"/>
    <w:rsid w:val="0023009A"/>
    <w:rsid w:val="00231822"/>
    <w:rsid w:val="002323EB"/>
    <w:rsid w:val="00236A1F"/>
    <w:rsid w:val="00240A69"/>
    <w:rsid w:val="00251A42"/>
    <w:rsid w:val="00253057"/>
    <w:rsid w:val="002532F9"/>
    <w:rsid w:val="00254E50"/>
    <w:rsid w:val="00261E34"/>
    <w:rsid w:val="002659F1"/>
    <w:rsid w:val="00273E66"/>
    <w:rsid w:val="00275A46"/>
    <w:rsid w:val="00276D5D"/>
    <w:rsid w:val="00277223"/>
    <w:rsid w:val="0028585B"/>
    <w:rsid w:val="00286420"/>
    <w:rsid w:val="002871D2"/>
    <w:rsid w:val="00291002"/>
    <w:rsid w:val="00297863"/>
    <w:rsid w:val="002A0265"/>
    <w:rsid w:val="002A1724"/>
    <w:rsid w:val="002B0227"/>
    <w:rsid w:val="002B0E96"/>
    <w:rsid w:val="002B6DF9"/>
    <w:rsid w:val="002B7D78"/>
    <w:rsid w:val="002C22BE"/>
    <w:rsid w:val="002C4A80"/>
    <w:rsid w:val="002C7ECF"/>
    <w:rsid w:val="002D02E7"/>
    <w:rsid w:val="002D0FBD"/>
    <w:rsid w:val="002D2BD0"/>
    <w:rsid w:val="002F1D81"/>
    <w:rsid w:val="002F2913"/>
    <w:rsid w:val="00300972"/>
    <w:rsid w:val="00301E2B"/>
    <w:rsid w:val="00302DC1"/>
    <w:rsid w:val="0031039B"/>
    <w:rsid w:val="00317A45"/>
    <w:rsid w:val="00322331"/>
    <w:rsid w:val="00327F78"/>
    <w:rsid w:val="00332321"/>
    <w:rsid w:val="00335A14"/>
    <w:rsid w:val="00336B56"/>
    <w:rsid w:val="00336E9F"/>
    <w:rsid w:val="00340F29"/>
    <w:rsid w:val="00342C1C"/>
    <w:rsid w:val="0034707A"/>
    <w:rsid w:val="0034796B"/>
    <w:rsid w:val="00350684"/>
    <w:rsid w:val="00352BE9"/>
    <w:rsid w:val="00353C15"/>
    <w:rsid w:val="00364B5A"/>
    <w:rsid w:val="003676E2"/>
    <w:rsid w:val="0037076B"/>
    <w:rsid w:val="0037447A"/>
    <w:rsid w:val="00376346"/>
    <w:rsid w:val="0038083D"/>
    <w:rsid w:val="003810A1"/>
    <w:rsid w:val="00384728"/>
    <w:rsid w:val="003930D5"/>
    <w:rsid w:val="003A21D1"/>
    <w:rsid w:val="003A4486"/>
    <w:rsid w:val="003B01C6"/>
    <w:rsid w:val="003B27C6"/>
    <w:rsid w:val="003B6A5E"/>
    <w:rsid w:val="003B7FA9"/>
    <w:rsid w:val="003C0E5E"/>
    <w:rsid w:val="003C2699"/>
    <w:rsid w:val="003C775D"/>
    <w:rsid w:val="003D5D8B"/>
    <w:rsid w:val="003E05A2"/>
    <w:rsid w:val="003F0DD3"/>
    <w:rsid w:val="003F3A05"/>
    <w:rsid w:val="003F61CB"/>
    <w:rsid w:val="004040B1"/>
    <w:rsid w:val="004048C7"/>
    <w:rsid w:val="00407F82"/>
    <w:rsid w:val="0041305A"/>
    <w:rsid w:val="00413BD9"/>
    <w:rsid w:val="0041580B"/>
    <w:rsid w:val="00417B84"/>
    <w:rsid w:val="004210D4"/>
    <w:rsid w:val="004219C7"/>
    <w:rsid w:val="00423276"/>
    <w:rsid w:val="00430E44"/>
    <w:rsid w:val="00433F84"/>
    <w:rsid w:val="004355FE"/>
    <w:rsid w:val="00441759"/>
    <w:rsid w:val="00442A7F"/>
    <w:rsid w:val="00446908"/>
    <w:rsid w:val="00446A92"/>
    <w:rsid w:val="00452AE2"/>
    <w:rsid w:val="0045535A"/>
    <w:rsid w:val="0045655E"/>
    <w:rsid w:val="004622C3"/>
    <w:rsid w:val="004648FA"/>
    <w:rsid w:val="00465C98"/>
    <w:rsid w:val="00477435"/>
    <w:rsid w:val="00477F62"/>
    <w:rsid w:val="00481885"/>
    <w:rsid w:val="00484783"/>
    <w:rsid w:val="00491E9B"/>
    <w:rsid w:val="00492D3C"/>
    <w:rsid w:val="0049306F"/>
    <w:rsid w:val="00494B25"/>
    <w:rsid w:val="004A2355"/>
    <w:rsid w:val="004A4EBE"/>
    <w:rsid w:val="004A7F10"/>
    <w:rsid w:val="004B3AE5"/>
    <w:rsid w:val="004B4AB8"/>
    <w:rsid w:val="004C4068"/>
    <w:rsid w:val="004D17FB"/>
    <w:rsid w:val="004D2E35"/>
    <w:rsid w:val="004D4B94"/>
    <w:rsid w:val="004D5248"/>
    <w:rsid w:val="004D628F"/>
    <w:rsid w:val="004E25DB"/>
    <w:rsid w:val="004F4DF8"/>
    <w:rsid w:val="0050493A"/>
    <w:rsid w:val="00510199"/>
    <w:rsid w:val="005138E3"/>
    <w:rsid w:val="00521075"/>
    <w:rsid w:val="0052108D"/>
    <w:rsid w:val="00523237"/>
    <w:rsid w:val="00530226"/>
    <w:rsid w:val="0053202D"/>
    <w:rsid w:val="005464A0"/>
    <w:rsid w:val="005533BE"/>
    <w:rsid w:val="00553EFC"/>
    <w:rsid w:val="005607AD"/>
    <w:rsid w:val="00583F50"/>
    <w:rsid w:val="00596DC7"/>
    <w:rsid w:val="005B11A3"/>
    <w:rsid w:val="005B1A5F"/>
    <w:rsid w:val="005C1803"/>
    <w:rsid w:val="005C451C"/>
    <w:rsid w:val="005C4A89"/>
    <w:rsid w:val="005C6E35"/>
    <w:rsid w:val="005E2B9A"/>
    <w:rsid w:val="005F658D"/>
    <w:rsid w:val="00600B68"/>
    <w:rsid w:val="00601BEB"/>
    <w:rsid w:val="00604986"/>
    <w:rsid w:val="00605C6C"/>
    <w:rsid w:val="006109C0"/>
    <w:rsid w:val="00610EA4"/>
    <w:rsid w:val="006130EC"/>
    <w:rsid w:val="00615F04"/>
    <w:rsid w:val="00616CE1"/>
    <w:rsid w:val="00621927"/>
    <w:rsid w:val="00624449"/>
    <w:rsid w:val="006260FC"/>
    <w:rsid w:val="0063785B"/>
    <w:rsid w:val="006403D5"/>
    <w:rsid w:val="006445B9"/>
    <w:rsid w:val="006679D1"/>
    <w:rsid w:val="00671043"/>
    <w:rsid w:val="0067170E"/>
    <w:rsid w:val="0067518D"/>
    <w:rsid w:val="00684E6E"/>
    <w:rsid w:val="006872A6"/>
    <w:rsid w:val="006909B9"/>
    <w:rsid w:val="00692943"/>
    <w:rsid w:val="0069529E"/>
    <w:rsid w:val="00695F0A"/>
    <w:rsid w:val="006964E3"/>
    <w:rsid w:val="00696F18"/>
    <w:rsid w:val="006A07CE"/>
    <w:rsid w:val="006B07D7"/>
    <w:rsid w:val="006B15E9"/>
    <w:rsid w:val="006B3106"/>
    <w:rsid w:val="006B4F32"/>
    <w:rsid w:val="006C03A6"/>
    <w:rsid w:val="006C11AD"/>
    <w:rsid w:val="006C1629"/>
    <w:rsid w:val="006C27E2"/>
    <w:rsid w:val="006C4B7C"/>
    <w:rsid w:val="006D146B"/>
    <w:rsid w:val="006D1EAD"/>
    <w:rsid w:val="006D231B"/>
    <w:rsid w:val="006D4F7C"/>
    <w:rsid w:val="006E2626"/>
    <w:rsid w:val="006E48A2"/>
    <w:rsid w:val="006E6C0E"/>
    <w:rsid w:val="006E755A"/>
    <w:rsid w:val="006F0239"/>
    <w:rsid w:val="00701085"/>
    <w:rsid w:val="007028F9"/>
    <w:rsid w:val="00704DDD"/>
    <w:rsid w:val="00710801"/>
    <w:rsid w:val="00710DE1"/>
    <w:rsid w:val="007125BD"/>
    <w:rsid w:val="007164D3"/>
    <w:rsid w:val="00717BF9"/>
    <w:rsid w:val="007213EE"/>
    <w:rsid w:val="0072528C"/>
    <w:rsid w:val="007257CB"/>
    <w:rsid w:val="007362D7"/>
    <w:rsid w:val="007403A1"/>
    <w:rsid w:val="00742CA8"/>
    <w:rsid w:val="00745F7A"/>
    <w:rsid w:val="00750EC0"/>
    <w:rsid w:val="007525AE"/>
    <w:rsid w:val="00763C11"/>
    <w:rsid w:val="007660C6"/>
    <w:rsid w:val="00780E7D"/>
    <w:rsid w:val="00781529"/>
    <w:rsid w:val="00782421"/>
    <w:rsid w:val="00782C36"/>
    <w:rsid w:val="00782FE5"/>
    <w:rsid w:val="00785EFA"/>
    <w:rsid w:val="00786AB4"/>
    <w:rsid w:val="00791266"/>
    <w:rsid w:val="00791FE1"/>
    <w:rsid w:val="00796FD3"/>
    <w:rsid w:val="007A045B"/>
    <w:rsid w:val="007A2571"/>
    <w:rsid w:val="007A4F23"/>
    <w:rsid w:val="007A5090"/>
    <w:rsid w:val="007B1C53"/>
    <w:rsid w:val="007B1CFF"/>
    <w:rsid w:val="007B7A42"/>
    <w:rsid w:val="007D2897"/>
    <w:rsid w:val="007D4CE3"/>
    <w:rsid w:val="007D6B9E"/>
    <w:rsid w:val="007F3CF4"/>
    <w:rsid w:val="007F6DA4"/>
    <w:rsid w:val="007F7448"/>
    <w:rsid w:val="008026E6"/>
    <w:rsid w:val="00806804"/>
    <w:rsid w:val="00814195"/>
    <w:rsid w:val="0082224C"/>
    <w:rsid w:val="0082251E"/>
    <w:rsid w:val="00827F11"/>
    <w:rsid w:val="00830676"/>
    <w:rsid w:val="00832044"/>
    <w:rsid w:val="0083701C"/>
    <w:rsid w:val="008378A2"/>
    <w:rsid w:val="0084191B"/>
    <w:rsid w:val="00850B98"/>
    <w:rsid w:val="008542CA"/>
    <w:rsid w:val="0085441A"/>
    <w:rsid w:val="0085612F"/>
    <w:rsid w:val="00856FD9"/>
    <w:rsid w:val="008573E5"/>
    <w:rsid w:val="008605BD"/>
    <w:rsid w:val="00864C2A"/>
    <w:rsid w:val="00867D90"/>
    <w:rsid w:val="008772B7"/>
    <w:rsid w:val="00883AD6"/>
    <w:rsid w:val="00884C9F"/>
    <w:rsid w:val="00887F3F"/>
    <w:rsid w:val="008939F7"/>
    <w:rsid w:val="00895249"/>
    <w:rsid w:val="00896040"/>
    <w:rsid w:val="008A0436"/>
    <w:rsid w:val="008A0CD3"/>
    <w:rsid w:val="008A3327"/>
    <w:rsid w:val="008A3DD6"/>
    <w:rsid w:val="008B18A8"/>
    <w:rsid w:val="008B2BBF"/>
    <w:rsid w:val="008B392D"/>
    <w:rsid w:val="008C5103"/>
    <w:rsid w:val="008E2B4B"/>
    <w:rsid w:val="008E626F"/>
    <w:rsid w:val="008F0A6A"/>
    <w:rsid w:val="008F746A"/>
    <w:rsid w:val="008F7B2D"/>
    <w:rsid w:val="00903B19"/>
    <w:rsid w:val="00906145"/>
    <w:rsid w:val="00907E1B"/>
    <w:rsid w:val="00910BBB"/>
    <w:rsid w:val="00912B59"/>
    <w:rsid w:val="00913BBD"/>
    <w:rsid w:val="00913D6E"/>
    <w:rsid w:val="0092196F"/>
    <w:rsid w:val="00922D98"/>
    <w:rsid w:val="0092310A"/>
    <w:rsid w:val="00930F1B"/>
    <w:rsid w:val="0094153F"/>
    <w:rsid w:val="00943752"/>
    <w:rsid w:val="00946F67"/>
    <w:rsid w:val="0096290D"/>
    <w:rsid w:val="00962FB9"/>
    <w:rsid w:val="0096600D"/>
    <w:rsid w:val="0096666B"/>
    <w:rsid w:val="009755BE"/>
    <w:rsid w:val="0098188F"/>
    <w:rsid w:val="00984AEC"/>
    <w:rsid w:val="009877B1"/>
    <w:rsid w:val="00993742"/>
    <w:rsid w:val="00994359"/>
    <w:rsid w:val="009966FA"/>
    <w:rsid w:val="00997420"/>
    <w:rsid w:val="0099780F"/>
    <w:rsid w:val="009A1BBC"/>
    <w:rsid w:val="009B1E75"/>
    <w:rsid w:val="009B6065"/>
    <w:rsid w:val="009B7421"/>
    <w:rsid w:val="009C2904"/>
    <w:rsid w:val="009C4B01"/>
    <w:rsid w:val="009D4C0E"/>
    <w:rsid w:val="009F0CDF"/>
    <w:rsid w:val="009F20CD"/>
    <w:rsid w:val="009F2AFD"/>
    <w:rsid w:val="009F2F0F"/>
    <w:rsid w:val="00A004BB"/>
    <w:rsid w:val="00A029E8"/>
    <w:rsid w:val="00A03194"/>
    <w:rsid w:val="00A11266"/>
    <w:rsid w:val="00A16A05"/>
    <w:rsid w:val="00A1753F"/>
    <w:rsid w:val="00A179BA"/>
    <w:rsid w:val="00A25D9C"/>
    <w:rsid w:val="00A262E5"/>
    <w:rsid w:val="00A324CA"/>
    <w:rsid w:val="00A360A5"/>
    <w:rsid w:val="00A43112"/>
    <w:rsid w:val="00A434F6"/>
    <w:rsid w:val="00A45D1C"/>
    <w:rsid w:val="00A46330"/>
    <w:rsid w:val="00A540C5"/>
    <w:rsid w:val="00A5457D"/>
    <w:rsid w:val="00A547FE"/>
    <w:rsid w:val="00A57712"/>
    <w:rsid w:val="00A61A8E"/>
    <w:rsid w:val="00A64DD6"/>
    <w:rsid w:val="00A87150"/>
    <w:rsid w:val="00A936C8"/>
    <w:rsid w:val="00AB4574"/>
    <w:rsid w:val="00AC4BC8"/>
    <w:rsid w:val="00AD1252"/>
    <w:rsid w:val="00AD59A6"/>
    <w:rsid w:val="00AD5C9A"/>
    <w:rsid w:val="00AE008E"/>
    <w:rsid w:val="00AE0688"/>
    <w:rsid w:val="00AE0973"/>
    <w:rsid w:val="00AE1DA4"/>
    <w:rsid w:val="00AE2B42"/>
    <w:rsid w:val="00AE3C96"/>
    <w:rsid w:val="00AF0818"/>
    <w:rsid w:val="00AF3F9D"/>
    <w:rsid w:val="00AF60F9"/>
    <w:rsid w:val="00B000A1"/>
    <w:rsid w:val="00B023C3"/>
    <w:rsid w:val="00B025BF"/>
    <w:rsid w:val="00B050F6"/>
    <w:rsid w:val="00B15E8C"/>
    <w:rsid w:val="00B17F1A"/>
    <w:rsid w:val="00B216F0"/>
    <w:rsid w:val="00B25163"/>
    <w:rsid w:val="00B30CB5"/>
    <w:rsid w:val="00B31328"/>
    <w:rsid w:val="00B31617"/>
    <w:rsid w:val="00B4020C"/>
    <w:rsid w:val="00B4034C"/>
    <w:rsid w:val="00B405D4"/>
    <w:rsid w:val="00B50AC4"/>
    <w:rsid w:val="00B53338"/>
    <w:rsid w:val="00B555AF"/>
    <w:rsid w:val="00B650B7"/>
    <w:rsid w:val="00B6710B"/>
    <w:rsid w:val="00B671C5"/>
    <w:rsid w:val="00B71EA1"/>
    <w:rsid w:val="00B7771D"/>
    <w:rsid w:val="00B77F99"/>
    <w:rsid w:val="00B80793"/>
    <w:rsid w:val="00B827BC"/>
    <w:rsid w:val="00B94A93"/>
    <w:rsid w:val="00B94D4E"/>
    <w:rsid w:val="00BA020E"/>
    <w:rsid w:val="00BA7A9F"/>
    <w:rsid w:val="00BB393B"/>
    <w:rsid w:val="00BB4F00"/>
    <w:rsid w:val="00BC0E04"/>
    <w:rsid w:val="00BC4492"/>
    <w:rsid w:val="00BC58D7"/>
    <w:rsid w:val="00BD0156"/>
    <w:rsid w:val="00BE06CF"/>
    <w:rsid w:val="00BE10D8"/>
    <w:rsid w:val="00BE5F13"/>
    <w:rsid w:val="00BE72D9"/>
    <w:rsid w:val="00C00421"/>
    <w:rsid w:val="00C0136E"/>
    <w:rsid w:val="00C06EED"/>
    <w:rsid w:val="00C11118"/>
    <w:rsid w:val="00C14E75"/>
    <w:rsid w:val="00C20D0C"/>
    <w:rsid w:val="00C232D2"/>
    <w:rsid w:val="00C237D6"/>
    <w:rsid w:val="00C314FA"/>
    <w:rsid w:val="00C327AE"/>
    <w:rsid w:val="00C3351F"/>
    <w:rsid w:val="00C34D87"/>
    <w:rsid w:val="00C36014"/>
    <w:rsid w:val="00C37BBD"/>
    <w:rsid w:val="00C4035B"/>
    <w:rsid w:val="00C42D8C"/>
    <w:rsid w:val="00C46410"/>
    <w:rsid w:val="00C53C73"/>
    <w:rsid w:val="00C55E67"/>
    <w:rsid w:val="00C635A7"/>
    <w:rsid w:val="00C65DC3"/>
    <w:rsid w:val="00C66C36"/>
    <w:rsid w:val="00C710EF"/>
    <w:rsid w:val="00C71FC8"/>
    <w:rsid w:val="00C722A7"/>
    <w:rsid w:val="00C73FF6"/>
    <w:rsid w:val="00C74F29"/>
    <w:rsid w:val="00C84DF1"/>
    <w:rsid w:val="00C84E4C"/>
    <w:rsid w:val="00C85B2A"/>
    <w:rsid w:val="00C93278"/>
    <w:rsid w:val="00CB40A3"/>
    <w:rsid w:val="00CC1C10"/>
    <w:rsid w:val="00CC2B2A"/>
    <w:rsid w:val="00CD6FEA"/>
    <w:rsid w:val="00CE5D85"/>
    <w:rsid w:val="00CF5953"/>
    <w:rsid w:val="00D019DA"/>
    <w:rsid w:val="00D06379"/>
    <w:rsid w:val="00D120EE"/>
    <w:rsid w:val="00D15822"/>
    <w:rsid w:val="00D15CDC"/>
    <w:rsid w:val="00D26436"/>
    <w:rsid w:val="00D27C0A"/>
    <w:rsid w:val="00D32ABF"/>
    <w:rsid w:val="00D4587A"/>
    <w:rsid w:val="00D47E43"/>
    <w:rsid w:val="00D52B0A"/>
    <w:rsid w:val="00D53D15"/>
    <w:rsid w:val="00D544B7"/>
    <w:rsid w:val="00D5567F"/>
    <w:rsid w:val="00D615D0"/>
    <w:rsid w:val="00D6166B"/>
    <w:rsid w:val="00D63F38"/>
    <w:rsid w:val="00D645B5"/>
    <w:rsid w:val="00D650B2"/>
    <w:rsid w:val="00D71A77"/>
    <w:rsid w:val="00D71F8E"/>
    <w:rsid w:val="00D83004"/>
    <w:rsid w:val="00D83AB0"/>
    <w:rsid w:val="00D85B21"/>
    <w:rsid w:val="00D872A3"/>
    <w:rsid w:val="00D87E7D"/>
    <w:rsid w:val="00DA1882"/>
    <w:rsid w:val="00DB3879"/>
    <w:rsid w:val="00DC5C89"/>
    <w:rsid w:val="00DD5E7A"/>
    <w:rsid w:val="00DD69D9"/>
    <w:rsid w:val="00DE1198"/>
    <w:rsid w:val="00DE4937"/>
    <w:rsid w:val="00DF01B7"/>
    <w:rsid w:val="00DF1351"/>
    <w:rsid w:val="00DF3C5B"/>
    <w:rsid w:val="00DF4080"/>
    <w:rsid w:val="00E1520E"/>
    <w:rsid w:val="00E15EC6"/>
    <w:rsid w:val="00E16B77"/>
    <w:rsid w:val="00E216DD"/>
    <w:rsid w:val="00E23120"/>
    <w:rsid w:val="00E24D2C"/>
    <w:rsid w:val="00E263CE"/>
    <w:rsid w:val="00E322DA"/>
    <w:rsid w:val="00E461BF"/>
    <w:rsid w:val="00E46DD8"/>
    <w:rsid w:val="00E501E8"/>
    <w:rsid w:val="00E54FB9"/>
    <w:rsid w:val="00E5666D"/>
    <w:rsid w:val="00E567F1"/>
    <w:rsid w:val="00E645DB"/>
    <w:rsid w:val="00E64D98"/>
    <w:rsid w:val="00E6780B"/>
    <w:rsid w:val="00E67F36"/>
    <w:rsid w:val="00E74851"/>
    <w:rsid w:val="00E74F9D"/>
    <w:rsid w:val="00E751FC"/>
    <w:rsid w:val="00E86E59"/>
    <w:rsid w:val="00E97127"/>
    <w:rsid w:val="00EA151B"/>
    <w:rsid w:val="00EA63E8"/>
    <w:rsid w:val="00EC4ECA"/>
    <w:rsid w:val="00EC6C87"/>
    <w:rsid w:val="00ED2CF7"/>
    <w:rsid w:val="00ED6931"/>
    <w:rsid w:val="00EE1431"/>
    <w:rsid w:val="00EE3E4B"/>
    <w:rsid w:val="00EF1CC5"/>
    <w:rsid w:val="00F01D7A"/>
    <w:rsid w:val="00F04EF5"/>
    <w:rsid w:val="00F07651"/>
    <w:rsid w:val="00F106E3"/>
    <w:rsid w:val="00F14906"/>
    <w:rsid w:val="00F226DE"/>
    <w:rsid w:val="00F23D99"/>
    <w:rsid w:val="00F27283"/>
    <w:rsid w:val="00F3153D"/>
    <w:rsid w:val="00F31CB6"/>
    <w:rsid w:val="00F4193B"/>
    <w:rsid w:val="00F427F9"/>
    <w:rsid w:val="00F53A6B"/>
    <w:rsid w:val="00F61B54"/>
    <w:rsid w:val="00F62143"/>
    <w:rsid w:val="00F71640"/>
    <w:rsid w:val="00F77CB4"/>
    <w:rsid w:val="00F77D07"/>
    <w:rsid w:val="00F81418"/>
    <w:rsid w:val="00F8323A"/>
    <w:rsid w:val="00F832E9"/>
    <w:rsid w:val="00F863D0"/>
    <w:rsid w:val="00F86F16"/>
    <w:rsid w:val="00FA0397"/>
    <w:rsid w:val="00FA115F"/>
    <w:rsid w:val="00FA2764"/>
    <w:rsid w:val="00FA699C"/>
    <w:rsid w:val="00FB3D8B"/>
    <w:rsid w:val="00FB4F5C"/>
    <w:rsid w:val="00FB6A69"/>
    <w:rsid w:val="00FC052C"/>
    <w:rsid w:val="00FD487B"/>
    <w:rsid w:val="00FE414E"/>
    <w:rsid w:val="00FE5FE2"/>
    <w:rsid w:val="00FE61D7"/>
    <w:rsid w:val="00FE7643"/>
    <w:rsid w:val="00FE79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614DB7-040C-4B74-B3F4-A52E207D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2B3"/>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52B3"/>
    <w:rPr>
      <w:rFonts w:cs="Times New Roman"/>
      <w:color w:val="0000FF"/>
      <w:u w:val="single"/>
    </w:rPr>
  </w:style>
  <w:style w:type="paragraph" w:styleId="ListParagraph">
    <w:name w:val="List Paragraph"/>
    <w:aliases w:val="2,Strip,H&amp;P List Paragraph,Saraksta rindkopa,Saraksta rindkopa1"/>
    <w:basedOn w:val="Normal"/>
    <w:link w:val="ListParagraphChar"/>
    <w:uiPriority w:val="34"/>
    <w:qFormat/>
    <w:rsid w:val="000952B3"/>
    <w:pPr>
      <w:ind w:left="720"/>
      <w:contextualSpacing/>
    </w:pPr>
    <w:rPr>
      <w:rFonts w:eastAsia="Times New Roman"/>
      <w:sz w:val="22"/>
      <w:szCs w:val="22"/>
    </w:rPr>
  </w:style>
  <w:style w:type="character" w:customStyle="1" w:styleId="ListParagraphChar">
    <w:name w:val="List Paragraph Char"/>
    <w:aliases w:val="2 Char,Strip Char,H&amp;P List Paragraph Char,Saraksta rindkopa Char,Saraksta rindkopa1 Char"/>
    <w:link w:val="ListParagraph"/>
    <w:uiPriority w:val="34"/>
    <w:qFormat/>
    <w:rsid w:val="000952B3"/>
    <w:rPr>
      <w:rFonts w:ascii="Times New Roman" w:eastAsia="Times New Roman" w:hAnsi="Times New Roman" w:cs="Times New Roman"/>
      <w:lang w:eastAsia="lv-LV"/>
    </w:rPr>
  </w:style>
  <w:style w:type="paragraph" w:customStyle="1" w:styleId="Default">
    <w:name w:val="Default"/>
    <w:rsid w:val="000952B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naiskr">
    <w:name w:val="naiskr"/>
    <w:basedOn w:val="Normal"/>
    <w:rsid w:val="000952B3"/>
    <w:pPr>
      <w:spacing w:before="100" w:beforeAutospacing="1" w:after="100" w:afterAutospacing="1"/>
    </w:pPr>
    <w:rPr>
      <w:rFonts w:eastAsia="Times New Roman"/>
    </w:rPr>
  </w:style>
  <w:style w:type="paragraph" w:customStyle="1" w:styleId="naisnod">
    <w:name w:val="naisnod"/>
    <w:basedOn w:val="Normal"/>
    <w:rsid w:val="000952B3"/>
    <w:pPr>
      <w:spacing w:before="100" w:beforeAutospacing="1" w:after="100" w:afterAutospacing="1"/>
    </w:pPr>
    <w:rPr>
      <w:rFonts w:eastAsia="Times New Roman"/>
    </w:rPr>
  </w:style>
  <w:style w:type="character" w:styleId="CommentReference">
    <w:name w:val="annotation reference"/>
    <w:unhideWhenUsed/>
    <w:rsid w:val="00055596"/>
    <w:rPr>
      <w:sz w:val="16"/>
      <w:szCs w:val="16"/>
    </w:rPr>
  </w:style>
  <w:style w:type="paragraph" w:styleId="CommentText">
    <w:name w:val="annotation text"/>
    <w:basedOn w:val="Normal"/>
    <w:link w:val="CommentTextChar"/>
    <w:unhideWhenUsed/>
    <w:rsid w:val="00055596"/>
    <w:pPr>
      <w:spacing w:after="200"/>
    </w:pPr>
    <w:rPr>
      <w:rFonts w:ascii="Calibri" w:hAnsi="Calibri"/>
      <w:sz w:val="20"/>
      <w:szCs w:val="20"/>
      <w:lang w:val="x-none" w:eastAsia="x-none"/>
    </w:rPr>
  </w:style>
  <w:style w:type="character" w:customStyle="1" w:styleId="CommentTextChar">
    <w:name w:val="Comment Text Char"/>
    <w:basedOn w:val="DefaultParagraphFont"/>
    <w:link w:val="CommentText"/>
    <w:rsid w:val="00055596"/>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05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596"/>
    <w:rPr>
      <w:rFonts w:ascii="Segoe UI" w:eastAsia="Calibri" w:hAnsi="Segoe UI" w:cs="Segoe UI"/>
      <w:sz w:val="18"/>
      <w:szCs w:val="18"/>
      <w:lang w:eastAsia="lv-LV"/>
    </w:rPr>
  </w:style>
  <w:style w:type="table" w:styleId="TableGrid">
    <w:name w:val="Table Grid"/>
    <w:basedOn w:val="TableNormal"/>
    <w:uiPriority w:val="39"/>
    <w:rsid w:val="00DF4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045B"/>
    <w:pPr>
      <w:spacing w:before="100" w:beforeAutospacing="1" w:after="100" w:afterAutospacing="1"/>
    </w:pPr>
    <w:rPr>
      <w:rFonts w:eastAsia="Times New Roman"/>
    </w:rPr>
  </w:style>
  <w:style w:type="paragraph" w:styleId="Header">
    <w:name w:val="header"/>
    <w:basedOn w:val="Normal"/>
    <w:link w:val="HeaderChar"/>
    <w:uiPriority w:val="99"/>
    <w:unhideWhenUsed/>
    <w:rsid w:val="007A045B"/>
    <w:pPr>
      <w:tabs>
        <w:tab w:val="center" w:pos="4153"/>
        <w:tab w:val="right" w:pos="8306"/>
      </w:tabs>
    </w:pPr>
  </w:style>
  <w:style w:type="character" w:customStyle="1" w:styleId="HeaderChar">
    <w:name w:val="Header Char"/>
    <w:basedOn w:val="DefaultParagraphFont"/>
    <w:link w:val="Header"/>
    <w:uiPriority w:val="99"/>
    <w:rsid w:val="007A045B"/>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7A045B"/>
    <w:pPr>
      <w:tabs>
        <w:tab w:val="center" w:pos="4153"/>
        <w:tab w:val="right" w:pos="8306"/>
      </w:tabs>
    </w:pPr>
  </w:style>
  <w:style w:type="character" w:customStyle="1" w:styleId="FooterChar">
    <w:name w:val="Footer Char"/>
    <w:basedOn w:val="DefaultParagraphFont"/>
    <w:link w:val="Footer"/>
    <w:uiPriority w:val="99"/>
    <w:rsid w:val="007A045B"/>
    <w:rPr>
      <w:rFonts w:ascii="Times New Roman" w:eastAsia="Calibri"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B94D4E"/>
    <w:pPr>
      <w:spacing w:after="0"/>
    </w:pPr>
    <w:rPr>
      <w:rFonts w:ascii="Times New Roman" w:hAnsi="Times New Roman"/>
      <w:b/>
      <w:bCs/>
      <w:lang w:val="lv-LV" w:eastAsia="lv-LV"/>
    </w:rPr>
  </w:style>
  <w:style w:type="character" w:customStyle="1" w:styleId="CommentSubjectChar">
    <w:name w:val="Comment Subject Char"/>
    <w:basedOn w:val="CommentTextChar"/>
    <w:link w:val="CommentSubject"/>
    <w:uiPriority w:val="99"/>
    <w:semiHidden/>
    <w:rsid w:val="00B94D4E"/>
    <w:rPr>
      <w:rFonts w:ascii="Times New Roman" w:eastAsia="Calibri" w:hAnsi="Times New Roman" w:cs="Times New Roman"/>
      <w:b/>
      <w:bCs/>
      <w:sz w:val="20"/>
      <w:szCs w:val="20"/>
      <w:lang w:val="x-none" w:eastAsia="lv-LV"/>
    </w:rPr>
  </w:style>
  <w:style w:type="paragraph" w:styleId="Revision">
    <w:name w:val="Revision"/>
    <w:hidden/>
    <w:uiPriority w:val="99"/>
    <w:semiHidden/>
    <w:rsid w:val="004040B1"/>
    <w:pPr>
      <w:spacing w:after="0" w:line="240" w:lineRule="auto"/>
    </w:pPr>
    <w:rPr>
      <w:rFonts w:ascii="Times New Roman" w:eastAsia="Calibri" w:hAnsi="Times New Roman" w:cs="Times New Roman"/>
      <w:sz w:val="24"/>
      <w:szCs w:val="24"/>
      <w:lang w:eastAsia="lv-LV"/>
    </w:rPr>
  </w:style>
  <w:style w:type="character" w:styleId="FootnoteReference">
    <w:name w:val="footnote reference"/>
    <w:aliases w:val="Footnote Reference Number,Footnote symbol,SUPERS,Footnote Refernece,ftref,Footnote Reference Superscript,stylish,BVI fnr,Fußnotenzeichen_Raxen,callout,Vēres atsauce,Odwołanie przypisu,Footnotes refss,Ref,de nota al pie,Times 10 Point"/>
    <w:basedOn w:val="DefaultParagraphFont"/>
    <w:link w:val="CharCharCharChar"/>
    <w:uiPriority w:val="99"/>
    <w:unhideWhenUsed/>
    <w:rsid w:val="00B31328"/>
    <w:rPr>
      <w:vertAlign w:val="superscript"/>
    </w:rPr>
  </w:style>
  <w:style w:type="paragraph" w:styleId="FootnoteText">
    <w:name w:val="footnote text"/>
    <w:aliases w:val="Footnote Text Char2,Footnote Text Char1 Char,Footnote Text Char Char Char,Footnote Text Char Char Char Char Char Char Char,Footnote Char Char Char Char Char Char Char,Fußnote Char Char Char Char Char Char Char,Footnote Text Char Char,f"/>
    <w:basedOn w:val="Normal"/>
    <w:link w:val="FootnoteTextChar"/>
    <w:uiPriority w:val="99"/>
    <w:unhideWhenUsed/>
    <w:rsid w:val="003F61CB"/>
    <w:rPr>
      <w:sz w:val="20"/>
      <w:szCs w:val="20"/>
    </w:rPr>
  </w:style>
  <w:style w:type="character" w:customStyle="1" w:styleId="FootnoteTextChar">
    <w:name w:val="Footnote Text Char"/>
    <w:aliases w:val="Footnote Text Char2 Char,Footnote Text Char1 Char Char,Footnote Text Char Char Char Char,Footnote Text Char Char Char Char Char Char Char Char,Footnote Char Char Char Char Char Char Char Char,Footnote Text Char Char Char1,f Char"/>
    <w:basedOn w:val="DefaultParagraphFont"/>
    <w:link w:val="FootnoteText"/>
    <w:uiPriority w:val="99"/>
    <w:rsid w:val="003F61CB"/>
    <w:rPr>
      <w:rFonts w:ascii="Times New Roman" w:eastAsia="Calibri" w:hAnsi="Times New Roman" w:cs="Times New Roman"/>
      <w:sz w:val="20"/>
      <w:szCs w:val="20"/>
      <w:lang w:eastAsia="lv-LV"/>
    </w:rPr>
  </w:style>
  <w:style w:type="paragraph" w:customStyle="1" w:styleId="CharCharCharChar">
    <w:name w:val="Char Char Char Char"/>
    <w:aliases w:val="Char2"/>
    <w:basedOn w:val="Normal"/>
    <w:next w:val="Normal"/>
    <w:link w:val="FootnoteReference"/>
    <w:uiPriority w:val="99"/>
    <w:rsid w:val="00782C36"/>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PlainText">
    <w:name w:val="Plain Text"/>
    <w:basedOn w:val="Normal"/>
    <w:link w:val="PlainTextChar"/>
    <w:uiPriority w:val="99"/>
    <w:unhideWhenUsed/>
    <w:rsid w:val="00782C36"/>
    <w:rPr>
      <w:rFonts w:ascii="Calibri" w:hAnsi="Calibri"/>
      <w:color w:val="1F497D"/>
      <w:sz w:val="22"/>
      <w:szCs w:val="21"/>
      <w:lang w:val="x-none" w:eastAsia="en-US"/>
    </w:rPr>
  </w:style>
  <w:style w:type="character" w:customStyle="1" w:styleId="PlainTextChar">
    <w:name w:val="Plain Text Char"/>
    <w:basedOn w:val="DefaultParagraphFont"/>
    <w:link w:val="PlainText"/>
    <w:uiPriority w:val="99"/>
    <w:rsid w:val="00782C36"/>
    <w:rPr>
      <w:rFonts w:ascii="Calibri" w:eastAsia="Calibri" w:hAnsi="Calibri" w:cs="Times New Roman"/>
      <w:color w:val="1F497D"/>
      <w:szCs w:val="21"/>
      <w:lang w:val="x-none"/>
    </w:rPr>
  </w:style>
  <w:style w:type="character" w:styleId="FollowedHyperlink">
    <w:name w:val="FollowedHyperlink"/>
    <w:basedOn w:val="DefaultParagraphFont"/>
    <w:uiPriority w:val="99"/>
    <w:semiHidden/>
    <w:unhideWhenUsed/>
    <w:rsid w:val="004A2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3372">
      <w:bodyDiv w:val="1"/>
      <w:marLeft w:val="0"/>
      <w:marRight w:val="0"/>
      <w:marTop w:val="0"/>
      <w:marBottom w:val="0"/>
      <w:divBdr>
        <w:top w:val="none" w:sz="0" w:space="0" w:color="auto"/>
        <w:left w:val="none" w:sz="0" w:space="0" w:color="auto"/>
        <w:bottom w:val="none" w:sz="0" w:space="0" w:color="auto"/>
        <w:right w:val="none" w:sz="0" w:space="0" w:color="auto"/>
      </w:divBdr>
    </w:div>
    <w:div w:id="158230493">
      <w:bodyDiv w:val="1"/>
      <w:marLeft w:val="0"/>
      <w:marRight w:val="0"/>
      <w:marTop w:val="0"/>
      <w:marBottom w:val="0"/>
      <w:divBdr>
        <w:top w:val="none" w:sz="0" w:space="0" w:color="auto"/>
        <w:left w:val="none" w:sz="0" w:space="0" w:color="auto"/>
        <w:bottom w:val="none" w:sz="0" w:space="0" w:color="auto"/>
        <w:right w:val="none" w:sz="0" w:space="0" w:color="auto"/>
      </w:divBdr>
    </w:div>
    <w:div w:id="255794755">
      <w:bodyDiv w:val="1"/>
      <w:marLeft w:val="0"/>
      <w:marRight w:val="0"/>
      <w:marTop w:val="0"/>
      <w:marBottom w:val="0"/>
      <w:divBdr>
        <w:top w:val="none" w:sz="0" w:space="0" w:color="auto"/>
        <w:left w:val="none" w:sz="0" w:space="0" w:color="auto"/>
        <w:bottom w:val="none" w:sz="0" w:space="0" w:color="auto"/>
        <w:right w:val="none" w:sz="0" w:space="0" w:color="auto"/>
      </w:divBdr>
    </w:div>
    <w:div w:id="1456213429">
      <w:bodyDiv w:val="1"/>
      <w:marLeft w:val="0"/>
      <w:marRight w:val="0"/>
      <w:marTop w:val="0"/>
      <w:marBottom w:val="0"/>
      <w:divBdr>
        <w:top w:val="none" w:sz="0" w:space="0" w:color="auto"/>
        <w:left w:val="none" w:sz="0" w:space="0" w:color="auto"/>
        <w:bottom w:val="none" w:sz="0" w:space="0" w:color="auto"/>
        <w:right w:val="none" w:sz="0" w:space="0" w:color="auto"/>
      </w:divBdr>
    </w:div>
    <w:div w:id="16777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va.Grike@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a.svirksta@iz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sts@izm.gov.lv" TargetMode="External"/><Relationship Id="rId4" Type="http://schemas.openxmlformats.org/officeDocument/2006/relationships/settings" Target="settings.xml"/><Relationship Id="rId9" Type="http://schemas.openxmlformats.org/officeDocument/2006/relationships/hyperlink" Target="http://www.izm.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9C64-93AE-4B7A-B038-D7501924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2092</Words>
  <Characters>15210</Characters>
  <Application>Microsoft Office Word</Application>
  <DocSecurity>0</DocSecurity>
  <Lines>524</Lines>
  <Paragraphs>176</Paragraphs>
  <ScaleCrop>false</ScaleCrop>
  <HeadingPairs>
    <vt:vector size="2" baseType="variant">
      <vt:variant>
        <vt:lpstr>Title</vt:lpstr>
      </vt:variant>
      <vt:variant>
        <vt:i4>1</vt:i4>
      </vt:variant>
    </vt:vector>
  </HeadingPairs>
  <TitlesOfParts>
    <vt:vector size="1" baseType="lpstr">
      <vt:lpstr>Anotācija</vt:lpstr>
    </vt:vector>
  </TitlesOfParts>
  <Company>IZM</Company>
  <LinksUpToDate>false</LinksUpToDate>
  <CharactersWithSpaces>17126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dc:title>
  <dc:subject>Grozījumi Ministru kabineta 2016. gada 12. janvāra noteikumos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dc:subject>
  <dc:creator>Švirksta</dc:creator>
  <dc:description>Švirksta
67047878
Inta.Svirksta@izm.gov.lv</dc:description>
  <cp:lastModifiedBy>Inta Švirksta</cp:lastModifiedBy>
  <cp:revision>7</cp:revision>
  <cp:lastPrinted>2019-03-15T11:09:00Z</cp:lastPrinted>
  <dcterms:created xsi:type="dcterms:W3CDTF">2019-04-09T07:19:00Z</dcterms:created>
  <dcterms:modified xsi:type="dcterms:W3CDTF">2019-04-09T08:31:00Z</dcterms:modified>
</cp:coreProperties>
</file>