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C8EE9" w14:textId="77777777" w:rsidR="0018339A" w:rsidRDefault="0018339A" w:rsidP="0018339A">
      <w:pPr>
        <w:spacing w:after="0" w:line="240" w:lineRule="auto"/>
        <w:jc w:val="center"/>
        <w:rPr>
          <w:rFonts w:ascii="Times New Roman" w:eastAsia="Times New Roman" w:hAnsi="Times New Roman" w:cs="Calibri"/>
          <w:b/>
          <w:kern w:val="3"/>
          <w:sz w:val="24"/>
          <w:szCs w:val="24"/>
          <w:lang w:eastAsia="lv-LV"/>
        </w:rPr>
      </w:pPr>
      <w:r w:rsidRPr="00AA6A40">
        <w:rPr>
          <w:rFonts w:ascii="Times New Roman" w:eastAsia="Times New Roman" w:hAnsi="Times New Roman" w:cs="Calibri"/>
          <w:b/>
          <w:kern w:val="3"/>
          <w:sz w:val="24"/>
          <w:szCs w:val="24"/>
          <w:lang w:eastAsia="lv-LV"/>
        </w:rPr>
        <w:t xml:space="preserve">Ministru kabineta noteikumu projekta </w:t>
      </w:r>
    </w:p>
    <w:p w14:paraId="28835C35" w14:textId="0A04F25F" w:rsidR="0018339A" w:rsidRPr="00AA6A40" w:rsidRDefault="0018339A" w:rsidP="0018339A">
      <w:pPr>
        <w:spacing w:after="0" w:line="240" w:lineRule="auto"/>
        <w:jc w:val="center"/>
        <w:rPr>
          <w:rFonts w:ascii="Times New Roman" w:eastAsia="Times New Roman" w:hAnsi="Times New Roman" w:cs="Calibri"/>
          <w:b/>
          <w:kern w:val="3"/>
          <w:sz w:val="24"/>
          <w:szCs w:val="24"/>
          <w:lang w:eastAsia="lv-LV"/>
        </w:rPr>
      </w:pPr>
      <w:r w:rsidRPr="00AA6A40">
        <w:rPr>
          <w:rFonts w:ascii="Times New Roman" w:eastAsia="Times New Roman" w:hAnsi="Times New Roman" w:cs="Calibri"/>
          <w:b/>
          <w:kern w:val="3"/>
          <w:sz w:val="24"/>
          <w:szCs w:val="24"/>
          <w:lang w:eastAsia="lv-LV"/>
        </w:rPr>
        <w:t>“</w:t>
      </w:r>
      <w:r w:rsidR="00142A38" w:rsidRPr="00F53C47">
        <w:rPr>
          <w:rFonts w:ascii="Times New Roman" w:hAnsi="Times New Roman"/>
          <w:b/>
          <w:sz w:val="24"/>
          <w:szCs w:val="24"/>
        </w:rPr>
        <w:t xml:space="preserve">Vispārējās pamatizglītības programmas un vispārējās vidējās izglītības programmas </w:t>
      </w:r>
      <w:r w:rsidR="00142A38" w:rsidRPr="00FA1D64">
        <w:rPr>
          <w:rFonts w:ascii="Times New Roman" w:hAnsi="Times New Roman"/>
          <w:b/>
          <w:sz w:val="24"/>
          <w:szCs w:val="24"/>
        </w:rPr>
        <w:t xml:space="preserve">īstenošanas kārtība </w:t>
      </w:r>
      <w:r w:rsidR="00142A38" w:rsidRPr="00F53C47">
        <w:rPr>
          <w:rFonts w:ascii="Times New Roman" w:hAnsi="Times New Roman"/>
          <w:b/>
          <w:sz w:val="24"/>
          <w:szCs w:val="24"/>
        </w:rPr>
        <w:t>neklātienes un tālmācības formā</w:t>
      </w:r>
      <w:r w:rsidRPr="00AA6A40">
        <w:rPr>
          <w:rFonts w:ascii="Times New Roman" w:eastAsia="Times New Roman" w:hAnsi="Times New Roman" w:cs="Calibri"/>
          <w:b/>
          <w:kern w:val="3"/>
          <w:sz w:val="24"/>
          <w:szCs w:val="24"/>
          <w:lang w:eastAsia="lv-LV"/>
        </w:rPr>
        <w:t xml:space="preserve">” sākotnējās ietekmes novērtējuma </w:t>
      </w:r>
      <w:smartTag w:uri="schemas-tilde-lv/tildestengine" w:element="veidnes">
        <w:smartTagPr>
          <w:attr w:name="text" w:val="ziņojums"/>
          <w:attr w:name="baseform" w:val="ziņojums"/>
          <w:attr w:name="id" w:val="-1"/>
        </w:smartTagPr>
        <w:r w:rsidRPr="00AA6A40">
          <w:rPr>
            <w:rFonts w:ascii="Times New Roman" w:eastAsia="Times New Roman" w:hAnsi="Times New Roman" w:cs="Calibri"/>
            <w:b/>
            <w:kern w:val="3"/>
            <w:sz w:val="24"/>
            <w:szCs w:val="24"/>
            <w:lang w:eastAsia="lv-LV"/>
          </w:rPr>
          <w:t>ziņojums</w:t>
        </w:r>
      </w:smartTag>
      <w:r w:rsidRPr="00AA6A40">
        <w:rPr>
          <w:rFonts w:ascii="Times New Roman" w:eastAsia="Times New Roman" w:hAnsi="Times New Roman" w:cs="Calibri"/>
          <w:b/>
          <w:kern w:val="3"/>
          <w:sz w:val="24"/>
          <w:szCs w:val="24"/>
          <w:lang w:eastAsia="lv-LV"/>
        </w:rPr>
        <w:t xml:space="preserve"> (anotācija)</w:t>
      </w:r>
    </w:p>
    <w:p w14:paraId="527535BE" w14:textId="756630FE" w:rsidR="0018339A" w:rsidRDefault="0018339A" w:rsidP="0018339A">
      <w:pPr>
        <w:pStyle w:val="Standard"/>
        <w:spacing w:after="0" w:line="240" w:lineRule="auto"/>
        <w:rPr>
          <w:rFonts w:ascii="Times New Roman" w:hAnsi="Times New Roman"/>
          <w:b/>
          <w:sz w:val="24"/>
          <w:szCs w:val="24"/>
        </w:rPr>
      </w:pPr>
    </w:p>
    <w:tbl>
      <w:tblPr>
        <w:tblStyle w:val="TableGrid"/>
        <w:tblW w:w="0" w:type="auto"/>
        <w:tblInd w:w="-147" w:type="dxa"/>
        <w:tblLook w:val="04A0" w:firstRow="1" w:lastRow="0" w:firstColumn="1" w:lastColumn="0" w:noHBand="0" w:noVBand="1"/>
      </w:tblPr>
      <w:tblGrid>
        <w:gridCol w:w="2552"/>
        <w:gridCol w:w="6521"/>
      </w:tblGrid>
      <w:tr w:rsidR="005B2993" w14:paraId="1220569A" w14:textId="77777777" w:rsidTr="009C6677">
        <w:tc>
          <w:tcPr>
            <w:tcW w:w="9073" w:type="dxa"/>
            <w:gridSpan w:val="2"/>
          </w:tcPr>
          <w:p w14:paraId="64C1C24D" w14:textId="77777777" w:rsidR="00156BD4" w:rsidRDefault="00156BD4" w:rsidP="005B2993">
            <w:pPr>
              <w:pStyle w:val="Standard"/>
              <w:spacing w:after="0" w:line="240" w:lineRule="auto"/>
              <w:jc w:val="center"/>
              <w:rPr>
                <w:rFonts w:ascii="Times New Roman" w:hAnsi="Times New Roman"/>
                <w:b/>
                <w:sz w:val="24"/>
                <w:szCs w:val="24"/>
              </w:rPr>
            </w:pPr>
          </w:p>
          <w:p w14:paraId="7847EBF8" w14:textId="77777777" w:rsidR="005B2993" w:rsidRDefault="005B2993" w:rsidP="005B2993">
            <w:pPr>
              <w:pStyle w:val="Standard"/>
              <w:spacing w:after="0" w:line="240" w:lineRule="auto"/>
              <w:jc w:val="center"/>
              <w:rPr>
                <w:rFonts w:ascii="Times New Roman" w:hAnsi="Times New Roman"/>
                <w:b/>
                <w:sz w:val="24"/>
                <w:szCs w:val="24"/>
              </w:rPr>
            </w:pPr>
            <w:r>
              <w:rPr>
                <w:rFonts w:ascii="Times New Roman" w:hAnsi="Times New Roman"/>
                <w:b/>
                <w:sz w:val="24"/>
                <w:szCs w:val="24"/>
              </w:rPr>
              <w:t>Tiesību akta anotācijas kopsavilkums</w:t>
            </w:r>
          </w:p>
          <w:p w14:paraId="5FE292A3" w14:textId="21C42813" w:rsidR="00156BD4" w:rsidRDefault="00156BD4" w:rsidP="005B2993">
            <w:pPr>
              <w:pStyle w:val="Standard"/>
              <w:spacing w:after="0" w:line="240" w:lineRule="auto"/>
              <w:jc w:val="center"/>
              <w:rPr>
                <w:rFonts w:ascii="Times New Roman" w:hAnsi="Times New Roman"/>
                <w:b/>
                <w:sz w:val="24"/>
                <w:szCs w:val="24"/>
              </w:rPr>
            </w:pPr>
          </w:p>
        </w:tc>
      </w:tr>
      <w:tr w:rsidR="005B2993" w14:paraId="5ABAEFF4" w14:textId="77777777" w:rsidTr="005B2993">
        <w:tc>
          <w:tcPr>
            <w:tcW w:w="2552" w:type="dxa"/>
          </w:tcPr>
          <w:p w14:paraId="6B4AA552" w14:textId="77777777" w:rsidR="005B2993" w:rsidRPr="00AD310A" w:rsidRDefault="005B2993" w:rsidP="005B2993">
            <w:pPr>
              <w:spacing w:after="0" w:line="240" w:lineRule="auto"/>
              <w:rPr>
                <w:rFonts w:ascii="Times New Roman" w:hAnsi="Times New Roman"/>
                <w:sz w:val="24"/>
                <w:szCs w:val="24"/>
              </w:rPr>
            </w:pPr>
            <w:r w:rsidRPr="00AD310A">
              <w:rPr>
                <w:rFonts w:ascii="Times New Roman" w:hAnsi="Times New Roman"/>
                <w:sz w:val="24"/>
                <w:szCs w:val="24"/>
              </w:rPr>
              <w:t xml:space="preserve">Mērķis, risinājums un projekta spēkā stāšanās laiks </w:t>
            </w:r>
          </w:p>
          <w:p w14:paraId="29B53766" w14:textId="77777777" w:rsidR="005B2993" w:rsidRPr="008D1690" w:rsidRDefault="005B2993" w:rsidP="005B2993">
            <w:pPr>
              <w:spacing w:after="0" w:line="240" w:lineRule="auto"/>
              <w:rPr>
                <w:rFonts w:ascii="Times New Roman" w:eastAsia="Times New Roman" w:hAnsi="Times New Roman"/>
                <w:sz w:val="24"/>
                <w:szCs w:val="24"/>
                <w:lang w:eastAsia="lv-LV"/>
              </w:rPr>
            </w:pPr>
            <w:r w:rsidRPr="00AD310A">
              <w:rPr>
                <w:rFonts w:ascii="Times New Roman" w:hAnsi="Times New Roman"/>
                <w:sz w:val="24"/>
                <w:szCs w:val="24"/>
              </w:rPr>
              <w:t>(500 zīmes bez atstarpēm)</w:t>
            </w:r>
          </w:p>
          <w:p w14:paraId="7DA70E2F" w14:textId="77777777" w:rsidR="005B2993" w:rsidRDefault="005B2993" w:rsidP="0018339A">
            <w:pPr>
              <w:pStyle w:val="Standard"/>
              <w:spacing w:after="0" w:line="240" w:lineRule="auto"/>
              <w:rPr>
                <w:rFonts w:ascii="Times New Roman" w:hAnsi="Times New Roman"/>
                <w:b/>
                <w:sz w:val="24"/>
                <w:szCs w:val="24"/>
              </w:rPr>
            </w:pPr>
          </w:p>
        </w:tc>
        <w:tc>
          <w:tcPr>
            <w:tcW w:w="6521" w:type="dxa"/>
          </w:tcPr>
          <w:p w14:paraId="2DFE696C" w14:textId="4AECC5D6" w:rsidR="005B2993" w:rsidRDefault="00582F0F" w:rsidP="00582F0F">
            <w:pPr>
              <w:pStyle w:val="NoSpacing"/>
              <w:jc w:val="both"/>
              <w:rPr>
                <w:rFonts w:ascii="Times New Roman" w:hAnsi="Times New Roman"/>
                <w:iCs/>
                <w:sz w:val="24"/>
                <w:szCs w:val="24"/>
              </w:rPr>
            </w:pPr>
            <w:r>
              <w:rPr>
                <w:rFonts w:ascii="Times New Roman" w:hAnsi="Times New Roman"/>
                <w:sz w:val="24"/>
              </w:rPr>
              <w:t>Tiesību akta</w:t>
            </w:r>
            <w:r w:rsidR="00DA3E0F">
              <w:rPr>
                <w:rFonts w:ascii="Times New Roman" w:hAnsi="Times New Roman"/>
                <w:sz w:val="24"/>
              </w:rPr>
              <w:t xml:space="preserve"> </w:t>
            </w:r>
            <w:r w:rsidR="00DA3E0F">
              <w:rPr>
                <w:rFonts w:ascii="Times New Roman" w:hAnsi="Times New Roman"/>
                <w:sz w:val="24"/>
                <w:szCs w:val="24"/>
              </w:rPr>
              <w:t>projekta</w:t>
            </w:r>
            <w:r w:rsidR="00DA3E0F" w:rsidRPr="00AC0368">
              <w:rPr>
                <w:rFonts w:ascii="Times New Roman" w:hAnsi="Times New Roman"/>
                <w:sz w:val="24"/>
              </w:rPr>
              <w:t xml:space="preserve"> </w:t>
            </w:r>
            <w:r w:rsidR="005B2993" w:rsidRPr="00DA3E0F">
              <w:rPr>
                <w:rFonts w:ascii="Times New Roman" w:hAnsi="Times New Roman"/>
                <w:iCs/>
                <w:sz w:val="24"/>
                <w:szCs w:val="24"/>
              </w:rPr>
              <w:t>mērķis</w:t>
            </w:r>
            <w:r w:rsidR="005B2993" w:rsidRPr="0009345A">
              <w:rPr>
                <w:rFonts w:ascii="Times New Roman" w:hAnsi="Times New Roman"/>
                <w:iCs/>
                <w:sz w:val="24"/>
                <w:szCs w:val="24"/>
              </w:rPr>
              <w:t xml:space="preserve"> ir</w:t>
            </w:r>
            <w:r w:rsidR="005B2993">
              <w:rPr>
                <w:rFonts w:ascii="Times New Roman" w:hAnsi="Times New Roman"/>
                <w:iCs/>
                <w:sz w:val="24"/>
                <w:szCs w:val="24"/>
              </w:rPr>
              <w:t xml:space="preserve"> kārtības noteikšana vispārējās pamatizglītības un vispārējās vidējās izglītības programmu īstenošanai neklātienes un tālmācības izglītības ieguves formā.  </w:t>
            </w:r>
          </w:p>
          <w:p w14:paraId="2936D367" w14:textId="1D6A09D9" w:rsidR="00156BD4" w:rsidRDefault="00582F0F" w:rsidP="00582F0F">
            <w:pPr>
              <w:pStyle w:val="Standard"/>
              <w:spacing w:after="0" w:line="240" w:lineRule="auto"/>
              <w:jc w:val="both"/>
              <w:rPr>
                <w:rFonts w:ascii="Times New Roman" w:hAnsi="Times New Roman"/>
                <w:iCs/>
                <w:sz w:val="24"/>
                <w:szCs w:val="24"/>
              </w:rPr>
            </w:pPr>
            <w:r>
              <w:rPr>
                <w:rFonts w:ascii="Times New Roman" w:hAnsi="Times New Roman"/>
                <w:iCs/>
                <w:sz w:val="24"/>
                <w:szCs w:val="24"/>
              </w:rPr>
              <w:t>I</w:t>
            </w:r>
            <w:r w:rsidR="005B2993">
              <w:rPr>
                <w:rFonts w:ascii="Times New Roman" w:hAnsi="Times New Roman"/>
                <w:iCs/>
                <w:sz w:val="24"/>
                <w:szCs w:val="24"/>
              </w:rPr>
              <w:t xml:space="preserve">zglītības </w:t>
            </w:r>
            <w:r>
              <w:rPr>
                <w:rFonts w:ascii="Times New Roman" w:hAnsi="Times New Roman"/>
                <w:iCs/>
                <w:sz w:val="24"/>
                <w:szCs w:val="24"/>
              </w:rPr>
              <w:t xml:space="preserve">ieguves </w:t>
            </w:r>
            <w:r w:rsidR="005B2993">
              <w:rPr>
                <w:rFonts w:ascii="Times New Roman" w:hAnsi="Times New Roman"/>
                <w:iCs/>
                <w:sz w:val="24"/>
                <w:szCs w:val="24"/>
              </w:rPr>
              <w:t>iespēju pilnvērtīga nodrošināšana personām, kuras vispārējo pamatizglītību vai vispārējo vid</w:t>
            </w:r>
            <w:r w:rsidR="00DA3E0F">
              <w:rPr>
                <w:rFonts w:ascii="Times New Roman" w:hAnsi="Times New Roman"/>
                <w:iCs/>
                <w:sz w:val="24"/>
                <w:szCs w:val="24"/>
              </w:rPr>
              <w:t>ējo izglītību apgūst neklātienē</w:t>
            </w:r>
            <w:r w:rsidR="005B2993">
              <w:rPr>
                <w:rFonts w:ascii="Times New Roman" w:hAnsi="Times New Roman"/>
                <w:iCs/>
                <w:sz w:val="24"/>
                <w:szCs w:val="24"/>
              </w:rPr>
              <w:t xml:space="preserve"> vai</w:t>
            </w:r>
            <w:r w:rsidR="00DA3E0F">
              <w:rPr>
                <w:rFonts w:ascii="Times New Roman" w:hAnsi="Times New Roman"/>
                <w:iCs/>
                <w:sz w:val="24"/>
                <w:szCs w:val="24"/>
              </w:rPr>
              <w:t xml:space="preserve"> tālmācībā</w:t>
            </w:r>
            <w:r w:rsidR="005B2993">
              <w:rPr>
                <w:rFonts w:ascii="Times New Roman" w:hAnsi="Times New Roman"/>
                <w:iCs/>
                <w:sz w:val="24"/>
                <w:szCs w:val="24"/>
              </w:rPr>
              <w:t xml:space="preserve">, tiks panākta ar nepieciešamo </w:t>
            </w:r>
            <w:r w:rsidR="00DA3E0F">
              <w:rPr>
                <w:rFonts w:ascii="Times New Roman" w:hAnsi="Times New Roman"/>
                <w:iCs/>
                <w:sz w:val="24"/>
                <w:szCs w:val="24"/>
              </w:rPr>
              <w:t>priekšnoteikumu (</w:t>
            </w:r>
            <w:r w:rsidR="005B2993">
              <w:rPr>
                <w:rFonts w:ascii="Times New Roman" w:hAnsi="Times New Roman"/>
                <w:iCs/>
                <w:sz w:val="24"/>
                <w:szCs w:val="24"/>
              </w:rPr>
              <w:t>prasību</w:t>
            </w:r>
            <w:r w:rsidR="00DA3E0F">
              <w:rPr>
                <w:rFonts w:ascii="Times New Roman" w:hAnsi="Times New Roman"/>
                <w:iCs/>
                <w:sz w:val="24"/>
                <w:szCs w:val="24"/>
              </w:rPr>
              <w:t>)</w:t>
            </w:r>
            <w:r w:rsidR="005B2993">
              <w:rPr>
                <w:rFonts w:ascii="Times New Roman" w:hAnsi="Times New Roman"/>
                <w:iCs/>
                <w:sz w:val="24"/>
                <w:szCs w:val="24"/>
              </w:rPr>
              <w:t xml:space="preserve"> noteikšanu mācību procesam</w:t>
            </w:r>
            <w:r w:rsidR="00DA3E0F">
              <w:rPr>
                <w:rFonts w:ascii="Times New Roman" w:hAnsi="Times New Roman"/>
                <w:iCs/>
                <w:sz w:val="24"/>
                <w:szCs w:val="24"/>
              </w:rPr>
              <w:t xml:space="preserve"> </w:t>
            </w:r>
            <w:r>
              <w:rPr>
                <w:rFonts w:ascii="Times New Roman" w:hAnsi="Times New Roman"/>
                <w:iCs/>
                <w:sz w:val="24"/>
                <w:szCs w:val="24"/>
              </w:rPr>
              <w:t>īstenošanai attiecīgajās izglītības iestādēs.</w:t>
            </w:r>
          </w:p>
          <w:p w14:paraId="0CD822C7" w14:textId="05D94ADD" w:rsidR="005B2993" w:rsidRDefault="00582F0F" w:rsidP="00582F0F">
            <w:pPr>
              <w:pStyle w:val="Standard"/>
              <w:spacing w:after="0" w:line="240" w:lineRule="auto"/>
              <w:jc w:val="both"/>
              <w:rPr>
                <w:rFonts w:ascii="Times New Roman" w:hAnsi="Times New Roman"/>
                <w:b/>
                <w:sz w:val="24"/>
                <w:szCs w:val="24"/>
              </w:rPr>
            </w:pPr>
            <w:r>
              <w:rPr>
                <w:rFonts w:ascii="Times New Roman" w:hAnsi="Times New Roman"/>
                <w:iCs/>
                <w:sz w:val="24"/>
                <w:szCs w:val="24"/>
              </w:rPr>
              <w:t xml:space="preserve">Noteikumi </w:t>
            </w:r>
            <w:r w:rsidR="00DA3E0F">
              <w:rPr>
                <w:rFonts w:ascii="Times New Roman" w:hAnsi="Times New Roman"/>
                <w:iCs/>
                <w:sz w:val="24"/>
                <w:szCs w:val="24"/>
              </w:rPr>
              <w:t xml:space="preserve">stāsies spēkā </w:t>
            </w:r>
            <w:r>
              <w:rPr>
                <w:rFonts w:ascii="Times New Roman" w:hAnsi="Times New Roman"/>
                <w:iCs/>
                <w:sz w:val="24"/>
                <w:szCs w:val="24"/>
              </w:rPr>
              <w:t xml:space="preserve">nākamajā dienā </w:t>
            </w:r>
            <w:r w:rsidR="00DA3E0F" w:rsidRPr="00A972B1">
              <w:rPr>
                <w:rFonts w:ascii="Times New Roman" w:hAnsi="Times New Roman"/>
                <w:iCs/>
                <w:sz w:val="24"/>
                <w:szCs w:val="24"/>
              </w:rPr>
              <w:t xml:space="preserve">pēc </w:t>
            </w:r>
            <w:r w:rsidRPr="00A972B1">
              <w:rPr>
                <w:rFonts w:ascii="Times New Roman" w:hAnsi="Times New Roman"/>
                <w:iCs/>
                <w:sz w:val="24"/>
                <w:szCs w:val="24"/>
              </w:rPr>
              <w:t>to izsludināšanas</w:t>
            </w:r>
            <w:r w:rsidR="00245DEC" w:rsidRPr="00A972B1">
              <w:rPr>
                <w:rFonts w:ascii="Times New Roman" w:hAnsi="Times New Roman"/>
                <w:iCs/>
                <w:sz w:val="24"/>
                <w:szCs w:val="24"/>
              </w:rPr>
              <w:t>; atsevišķām normām paredzēts spēkā stāšanās pārejas periods.</w:t>
            </w:r>
          </w:p>
        </w:tc>
      </w:tr>
    </w:tbl>
    <w:p w14:paraId="305013D4" w14:textId="77777777" w:rsidR="005B2993" w:rsidRPr="007D4165" w:rsidRDefault="005B2993" w:rsidP="0018339A">
      <w:pPr>
        <w:pStyle w:val="Standard"/>
        <w:spacing w:after="0" w:line="240" w:lineRule="auto"/>
        <w:rPr>
          <w:rFonts w:ascii="Times New Roman" w:hAnsi="Times New Roman"/>
          <w:b/>
          <w:sz w:val="24"/>
          <w:szCs w:val="24"/>
        </w:rPr>
      </w:pPr>
    </w:p>
    <w:tbl>
      <w:tblPr>
        <w:tblW w:w="5010" w:type="pct"/>
        <w:tblInd w:w="-150"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56"/>
        <w:gridCol w:w="1695"/>
        <w:gridCol w:w="6522"/>
      </w:tblGrid>
      <w:tr w:rsidR="0018339A" w:rsidRPr="007D4165" w14:paraId="6F7E14AF" w14:textId="77777777" w:rsidTr="00E71EAE">
        <w:trPr>
          <w:trHeight w:val="79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59BA7B7" w14:textId="77777777" w:rsidR="0018339A" w:rsidRPr="007D4165" w:rsidRDefault="0018339A" w:rsidP="00540701">
            <w:pPr>
              <w:spacing w:after="0" w:line="240" w:lineRule="auto"/>
              <w:ind w:firstLine="300"/>
              <w:jc w:val="center"/>
              <w:rPr>
                <w:rFonts w:ascii="Times New Roman" w:eastAsia="Times New Roman" w:hAnsi="Times New Roman"/>
                <w:b/>
                <w:bCs/>
                <w:sz w:val="24"/>
                <w:szCs w:val="24"/>
                <w:lang w:eastAsia="lv-LV"/>
              </w:rPr>
            </w:pPr>
            <w:r w:rsidRPr="007D4165">
              <w:rPr>
                <w:rFonts w:ascii="Times New Roman" w:eastAsia="Times New Roman" w:hAnsi="Times New Roman"/>
                <w:b/>
                <w:bCs/>
                <w:sz w:val="24"/>
                <w:szCs w:val="24"/>
                <w:lang w:eastAsia="lv-LV"/>
              </w:rPr>
              <w:t>I. Tiesību akta projekta izstrādes nepieciešamība</w:t>
            </w:r>
          </w:p>
        </w:tc>
      </w:tr>
      <w:tr w:rsidR="0018339A" w:rsidRPr="008D1690" w14:paraId="58159C6E" w14:textId="77777777" w:rsidTr="00E71EAE">
        <w:trPr>
          <w:trHeight w:val="405"/>
        </w:trPr>
        <w:tc>
          <w:tcPr>
            <w:tcW w:w="472" w:type="pct"/>
            <w:tcBorders>
              <w:top w:val="outset" w:sz="6" w:space="0" w:color="414142"/>
              <w:left w:val="outset" w:sz="6" w:space="0" w:color="414142"/>
              <w:bottom w:val="outset" w:sz="6" w:space="0" w:color="414142"/>
              <w:right w:val="outset" w:sz="6" w:space="0" w:color="414142"/>
            </w:tcBorders>
            <w:hideMark/>
          </w:tcPr>
          <w:p w14:paraId="52EC6B7E" w14:textId="77777777" w:rsidR="0018339A" w:rsidRPr="008D1690" w:rsidRDefault="0018339A" w:rsidP="00540701">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934" w:type="pct"/>
            <w:tcBorders>
              <w:top w:val="outset" w:sz="6" w:space="0" w:color="414142"/>
              <w:left w:val="outset" w:sz="6" w:space="0" w:color="414142"/>
              <w:bottom w:val="outset" w:sz="6" w:space="0" w:color="414142"/>
              <w:right w:val="outset" w:sz="6" w:space="0" w:color="414142"/>
            </w:tcBorders>
            <w:hideMark/>
          </w:tcPr>
          <w:p w14:paraId="52E4AC98"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Pamatojums</w:t>
            </w:r>
          </w:p>
        </w:tc>
        <w:tc>
          <w:tcPr>
            <w:tcW w:w="3594" w:type="pct"/>
            <w:tcBorders>
              <w:top w:val="outset" w:sz="6" w:space="0" w:color="414142"/>
              <w:left w:val="outset" w:sz="6" w:space="0" w:color="414142"/>
              <w:bottom w:val="outset" w:sz="6" w:space="0" w:color="414142"/>
              <w:right w:val="outset" w:sz="6" w:space="0" w:color="414142"/>
            </w:tcBorders>
            <w:hideMark/>
          </w:tcPr>
          <w:p w14:paraId="29BE2BAC" w14:textId="7F6936FA" w:rsidR="0018339A" w:rsidRDefault="00582F0F" w:rsidP="00540701">
            <w:pPr>
              <w:spacing w:after="0" w:line="240" w:lineRule="auto"/>
              <w:jc w:val="both"/>
              <w:rPr>
                <w:rFonts w:ascii="Times New Roman" w:hAnsi="Times New Roman"/>
                <w:sz w:val="24"/>
                <w:szCs w:val="24"/>
              </w:rPr>
            </w:pPr>
            <w:r>
              <w:rPr>
                <w:rFonts w:ascii="Times New Roman" w:hAnsi="Times New Roman"/>
                <w:sz w:val="24"/>
                <w:szCs w:val="24"/>
              </w:rPr>
              <w:t xml:space="preserve">Ministru kabineta noteikumu </w:t>
            </w:r>
            <w:r w:rsidR="00DA3E0F">
              <w:rPr>
                <w:rFonts w:ascii="Times New Roman" w:hAnsi="Times New Roman"/>
                <w:sz w:val="24"/>
                <w:szCs w:val="24"/>
              </w:rPr>
              <w:t xml:space="preserve">projekts </w:t>
            </w:r>
            <w:r>
              <w:rPr>
                <w:rFonts w:ascii="Times New Roman" w:hAnsi="Times New Roman"/>
                <w:sz w:val="24"/>
                <w:szCs w:val="24"/>
              </w:rPr>
              <w:t xml:space="preserve">“Vispārējās pamatizglītības programmas un vispārējās vidējās izglītības programmas īstenošanas kārtība neklātienes un tālmācības formā” (turpmāk – noteikumu projekts) </w:t>
            </w:r>
            <w:r w:rsidR="0018339A" w:rsidRPr="0009345A">
              <w:rPr>
                <w:rFonts w:ascii="Times New Roman" w:hAnsi="Times New Roman"/>
                <w:sz w:val="24"/>
                <w:szCs w:val="24"/>
              </w:rPr>
              <w:t>izstrādāts atbilstoši Izglītības attīstības pamatnostādņu 2014.-2020.</w:t>
            </w:r>
            <w:r w:rsidR="0018339A">
              <w:rPr>
                <w:rFonts w:ascii="Times New Roman" w:hAnsi="Times New Roman"/>
                <w:sz w:val="24"/>
                <w:szCs w:val="24"/>
              </w:rPr>
              <w:t xml:space="preserve"> </w:t>
            </w:r>
            <w:r w:rsidR="0018339A" w:rsidRPr="0009345A">
              <w:rPr>
                <w:rFonts w:ascii="Times New Roman" w:hAnsi="Times New Roman"/>
                <w:sz w:val="24"/>
                <w:szCs w:val="24"/>
              </w:rPr>
              <w:t>gadam 1.3.</w:t>
            </w:r>
            <w:r w:rsidR="0018339A">
              <w:rPr>
                <w:rFonts w:ascii="Times New Roman" w:hAnsi="Times New Roman"/>
                <w:sz w:val="24"/>
                <w:szCs w:val="24"/>
              </w:rPr>
              <w:t xml:space="preserve"> </w:t>
            </w:r>
            <w:r w:rsidR="0018339A" w:rsidRPr="0009345A">
              <w:rPr>
                <w:rFonts w:ascii="Times New Roman" w:hAnsi="Times New Roman"/>
                <w:sz w:val="24"/>
                <w:szCs w:val="24"/>
              </w:rPr>
              <w:t xml:space="preserve">rīcības virziena </w:t>
            </w:r>
            <w:r w:rsidR="0018339A">
              <w:rPr>
                <w:rFonts w:ascii="Times New Roman" w:hAnsi="Times New Roman"/>
                <w:sz w:val="24"/>
                <w:szCs w:val="24"/>
              </w:rPr>
              <w:t>“</w:t>
            </w:r>
            <w:r w:rsidR="0018339A" w:rsidRPr="0009345A">
              <w:rPr>
                <w:rFonts w:ascii="Times New Roman" w:hAnsi="Times New Roman"/>
                <w:sz w:val="24"/>
                <w:szCs w:val="24"/>
              </w:rPr>
              <w:t>21.</w:t>
            </w:r>
            <w:r w:rsidR="0018339A">
              <w:rPr>
                <w:rFonts w:ascii="Times New Roman" w:hAnsi="Times New Roman"/>
                <w:sz w:val="24"/>
                <w:szCs w:val="24"/>
              </w:rPr>
              <w:t> </w:t>
            </w:r>
            <w:r w:rsidR="0018339A" w:rsidRPr="0009345A">
              <w:rPr>
                <w:rFonts w:ascii="Times New Roman" w:hAnsi="Times New Roman"/>
                <w:sz w:val="24"/>
                <w:szCs w:val="24"/>
              </w:rPr>
              <w:t>gadsimtam atbilstīgas izglītības vides un izglītības procesa nodrošināšana”</w:t>
            </w:r>
            <w:r w:rsidR="0018339A">
              <w:rPr>
                <w:rFonts w:ascii="Times New Roman" w:hAnsi="Times New Roman"/>
                <w:sz w:val="24"/>
                <w:szCs w:val="24"/>
              </w:rPr>
              <w:t xml:space="preserve"> noteiktajam.</w:t>
            </w:r>
          </w:p>
          <w:p w14:paraId="7F9E20E6" w14:textId="77777777" w:rsidR="0018339A" w:rsidRDefault="0018339A" w:rsidP="00540701">
            <w:pPr>
              <w:spacing w:after="0" w:line="240" w:lineRule="auto"/>
              <w:jc w:val="both"/>
              <w:rPr>
                <w:rFonts w:ascii="Times New Roman" w:hAnsi="Times New Roman"/>
                <w:sz w:val="24"/>
                <w:szCs w:val="24"/>
              </w:rPr>
            </w:pPr>
          </w:p>
          <w:p w14:paraId="70611954" w14:textId="77777777" w:rsidR="0018339A" w:rsidRPr="006A605A" w:rsidRDefault="0018339A" w:rsidP="00540701">
            <w:pPr>
              <w:spacing w:after="0" w:line="240" w:lineRule="auto"/>
              <w:jc w:val="both"/>
              <w:rPr>
                <w:rFonts w:ascii="Times New Roman" w:hAnsi="Times New Roman"/>
                <w:sz w:val="24"/>
              </w:rPr>
            </w:pPr>
            <w:r>
              <w:rPr>
                <w:rFonts w:ascii="Times New Roman" w:hAnsi="Times New Roman"/>
                <w:sz w:val="24"/>
              </w:rPr>
              <w:t>Noteikumu projekts izstrādāts saskaņā ar Ministru prezidenta Māra Kučinska 2018. gada 11. oktobra rezolūcijā Nr. 12/2018-JUR-123 noteikto uzdevumu līdz 2018. gada 31. decembrim sagatavot un noteiktā kārtībā iesniegt Ministru kabinetā Izglītības likuma (2018. gada 20. septembra likuma “Grozījumi Izglītības likumā” redakcijā) 14. panta 43. punktā minētā tiesību akta projektu, attiecīgi nodrošinot pārejas noteikumu 75. punktā Ministru kabinetam dotā uzdevuma izpildi.</w:t>
            </w:r>
          </w:p>
        </w:tc>
      </w:tr>
      <w:tr w:rsidR="0018339A" w:rsidRPr="008D1690" w14:paraId="1DAB23B4" w14:textId="77777777" w:rsidTr="00E71EAE">
        <w:trPr>
          <w:trHeight w:val="977"/>
        </w:trPr>
        <w:tc>
          <w:tcPr>
            <w:tcW w:w="472" w:type="pct"/>
            <w:tcBorders>
              <w:top w:val="outset" w:sz="6" w:space="0" w:color="414142"/>
              <w:left w:val="outset" w:sz="6" w:space="0" w:color="414142"/>
              <w:bottom w:val="outset" w:sz="6" w:space="0" w:color="414142"/>
              <w:right w:val="outset" w:sz="6" w:space="0" w:color="414142"/>
            </w:tcBorders>
            <w:hideMark/>
          </w:tcPr>
          <w:p w14:paraId="501F1DF9" w14:textId="77777777" w:rsidR="0018339A" w:rsidRPr="008D1690" w:rsidRDefault="0018339A" w:rsidP="00540701">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934" w:type="pct"/>
            <w:tcBorders>
              <w:top w:val="outset" w:sz="6" w:space="0" w:color="414142"/>
              <w:left w:val="outset" w:sz="6" w:space="0" w:color="414142"/>
              <w:bottom w:val="outset" w:sz="6" w:space="0" w:color="414142"/>
              <w:right w:val="outset" w:sz="6" w:space="0" w:color="414142"/>
            </w:tcBorders>
            <w:hideMark/>
          </w:tcPr>
          <w:p w14:paraId="54CDB684"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p w14:paraId="72DFD6B8" w14:textId="4146D866" w:rsidR="00D81F5E" w:rsidRDefault="00D81F5E" w:rsidP="00540701">
            <w:pPr>
              <w:jc w:val="center"/>
              <w:rPr>
                <w:rFonts w:ascii="Times New Roman" w:eastAsia="Times New Roman" w:hAnsi="Times New Roman"/>
                <w:sz w:val="24"/>
                <w:szCs w:val="24"/>
                <w:lang w:eastAsia="lv-LV"/>
              </w:rPr>
            </w:pPr>
          </w:p>
          <w:p w14:paraId="55E89413" w14:textId="77777777" w:rsidR="0018339A" w:rsidRPr="00D81F5E" w:rsidRDefault="0018339A" w:rsidP="008922E5">
            <w:pPr>
              <w:rPr>
                <w:rFonts w:ascii="Times New Roman" w:eastAsia="Times New Roman" w:hAnsi="Times New Roman"/>
                <w:sz w:val="24"/>
                <w:szCs w:val="24"/>
                <w:lang w:eastAsia="lv-LV"/>
              </w:rPr>
            </w:pPr>
          </w:p>
        </w:tc>
        <w:tc>
          <w:tcPr>
            <w:tcW w:w="3594" w:type="pct"/>
            <w:tcBorders>
              <w:top w:val="outset" w:sz="6" w:space="0" w:color="414142"/>
              <w:left w:val="outset" w:sz="6" w:space="0" w:color="414142"/>
              <w:bottom w:val="outset" w:sz="6" w:space="0" w:color="414142"/>
              <w:right w:val="outset" w:sz="6" w:space="0" w:color="414142"/>
            </w:tcBorders>
            <w:hideMark/>
          </w:tcPr>
          <w:p w14:paraId="103D38D9" w14:textId="77777777" w:rsidR="0018339A" w:rsidRDefault="0018339A" w:rsidP="00540701">
            <w:pPr>
              <w:pStyle w:val="BodyText"/>
              <w:jc w:val="both"/>
              <w:rPr>
                <w:sz w:val="24"/>
              </w:rPr>
            </w:pPr>
            <w:r>
              <w:rPr>
                <w:sz w:val="24"/>
              </w:rPr>
              <w:lastRenderedPageBreak/>
              <w:t>Latvijas sabiedrības un tautsaimniecības attīstības interesēs ir kvalitatīvas vispārējās pamatizglītības un vispārējās vidējās izglītības pieejamības un  ieguves nodrošināšana visiem jauniešiem. Vienlaikus pašreizējā sociāli ekonomiskajā situācijā daļa jauniešu to nav ieguvuši un dažādu apstākļu dēļ nevar mācīties izglītības programmās klātienes izglītības ieguves formā, mācību procesam notiekot pa dienu.</w:t>
            </w:r>
          </w:p>
          <w:p w14:paraId="17BA94CE" w14:textId="77777777" w:rsidR="0018339A" w:rsidRDefault="0018339A" w:rsidP="00540701">
            <w:pPr>
              <w:pStyle w:val="BodyText"/>
              <w:jc w:val="both"/>
              <w:rPr>
                <w:sz w:val="24"/>
              </w:rPr>
            </w:pPr>
          </w:p>
          <w:p w14:paraId="6BEB709C" w14:textId="54D3B6AC" w:rsidR="0018339A" w:rsidRDefault="0018339A" w:rsidP="00540701">
            <w:pPr>
              <w:pStyle w:val="BodyText"/>
              <w:jc w:val="both"/>
              <w:rPr>
                <w:sz w:val="24"/>
              </w:rPr>
            </w:pPr>
            <w:r>
              <w:rPr>
                <w:sz w:val="24"/>
              </w:rPr>
              <w:t xml:space="preserve">Pēc Izglītības un zinātnes ministrijas </w:t>
            </w:r>
            <w:r w:rsidR="00582F0F">
              <w:rPr>
                <w:sz w:val="24"/>
              </w:rPr>
              <w:t xml:space="preserve">(turpmāk – ministrija) </w:t>
            </w:r>
            <w:r>
              <w:rPr>
                <w:sz w:val="24"/>
              </w:rPr>
              <w:t>rīcībā esošas informācijas izglī</w:t>
            </w:r>
            <w:r w:rsidR="00BE4848">
              <w:rPr>
                <w:sz w:val="24"/>
              </w:rPr>
              <w:t xml:space="preserve">tojamo skaits Ministru kabineta </w:t>
            </w:r>
            <w:r>
              <w:rPr>
                <w:sz w:val="24"/>
              </w:rPr>
              <w:t xml:space="preserve">noteikumos par valsts pamatizglītības standartu un valsts vidējās izglītības standartu minētajās vakara (maiņu), neklātienes un </w:t>
            </w:r>
            <w:r>
              <w:rPr>
                <w:sz w:val="24"/>
              </w:rPr>
              <w:lastRenderedPageBreak/>
              <w:t>tālmācības vispārējās izglītības programmās 1.-12. klasēs uz 2018. gada 1. septembri ir bijis:</w:t>
            </w:r>
          </w:p>
          <w:p w14:paraId="424BFF57" w14:textId="77777777" w:rsidR="0018339A" w:rsidRDefault="0018339A" w:rsidP="00540701">
            <w:pPr>
              <w:pStyle w:val="BodyText"/>
              <w:jc w:val="both"/>
              <w:rPr>
                <w:sz w:val="24"/>
              </w:rPr>
            </w:pPr>
          </w:p>
          <w:tbl>
            <w:tblPr>
              <w:tblStyle w:val="TableGrid"/>
              <w:tblW w:w="0" w:type="auto"/>
              <w:tblLayout w:type="fixed"/>
              <w:tblLook w:val="04A0" w:firstRow="1" w:lastRow="0" w:firstColumn="1" w:lastColumn="0" w:noHBand="0" w:noVBand="1"/>
            </w:tblPr>
            <w:tblGrid>
              <w:gridCol w:w="1808"/>
              <w:gridCol w:w="1558"/>
              <w:gridCol w:w="1684"/>
              <w:gridCol w:w="1684"/>
            </w:tblGrid>
            <w:tr w:rsidR="0018339A" w14:paraId="4B93C3A4" w14:textId="77777777" w:rsidTr="00540701">
              <w:tc>
                <w:tcPr>
                  <w:tcW w:w="1808" w:type="dxa"/>
                </w:tcPr>
                <w:p w14:paraId="788F9162" w14:textId="77777777" w:rsidR="0018339A" w:rsidRDefault="0018339A" w:rsidP="00540701">
                  <w:pPr>
                    <w:pStyle w:val="BodyText"/>
                    <w:jc w:val="both"/>
                    <w:rPr>
                      <w:sz w:val="24"/>
                    </w:rPr>
                  </w:pPr>
                </w:p>
              </w:tc>
              <w:tc>
                <w:tcPr>
                  <w:tcW w:w="1558" w:type="dxa"/>
                </w:tcPr>
                <w:p w14:paraId="36C94235" w14:textId="77777777" w:rsidR="0018339A" w:rsidRPr="00DC037A" w:rsidRDefault="0018339A" w:rsidP="00540701">
                  <w:pPr>
                    <w:pStyle w:val="BodyText"/>
                    <w:jc w:val="both"/>
                    <w:rPr>
                      <w:sz w:val="24"/>
                    </w:rPr>
                  </w:pPr>
                  <w:r w:rsidRPr="00DC037A">
                    <w:rPr>
                      <w:sz w:val="24"/>
                    </w:rPr>
                    <w:t>Pašvaldību izglītības iestādēs</w:t>
                  </w:r>
                </w:p>
              </w:tc>
              <w:tc>
                <w:tcPr>
                  <w:tcW w:w="1684" w:type="dxa"/>
                </w:tcPr>
                <w:p w14:paraId="61FDAA6B" w14:textId="77777777" w:rsidR="0018339A" w:rsidRPr="00DC037A" w:rsidRDefault="0018339A" w:rsidP="00540701">
                  <w:pPr>
                    <w:pStyle w:val="BodyText"/>
                    <w:jc w:val="both"/>
                    <w:rPr>
                      <w:sz w:val="24"/>
                    </w:rPr>
                  </w:pPr>
                  <w:r w:rsidRPr="00DC037A">
                    <w:rPr>
                      <w:sz w:val="24"/>
                    </w:rPr>
                    <w:t>Privātajās izglītības iestādēs</w:t>
                  </w:r>
                </w:p>
              </w:tc>
              <w:tc>
                <w:tcPr>
                  <w:tcW w:w="1684" w:type="dxa"/>
                </w:tcPr>
                <w:p w14:paraId="5B7FA96E" w14:textId="77777777" w:rsidR="0018339A" w:rsidRPr="00DC037A" w:rsidRDefault="0018339A" w:rsidP="00540701">
                  <w:pPr>
                    <w:pStyle w:val="BodyText"/>
                    <w:rPr>
                      <w:sz w:val="24"/>
                    </w:rPr>
                  </w:pPr>
                  <w:r w:rsidRPr="00DC037A">
                    <w:rPr>
                      <w:sz w:val="24"/>
                    </w:rPr>
                    <w:t>Kopā</w:t>
                  </w:r>
                  <w:r>
                    <w:rPr>
                      <w:sz w:val="24"/>
                    </w:rPr>
                    <w:t xml:space="preserve"> </w:t>
                  </w:r>
                </w:p>
              </w:tc>
            </w:tr>
            <w:tr w:rsidR="0018339A" w14:paraId="24109183" w14:textId="77777777" w:rsidTr="00540701">
              <w:tc>
                <w:tcPr>
                  <w:tcW w:w="1808" w:type="dxa"/>
                </w:tcPr>
                <w:p w14:paraId="7EC54CE1" w14:textId="77777777" w:rsidR="0018339A" w:rsidRDefault="0018339A" w:rsidP="00540701">
                  <w:pPr>
                    <w:pStyle w:val="BodyText"/>
                    <w:jc w:val="both"/>
                    <w:rPr>
                      <w:sz w:val="24"/>
                    </w:rPr>
                  </w:pPr>
                  <w:r>
                    <w:rPr>
                      <w:sz w:val="24"/>
                    </w:rPr>
                    <w:t>Vakara (maiņu)</w:t>
                  </w:r>
                </w:p>
              </w:tc>
              <w:tc>
                <w:tcPr>
                  <w:tcW w:w="1558" w:type="dxa"/>
                </w:tcPr>
                <w:p w14:paraId="72235FED" w14:textId="77777777" w:rsidR="0018339A" w:rsidRPr="00DC037A" w:rsidRDefault="0018339A" w:rsidP="00540701">
                  <w:pPr>
                    <w:pStyle w:val="BodyText"/>
                    <w:jc w:val="both"/>
                    <w:rPr>
                      <w:sz w:val="24"/>
                    </w:rPr>
                  </w:pPr>
                  <w:r w:rsidRPr="00DC037A">
                    <w:rPr>
                      <w:sz w:val="24"/>
                    </w:rPr>
                    <w:t>2828</w:t>
                  </w:r>
                </w:p>
              </w:tc>
              <w:tc>
                <w:tcPr>
                  <w:tcW w:w="1684" w:type="dxa"/>
                </w:tcPr>
                <w:p w14:paraId="5224019B" w14:textId="77777777" w:rsidR="0018339A" w:rsidRPr="00DC037A" w:rsidRDefault="0018339A" w:rsidP="00540701">
                  <w:pPr>
                    <w:pStyle w:val="BodyText"/>
                    <w:jc w:val="both"/>
                    <w:rPr>
                      <w:sz w:val="24"/>
                    </w:rPr>
                  </w:pPr>
                  <w:r w:rsidRPr="00DC037A">
                    <w:rPr>
                      <w:sz w:val="24"/>
                    </w:rPr>
                    <w:t>0</w:t>
                  </w:r>
                </w:p>
              </w:tc>
              <w:tc>
                <w:tcPr>
                  <w:tcW w:w="1684" w:type="dxa"/>
                </w:tcPr>
                <w:p w14:paraId="4A5E708C" w14:textId="77777777" w:rsidR="0018339A" w:rsidRPr="00DC037A" w:rsidRDefault="0018339A" w:rsidP="00540701">
                  <w:pPr>
                    <w:pStyle w:val="BodyText"/>
                    <w:jc w:val="both"/>
                    <w:rPr>
                      <w:sz w:val="24"/>
                    </w:rPr>
                  </w:pPr>
                  <w:r w:rsidRPr="00DC037A">
                    <w:rPr>
                      <w:sz w:val="24"/>
                    </w:rPr>
                    <w:t>28</w:t>
                  </w:r>
                  <w:r>
                    <w:rPr>
                      <w:sz w:val="24"/>
                    </w:rPr>
                    <w:t>28</w:t>
                  </w:r>
                </w:p>
              </w:tc>
            </w:tr>
            <w:tr w:rsidR="0018339A" w14:paraId="63130AB9" w14:textId="77777777" w:rsidTr="00540701">
              <w:tc>
                <w:tcPr>
                  <w:tcW w:w="1808" w:type="dxa"/>
                </w:tcPr>
                <w:p w14:paraId="2AAB2296" w14:textId="77777777" w:rsidR="0018339A" w:rsidRDefault="0018339A" w:rsidP="00540701">
                  <w:pPr>
                    <w:pStyle w:val="BodyText"/>
                    <w:jc w:val="both"/>
                    <w:rPr>
                      <w:sz w:val="24"/>
                    </w:rPr>
                  </w:pPr>
                  <w:r>
                    <w:rPr>
                      <w:sz w:val="24"/>
                    </w:rPr>
                    <w:t>Neklātiene</w:t>
                  </w:r>
                </w:p>
              </w:tc>
              <w:tc>
                <w:tcPr>
                  <w:tcW w:w="1558" w:type="dxa"/>
                </w:tcPr>
                <w:p w14:paraId="025A9FB9" w14:textId="77777777" w:rsidR="0018339A" w:rsidRDefault="0018339A" w:rsidP="00540701">
                  <w:pPr>
                    <w:pStyle w:val="BodyText"/>
                    <w:jc w:val="both"/>
                    <w:rPr>
                      <w:sz w:val="24"/>
                    </w:rPr>
                  </w:pPr>
                  <w:r>
                    <w:rPr>
                      <w:sz w:val="24"/>
                    </w:rPr>
                    <w:t>3247</w:t>
                  </w:r>
                </w:p>
              </w:tc>
              <w:tc>
                <w:tcPr>
                  <w:tcW w:w="1684" w:type="dxa"/>
                </w:tcPr>
                <w:p w14:paraId="69AE3DC4" w14:textId="77777777" w:rsidR="0018339A" w:rsidRDefault="0018339A" w:rsidP="00540701">
                  <w:pPr>
                    <w:pStyle w:val="BodyText"/>
                    <w:jc w:val="both"/>
                    <w:rPr>
                      <w:sz w:val="24"/>
                    </w:rPr>
                  </w:pPr>
                  <w:r>
                    <w:rPr>
                      <w:sz w:val="24"/>
                    </w:rPr>
                    <w:t>0</w:t>
                  </w:r>
                </w:p>
              </w:tc>
              <w:tc>
                <w:tcPr>
                  <w:tcW w:w="1684" w:type="dxa"/>
                </w:tcPr>
                <w:p w14:paraId="5C8485EF" w14:textId="77777777" w:rsidR="0018339A" w:rsidRDefault="0018339A" w:rsidP="00540701">
                  <w:pPr>
                    <w:pStyle w:val="BodyText"/>
                    <w:jc w:val="both"/>
                    <w:rPr>
                      <w:sz w:val="24"/>
                    </w:rPr>
                  </w:pPr>
                  <w:r>
                    <w:rPr>
                      <w:sz w:val="24"/>
                    </w:rPr>
                    <w:t>3247</w:t>
                  </w:r>
                </w:p>
              </w:tc>
            </w:tr>
            <w:tr w:rsidR="0018339A" w14:paraId="7323255C" w14:textId="77777777" w:rsidTr="00540701">
              <w:tc>
                <w:tcPr>
                  <w:tcW w:w="1808" w:type="dxa"/>
                </w:tcPr>
                <w:p w14:paraId="6C8F406F" w14:textId="77777777" w:rsidR="0018339A" w:rsidRDefault="0018339A" w:rsidP="00540701">
                  <w:pPr>
                    <w:pStyle w:val="BodyText"/>
                    <w:jc w:val="both"/>
                    <w:rPr>
                      <w:sz w:val="24"/>
                    </w:rPr>
                  </w:pPr>
                  <w:r>
                    <w:rPr>
                      <w:sz w:val="24"/>
                    </w:rPr>
                    <w:t>Tālmācība</w:t>
                  </w:r>
                </w:p>
              </w:tc>
              <w:tc>
                <w:tcPr>
                  <w:tcW w:w="1558" w:type="dxa"/>
                </w:tcPr>
                <w:p w14:paraId="4EA7CB60" w14:textId="77777777" w:rsidR="0018339A" w:rsidRDefault="0018339A" w:rsidP="00540701">
                  <w:pPr>
                    <w:pStyle w:val="BodyText"/>
                    <w:jc w:val="both"/>
                    <w:rPr>
                      <w:sz w:val="24"/>
                    </w:rPr>
                  </w:pPr>
                  <w:r>
                    <w:rPr>
                      <w:sz w:val="24"/>
                    </w:rPr>
                    <w:t>1165</w:t>
                  </w:r>
                </w:p>
              </w:tc>
              <w:tc>
                <w:tcPr>
                  <w:tcW w:w="1684" w:type="dxa"/>
                </w:tcPr>
                <w:p w14:paraId="1631EED4" w14:textId="77777777" w:rsidR="0018339A" w:rsidRDefault="0018339A" w:rsidP="00540701">
                  <w:pPr>
                    <w:pStyle w:val="BodyText"/>
                    <w:jc w:val="both"/>
                    <w:rPr>
                      <w:sz w:val="24"/>
                    </w:rPr>
                  </w:pPr>
                  <w:r>
                    <w:rPr>
                      <w:sz w:val="24"/>
                    </w:rPr>
                    <w:t>3052</w:t>
                  </w:r>
                </w:p>
              </w:tc>
              <w:tc>
                <w:tcPr>
                  <w:tcW w:w="1684" w:type="dxa"/>
                </w:tcPr>
                <w:p w14:paraId="14A40366" w14:textId="77777777" w:rsidR="0018339A" w:rsidRDefault="0018339A" w:rsidP="00540701">
                  <w:pPr>
                    <w:pStyle w:val="BodyText"/>
                    <w:jc w:val="both"/>
                    <w:rPr>
                      <w:sz w:val="24"/>
                    </w:rPr>
                  </w:pPr>
                  <w:r w:rsidRPr="00DC037A">
                    <w:rPr>
                      <w:sz w:val="24"/>
                    </w:rPr>
                    <w:t>4217</w:t>
                  </w:r>
                </w:p>
              </w:tc>
            </w:tr>
          </w:tbl>
          <w:p w14:paraId="265D3B4D" w14:textId="77777777" w:rsidR="0018339A" w:rsidRDefault="0018339A" w:rsidP="00540701">
            <w:pPr>
              <w:pStyle w:val="BodyText"/>
              <w:jc w:val="both"/>
              <w:rPr>
                <w:sz w:val="24"/>
              </w:rPr>
            </w:pPr>
          </w:p>
          <w:p w14:paraId="61B8BCA2" w14:textId="77777777" w:rsidR="0018339A" w:rsidRDefault="0018339A" w:rsidP="00540701">
            <w:pPr>
              <w:pStyle w:val="BodyText"/>
              <w:jc w:val="both"/>
              <w:rPr>
                <w:sz w:val="24"/>
              </w:rPr>
            </w:pPr>
            <w:r>
              <w:rPr>
                <w:sz w:val="24"/>
              </w:rPr>
              <w:t>Minētajās izglītības programmās kopā mācās 10 292 izglītojamie, kas ir aptuveni 4,99% no vispārējās izglītības ieguvē 1.-12.  klasē iesaistīto izglītojamo skaita.</w:t>
            </w:r>
          </w:p>
          <w:p w14:paraId="07296D85" w14:textId="77777777" w:rsidR="0018339A" w:rsidRDefault="0018339A" w:rsidP="00540701">
            <w:pPr>
              <w:pStyle w:val="BodyText"/>
              <w:jc w:val="both"/>
              <w:rPr>
                <w:sz w:val="24"/>
              </w:rPr>
            </w:pPr>
            <w:r w:rsidRPr="00E34FC2">
              <w:rPr>
                <w:sz w:val="24"/>
              </w:rPr>
              <w:t>Ar 2018. gada 21. jūnija likumu “Grozījumi Vispārējās izglītības likumā” Vispārējās izglītības likuma pārejas noteikumu 34. un 35. punktā tika ietverta</w:t>
            </w:r>
            <w:r>
              <w:rPr>
                <w:sz w:val="24"/>
              </w:rPr>
              <w:t>s</w:t>
            </w:r>
            <w:r w:rsidRPr="00E34FC2">
              <w:rPr>
                <w:sz w:val="24"/>
              </w:rPr>
              <w:t xml:space="preserve"> normas, kas nosaka, ka no 2018. </w:t>
            </w:r>
            <w:r>
              <w:rPr>
                <w:sz w:val="24"/>
              </w:rPr>
              <w:t>gada 1. </w:t>
            </w:r>
            <w:r w:rsidRPr="00E34FC2">
              <w:rPr>
                <w:sz w:val="24"/>
              </w:rPr>
              <w:t>augusta vakara (maiņu) vidusskolas vairs nedibina; pašvaldības līdz 2019. gada 28. februārim pieņem lēmumu par vakara (maiņu) vidusskolu nosaukumu maiņu vai likvidācijas vai reorganizācijas pabeigšanu līdz 2020. gada 31. augustam, nodrošinot izglītojamo turpmāku izglītošanos atbilsto</w:t>
            </w:r>
            <w:r>
              <w:rPr>
                <w:sz w:val="24"/>
              </w:rPr>
              <w:t>šā</w:t>
            </w:r>
            <w:r w:rsidRPr="00E34FC2">
              <w:rPr>
                <w:sz w:val="24"/>
              </w:rPr>
              <w:t xml:space="preserve"> izglītības programmā. </w:t>
            </w:r>
          </w:p>
          <w:p w14:paraId="5B5B328C" w14:textId="77777777" w:rsidR="0018339A" w:rsidRDefault="0018339A" w:rsidP="00540701">
            <w:pPr>
              <w:pStyle w:val="BodyText"/>
              <w:jc w:val="both"/>
              <w:rPr>
                <w:sz w:val="24"/>
              </w:rPr>
            </w:pPr>
          </w:p>
          <w:p w14:paraId="54AF1DA5" w14:textId="1F2E1D08" w:rsidR="00B23668" w:rsidRDefault="00300FC0" w:rsidP="00540701">
            <w:pPr>
              <w:pStyle w:val="BodyText"/>
              <w:jc w:val="both"/>
              <w:rPr>
                <w:iCs/>
                <w:sz w:val="24"/>
              </w:rPr>
            </w:pPr>
            <w:r>
              <w:rPr>
                <w:sz w:val="24"/>
              </w:rPr>
              <w:t>I</w:t>
            </w:r>
            <w:r w:rsidR="0018339A">
              <w:rPr>
                <w:sz w:val="24"/>
              </w:rPr>
              <w:t xml:space="preserve">zglītības programmu apguve neklātienes vai tālmācības izglītības ieguves formā varētu būt piemērota </w:t>
            </w:r>
            <w:r>
              <w:rPr>
                <w:sz w:val="24"/>
              </w:rPr>
              <w:t xml:space="preserve">gan Latvijā dzīvojošajiem </w:t>
            </w:r>
            <w:r w:rsidR="0018339A">
              <w:rPr>
                <w:sz w:val="24"/>
              </w:rPr>
              <w:t xml:space="preserve">izglītojamajiem, </w:t>
            </w:r>
            <w:r>
              <w:rPr>
                <w:sz w:val="24"/>
              </w:rPr>
              <w:t>gan</w:t>
            </w:r>
            <w:r w:rsidR="0018339A">
              <w:rPr>
                <w:sz w:val="24"/>
              </w:rPr>
              <w:t xml:space="preserve"> diasporā dzīvojošajiem jauniešiem, kuri vēlas saglabāt saikni ar Latviju un iegūt vispārējo izglītību latviešu valodā. </w:t>
            </w:r>
          </w:p>
          <w:p w14:paraId="5D111549" w14:textId="77777777" w:rsidR="00B23668" w:rsidRDefault="00B23668" w:rsidP="00540701">
            <w:pPr>
              <w:pStyle w:val="BodyText"/>
              <w:jc w:val="both"/>
              <w:rPr>
                <w:iCs/>
                <w:sz w:val="24"/>
              </w:rPr>
            </w:pPr>
          </w:p>
          <w:p w14:paraId="583A70D6" w14:textId="026F2357" w:rsidR="00B23668" w:rsidRPr="00B23668" w:rsidRDefault="00B23668" w:rsidP="00B23668">
            <w:pPr>
              <w:spacing w:after="0" w:line="240" w:lineRule="auto"/>
              <w:jc w:val="both"/>
              <w:rPr>
                <w:rFonts w:ascii="Times New Roman" w:hAnsi="Times New Roman"/>
                <w:iCs/>
                <w:sz w:val="24"/>
              </w:rPr>
            </w:pPr>
            <w:r w:rsidRPr="00B23668">
              <w:rPr>
                <w:rFonts w:ascii="Times New Roman" w:hAnsi="Times New Roman"/>
                <w:iCs/>
                <w:sz w:val="24"/>
              </w:rPr>
              <w:t>Ministru kabineta noteikumos par valsts pamatizglītības standartu un pamatizglītības programmu paraugiem un t</w:t>
            </w:r>
            <w:r w:rsidR="00300FC0" w:rsidRPr="00B23668">
              <w:rPr>
                <w:rFonts w:ascii="Times New Roman" w:hAnsi="Times New Roman"/>
                <w:iCs/>
                <w:sz w:val="24"/>
              </w:rPr>
              <w:t>opošajos Ministru kabineta noteikumos par valsts vispārējās vidējās izglītības standartu</w:t>
            </w:r>
            <w:r w:rsidRPr="00B23668">
              <w:rPr>
                <w:rFonts w:ascii="Times New Roman" w:hAnsi="Times New Roman"/>
                <w:iCs/>
                <w:sz w:val="24"/>
              </w:rPr>
              <w:t xml:space="preserve"> un vispārējās vidējās izglītības programmu paraugiem visām</w:t>
            </w:r>
            <w:r w:rsidR="00300FC0" w:rsidRPr="00B23668">
              <w:rPr>
                <w:rFonts w:ascii="Times New Roman" w:hAnsi="Times New Roman"/>
                <w:iCs/>
                <w:sz w:val="24"/>
              </w:rPr>
              <w:t xml:space="preserve"> </w:t>
            </w:r>
            <w:r w:rsidRPr="00B23668">
              <w:rPr>
                <w:rFonts w:ascii="Times New Roman" w:hAnsi="Times New Roman"/>
                <w:iCs/>
                <w:sz w:val="24"/>
              </w:rPr>
              <w:t xml:space="preserve">izglītības iestādēm, kuras īsteno vispārējās izglītības programmas, būs paredzēta lielāka patstāvība mācību procesa </w:t>
            </w:r>
            <w:r w:rsidR="001225B3">
              <w:rPr>
                <w:rFonts w:ascii="Times New Roman" w:hAnsi="Times New Roman"/>
                <w:iCs/>
                <w:sz w:val="24"/>
              </w:rPr>
              <w:t xml:space="preserve">plānošanā un </w:t>
            </w:r>
            <w:r w:rsidRPr="00B23668">
              <w:rPr>
                <w:rFonts w:ascii="Times New Roman" w:hAnsi="Times New Roman"/>
                <w:iCs/>
                <w:sz w:val="24"/>
              </w:rPr>
              <w:t xml:space="preserve">īstenošanā. </w:t>
            </w:r>
            <w:r w:rsidR="00BF4A62">
              <w:rPr>
                <w:rFonts w:ascii="Times New Roman" w:hAnsi="Times New Roman"/>
                <w:iCs/>
                <w:sz w:val="24"/>
              </w:rPr>
              <w:t xml:space="preserve">Minēto patstāvību var īstenot gan radošai un fokusētai izglītības kvalitātes </w:t>
            </w:r>
            <w:bookmarkStart w:id="0" w:name="_GoBack"/>
            <w:bookmarkEnd w:id="0"/>
            <w:r w:rsidR="00BF4A62">
              <w:rPr>
                <w:rFonts w:ascii="Times New Roman" w:hAnsi="Times New Roman"/>
                <w:iCs/>
                <w:sz w:val="24"/>
              </w:rPr>
              <w:t xml:space="preserve">paaugstināšanai, </w:t>
            </w:r>
            <w:r w:rsidR="001225B3">
              <w:rPr>
                <w:rFonts w:ascii="Times New Roman" w:hAnsi="Times New Roman"/>
                <w:iCs/>
                <w:sz w:val="24"/>
              </w:rPr>
              <w:t>gan, pieejot problēmai formāli,</w:t>
            </w:r>
            <w:r w:rsidR="00BF4A62">
              <w:rPr>
                <w:rFonts w:ascii="Times New Roman" w:hAnsi="Times New Roman"/>
                <w:iCs/>
                <w:sz w:val="24"/>
              </w:rPr>
              <w:t xml:space="preserve"> uz atvieglotiem nosacījumiem īstenotai</w:t>
            </w:r>
            <w:r w:rsidR="001225B3">
              <w:rPr>
                <w:rFonts w:ascii="Times New Roman" w:hAnsi="Times New Roman"/>
                <w:iCs/>
                <w:sz w:val="24"/>
              </w:rPr>
              <w:t xml:space="preserve"> izglītības ieguvei un</w:t>
            </w:r>
            <w:r w:rsidR="00BF4A62">
              <w:rPr>
                <w:rFonts w:ascii="Times New Roman" w:hAnsi="Times New Roman"/>
                <w:iCs/>
                <w:sz w:val="24"/>
              </w:rPr>
              <w:t xml:space="preserve"> dokumentu par </w:t>
            </w:r>
            <w:r w:rsidR="00582F0F">
              <w:rPr>
                <w:rFonts w:ascii="Times New Roman" w:hAnsi="Times New Roman"/>
                <w:iCs/>
                <w:sz w:val="24"/>
              </w:rPr>
              <w:t xml:space="preserve">vispārējās </w:t>
            </w:r>
            <w:r w:rsidR="00BF4A62">
              <w:rPr>
                <w:rFonts w:ascii="Times New Roman" w:hAnsi="Times New Roman"/>
                <w:iCs/>
                <w:sz w:val="24"/>
              </w:rPr>
              <w:t xml:space="preserve">pamatizglītības vai vispārējās vidējās izglītības ieguvi izsniegšanai. </w:t>
            </w:r>
            <w:r w:rsidR="00EE299C">
              <w:rPr>
                <w:rFonts w:ascii="Times New Roman" w:hAnsi="Times New Roman"/>
                <w:iCs/>
                <w:sz w:val="24"/>
              </w:rPr>
              <w:t>Pēc ministrijas rīcībā esošās informācijas p</w:t>
            </w:r>
            <w:r w:rsidR="00BF4A62">
              <w:rPr>
                <w:rFonts w:ascii="Times New Roman" w:hAnsi="Times New Roman"/>
                <w:iCs/>
                <w:sz w:val="24"/>
              </w:rPr>
              <w:t>aaugstināta riska zonā ir</w:t>
            </w:r>
            <w:r w:rsidR="00FC4533">
              <w:rPr>
                <w:rFonts w:ascii="Times New Roman" w:hAnsi="Times New Roman"/>
                <w:iCs/>
                <w:sz w:val="24"/>
              </w:rPr>
              <w:t xml:space="preserve"> </w:t>
            </w:r>
            <w:r w:rsidR="00117389">
              <w:rPr>
                <w:rFonts w:ascii="Times New Roman" w:hAnsi="Times New Roman"/>
                <w:iCs/>
                <w:sz w:val="24"/>
              </w:rPr>
              <w:t xml:space="preserve">arī </w:t>
            </w:r>
            <w:r w:rsidR="00FC4533">
              <w:rPr>
                <w:rFonts w:ascii="Times New Roman" w:hAnsi="Times New Roman"/>
                <w:iCs/>
                <w:sz w:val="24"/>
              </w:rPr>
              <w:t xml:space="preserve">izglītības iestādes, kuras ir </w:t>
            </w:r>
            <w:r w:rsidR="00C80CA2">
              <w:rPr>
                <w:rFonts w:ascii="Times New Roman" w:hAnsi="Times New Roman"/>
                <w:iCs/>
                <w:sz w:val="24"/>
              </w:rPr>
              <w:t xml:space="preserve">specializējušās </w:t>
            </w:r>
            <w:r w:rsidR="00FC4533">
              <w:rPr>
                <w:rFonts w:ascii="Times New Roman" w:hAnsi="Times New Roman"/>
                <w:iCs/>
                <w:sz w:val="24"/>
              </w:rPr>
              <w:t xml:space="preserve">vakara (maiņu), neklātienes un tālmācības izglītības programmu īstenošanā. </w:t>
            </w:r>
            <w:r w:rsidRPr="00B23668">
              <w:rPr>
                <w:rFonts w:ascii="Times New Roman" w:hAnsi="Times New Roman"/>
                <w:iCs/>
                <w:sz w:val="24"/>
              </w:rPr>
              <w:t>Līdz ar to</w:t>
            </w:r>
            <w:r w:rsidR="00BF4A62">
              <w:rPr>
                <w:rFonts w:ascii="Times New Roman" w:hAnsi="Times New Roman"/>
                <w:iCs/>
                <w:sz w:val="24"/>
              </w:rPr>
              <w:t xml:space="preserve"> ir </w:t>
            </w:r>
            <w:r w:rsidR="00F72FDB">
              <w:rPr>
                <w:rFonts w:ascii="Times New Roman" w:hAnsi="Times New Roman"/>
                <w:iCs/>
                <w:sz w:val="24"/>
              </w:rPr>
              <w:t>aktuāli izstrādāt normatīvo aktu</w:t>
            </w:r>
            <w:r w:rsidR="00BF4A62">
              <w:rPr>
                <w:rFonts w:ascii="Times New Roman" w:hAnsi="Times New Roman"/>
                <w:iCs/>
                <w:sz w:val="24"/>
              </w:rPr>
              <w:t>, kas</w:t>
            </w:r>
            <w:r w:rsidRPr="00B23668">
              <w:rPr>
                <w:rFonts w:ascii="Times New Roman" w:hAnsi="Times New Roman"/>
                <w:iCs/>
                <w:sz w:val="24"/>
              </w:rPr>
              <w:t xml:space="preserve"> </w:t>
            </w:r>
            <w:r w:rsidR="002460C4">
              <w:rPr>
                <w:rFonts w:ascii="Times New Roman" w:hAnsi="Times New Roman"/>
                <w:iCs/>
                <w:sz w:val="24"/>
              </w:rPr>
              <w:t>noteiktu galvenās</w:t>
            </w:r>
            <w:r w:rsidRPr="00B23668">
              <w:rPr>
                <w:rFonts w:ascii="Times New Roman" w:hAnsi="Times New Roman"/>
                <w:iCs/>
                <w:sz w:val="24"/>
              </w:rPr>
              <w:t xml:space="preserve"> </w:t>
            </w:r>
            <w:r w:rsidR="002460C4">
              <w:rPr>
                <w:rFonts w:ascii="Times New Roman" w:hAnsi="Times New Roman"/>
                <w:iCs/>
                <w:sz w:val="24"/>
              </w:rPr>
              <w:t>prasības</w:t>
            </w:r>
            <w:r w:rsidRPr="00B23668">
              <w:rPr>
                <w:rFonts w:ascii="Times New Roman" w:hAnsi="Times New Roman"/>
                <w:iCs/>
                <w:sz w:val="24"/>
              </w:rPr>
              <w:t xml:space="preserve"> pilnvērtīga mācību </w:t>
            </w:r>
            <w:r w:rsidR="002460C4" w:rsidRPr="00B23668">
              <w:rPr>
                <w:rFonts w:ascii="Times New Roman" w:hAnsi="Times New Roman"/>
                <w:iCs/>
                <w:sz w:val="24"/>
              </w:rPr>
              <w:t>proces</w:t>
            </w:r>
            <w:r w:rsidR="002460C4">
              <w:rPr>
                <w:rFonts w:ascii="Times New Roman" w:hAnsi="Times New Roman"/>
                <w:iCs/>
                <w:sz w:val="24"/>
              </w:rPr>
              <w:t>a nodrošināšanai,</w:t>
            </w:r>
            <w:r w:rsidR="002460C4" w:rsidRPr="00B23668">
              <w:rPr>
                <w:rFonts w:ascii="Times New Roman" w:hAnsi="Times New Roman"/>
                <w:iCs/>
                <w:sz w:val="24"/>
              </w:rPr>
              <w:t xml:space="preserve"> </w:t>
            </w:r>
            <w:r w:rsidRPr="00B23668">
              <w:rPr>
                <w:rFonts w:ascii="Times New Roman" w:hAnsi="Times New Roman"/>
                <w:iCs/>
                <w:sz w:val="24"/>
              </w:rPr>
              <w:t xml:space="preserve">kvalitatīvi </w:t>
            </w:r>
            <w:r w:rsidR="002460C4" w:rsidRPr="00B23668">
              <w:rPr>
                <w:rFonts w:ascii="Times New Roman" w:hAnsi="Times New Roman"/>
                <w:iCs/>
                <w:sz w:val="24"/>
              </w:rPr>
              <w:t>īsteno</w:t>
            </w:r>
            <w:r w:rsidR="002460C4">
              <w:rPr>
                <w:rFonts w:ascii="Times New Roman" w:hAnsi="Times New Roman"/>
                <w:iCs/>
                <w:sz w:val="24"/>
              </w:rPr>
              <w:t>jot</w:t>
            </w:r>
            <w:r w:rsidR="002460C4" w:rsidRPr="00B23668">
              <w:rPr>
                <w:rFonts w:ascii="Times New Roman" w:hAnsi="Times New Roman"/>
                <w:iCs/>
                <w:sz w:val="24"/>
              </w:rPr>
              <w:t xml:space="preserve"> </w:t>
            </w:r>
            <w:r w:rsidRPr="00B23668">
              <w:rPr>
                <w:rFonts w:ascii="Times New Roman" w:hAnsi="Times New Roman"/>
                <w:iCs/>
                <w:sz w:val="24"/>
              </w:rPr>
              <w:t xml:space="preserve">vispārējās </w:t>
            </w:r>
            <w:r w:rsidR="002460C4">
              <w:rPr>
                <w:rFonts w:ascii="Times New Roman" w:hAnsi="Times New Roman"/>
                <w:iCs/>
                <w:sz w:val="24"/>
              </w:rPr>
              <w:t xml:space="preserve">pamatizglītības un vispārējās vidējās </w:t>
            </w:r>
            <w:r w:rsidRPr="00B23668">
              <w:rPr>
                <w:rFonts w:ascii="Times New Roman" w:hAnsi="Times New Roman"/>
                <w:iCs/>
                <w:sz w:val="24"/>
              </w:rPr>
              <w:t xml:space="preserve">izglītības </w:t>
            </w:r>
            <w:r w:rsidR="002460C4">
              <w:rPr>
                <w:rFonts w:ascii="Times New Roman" w:hAnsi="Times New Roman"/>
                <w:iCs/>
                <w:sz w:val="24"/>
              </w:rPr>
              <w:t>programmas</w:t>
            </w:r>
            <w:r w:rsidRPr="00B23668">
              <w:rPr>
                <w:rFonts w:ascii="Times New Roman" w:hAnsi="Times New Roman"/>
                <w:iCs/>
                <w:sz w:val="24"/>
              </w:rPr>
              <w:t xml:space="preserve"> </w:t>
            </w:r>
            <w:r w:rsidRPr="00B23668">
              <w:rPr>
                <w:rFonts w:ascii="Times New Roman" w:hAnsi="Times New Roman"/>
                <w:sz w:val="24"/>
              </w:rPr>
              <w:t xml:space="preserve">neklātienes </w:t>
            </w:r>
            <w:r w:rsidR="000E1ED9">
              <w:rPr>
                <w:rFonts w:ascii="Times New Roman" w:hAnsi="Times New Roman"/>
                <w:sz w:val="24"/>
              </w:rPr>
              <w:t xml:space="preserve">un </w:t>
            </w:r>
            <w:r w:rsidRPr="00B23668">
              <w:rPr>
                <w:rFonts w:ascii="Times New Roman" w:hAnsi="Times New Roman"/>
                <w:sz w:val="24"/>
              </w:rPr>
              <w:t>tālmācības izglītības ieguves formā</w:t>
            </w:r>
            <w:r w:rsidRPr="00B23668">
              <w:rPr>
                <w:rFonts w:ascii="Times New Roman" w:hAnsi="Times New Roman"/>
                <w:iCs/>
                <w:sz w:val="24"/>
              </w:rPr>
              <w:t xml:space="preserve">. </w:t>
            </w:r>
          </w:p>
          <w:p w14:paraId="5507B74E" w14:textId="77777777" w:rsidR="00FE4210" w:rsidRDefault="00FE4210" w:rsidP="00FE4210">
            <w:pPr>
              <w:spacing w:after="0" w:line="240" w:lineRule="auto"/>
              <w:jc w:val="both"/>
              <w:rPr>
                <w:rFonts w:ascii="Times New Roman" w:hAnsi="Times New Roman"/>
                <w:iCs/>
                <w:sz w:val="24"/>
                <w:szCs w:val="24"/>
              </w:rPr>
            </w:pPr>
          </w:p>
          <w:p w14:paraId="533D670F" w14:textId="77777777" w:rsidR="00FD742F" w:rsidRDefault="005A79BE" w:rsidP="00117389">
            <w:pPr>
              <w:pStyle w:val="NoSpacing"/>
              <w:jc w:val="both"/>
              <w:rPr>
                <w:rFonts w:ascii="Times New Roman" w:hAnsi="Times New Roman"/>
                <w:bCs/>
                <w:sz w:val="24"/>
                <w:szCs w:val="24"/>
              </w:rPr>
            </w:pPr>
            <w:r>
              <w:rPr>
                <w:rFonts w:ascii="Times New Roman" w:hAnsi="Times New Roman"/>
                <w:iCs/>
                <w:sz w:val="24"/>
                <w:szCs w:val="24"/>
              </w:rPr>
              <w:t>Vispārējās izglītības programmu neklātienes un tālmācības formā mācību priekšmetu saturu izglītojamie lielākoties apgūst patstāv</w:t>
            </w:r>
            <w:r w:rsidR="001225B3">
              <w:rPr>
                <w:rFonts w:ascii="Times New Roman" w:hAnsi="Times New Roman"/>
                <w:iCs/>
                <w:sz w:val="24"/>
                <w:szCs w:val="24"/>
              </w:rPr>
              <w:t>īgi, tomēr</w:t>
            </w:r>
            <w:r>
              <w:rPr>
                <w:rFonts w:ascii="Times New Roman" w:hAnsi="Times New Roman"/>
                <w:iCs/>
                <w:sz w:val="24"/>
                <w:szCs w:val="24"/>
              </w:rPr>
              <w:t xml:space="preserve"> izgl</w:t>
            </w:r>
            <w:r w:rsidR="009725AF">
              <w:rPr>
                <w:rFonts w:ascii="Times New Roman" w:hAnsi="Times New Roman"/>
                <w:iCs/>
                <w:sz w:val="24"/>
                <w:szCs w:val="24"/>
              </w:rPr>
              <w:t>ītojamajiem</w:t>
            </w:r>
            <w:r>
              <w:rPr>
                <w:rFonts w:ascii="Times New Roman" w:hAnsi="Times New Roman"/>
                <w:iCs/>
                <w:sz w:val="24"/>
                <w:szCs w:val="24"/>
              </w:rPr>
              <w:t xml:space="preserve"> ir aktuāli saņemt nepieciešamo pedagoģisko atbalstu. </w:t>
            </w:r>
            <w:r w:rsidR="00B23668" w:rsidRPr="00B23668">
              <w:rPr>
                <w:rFonts w:ascii="Times New Roman" w:hAnsi="Times New Roman"/>
                <w:iCs/>
                <w:sz w:val="24"/>
                <w:szCs w:val="24"/>
              </w:rPr>
              <w:t xml:space="preserve">Noteikumu projektā ir paredzēts, ka </w:t>
            </w:r>
            <w:r w:rsidR="00B23668" w:rsidRPr="00FE4210">
              <w:rPr>
                <w:rFonts w:ascii="Times New Roman" w:hAnsi="Times New Roman"/>
                <w:bCs/>
                <w:sz w:val="24"/>
                <w:szCs w:val="24"/>
              </w:rPr>
              <w:t xml:space="preserve">izglītības iestāde, kas </w:t>
            </w:r>
            <w:r w:rsidR="00B23668" w:rsidRPr="00FE4210">
              <w:rPr>
                <w:rFonts w:ascii="Times New Roman" w:hAnsi="Times New Roman"/>
                <w:bCs/>
                <w:sz w:val="24"/>
                <w:szCs w:val="24"/>
              </w:rPr>
              <w:lastRenderedPageBreak/>
              <w:t xml:space="preserve">īsteno izglītības programmas </w:t>
            </w:r>
            <w:r w:rsidR="00B23668" w:rsidRPr="00FE4210">
              <w:rPr>
                <w:rFonts w:ascii="Times New Roman" w:hAnsi="Times New Roman"/>
                <w:sz w:val="24"/>
                <w:szCs w:val="24"/>
              </w:rPr>
              <w:t xml:space="preserve">neklātienes </w:t>
            </w:r>
            <w:r w:rsidR="00FE4210">
              <w:rPr>
                <w:rFonts w:ascii="Times New Roman" w:hAnsi="Times New Roman"/>
                <w:sz w:val="24"/>
                <w:szCs w:val="24"/>
              </w:rPr>
              <w:t xml:space="preserve">vai tālmācības </w:t>
            </w:r>
            <w:r w:rsidR="00B23668" w:rsidRPr="00FE4210">
              <w:rPr>
                <w:rFonts w:ascii="Times New Roman" w:hAnsi="Times New Roman"/>
                <w:sz w:val="24"/>
                <w:szCs w:val="24"/>
              </w:rPr>
              <w:t>izglītības ieguves formā</w:t>
            </w:r>
            <w:r w:rsidR="00B23668" w:rsidRPr="00B23668">
              <w:rPr>
                <w:rFonts w:ascii="Times New Roman" w:hAnsi="Times New Roman"/>
                <w:bCs/>
                <w:sz w:val="24"/>
                <w:szCs w:val="24"/>
              </w:rPr>
              <w:t xml:space="preserve">, </w:t>
            </w:r>
            <w:r w:rsidR="00B23668" w:rsidRPr="00FE4210">
              <w:rPr>
                <w:rFonts w:ascii="Times New Roman" w:hAnsi="Times New Roman"/>
                <w:bCs/>
                <w:sz w:val="24"/>
                <w:szCs w:val="24"/>
              </w:rPr>
              <w:t xml:space="preserve">organizē ieskaites proporcionāli mācību stundu skaitam nedēļā, bet ne mazāk kā divas ieskaites semestrī katrā </w:t>
            </w:r>
            <w:r w:rsidR="00B23668" w:rsidRPr="00B23668">
              <w:rPr>
                <w:rFonts w:ascii="Times New Roman" w:hAnsi="Times New Roman"/>
                <w:bCs/>
                <w:sz w:val="24"/>
                <w:szCs w:val="24"/>
              </w:rPr>
              <w:t>mācību priekšmetā</w:t>
            </w:r>
            <w:r w:rsidR="002460C4">
              <w:rPr>
                <w:rFonts w:ascii="Times New Roman" w:hAnsi="Times New Roman"/>
                <w:bCs/>
                <w:sz w:val="24"/>
                <w:szCs w:val="24"/>
              </w:rPr>
              <w:t xml:space="preserve"> (neklātienes izglītības </w:t>
            </w:r>
            <w:r w:rsidR="00FD742F">
              <w:rPr>
                <w:rFonts w:ascii="Times New Roman" w:hAnsi="Times New Roman"/>
                <w:bCs/>
                <w:sz w:val="24"/>
                <w:szCs w:val="24"/>
              </w:rPr>
              <w:t xml:space="preserve">ieguves </w:t>
            </w:r>
            <w:r w:rsidR="002460C4">
              <w:rPr>
                <w:rFonts w:ascii="Times New Roman" w:hAnsi="Times New Roman"/>
                <w:bCs/>
                <w:sz w:val="24"/>
                <w:szCs w:val="24"/>
              </w:rPr>
              <w:t>formā īstenoto izglītības programmu izglītojamajiem ieskaites tiek organizētas klātienē)</w:t>
            </w:r>
            <w:r w:rsidR="00FD742F">
              <w:rPr>
                <w:rFonts w:ascii="Times New Roman" w:hAnsi="Times New Roman"/>
                <w:bCs/>
                <w:sz w:val="24"/>
                <w:szCs w:val="24"/>
              </w:rPr>
              <w:t>.</w:t>
            </w:r>
          </w:p>
          <w:p w14:paraId="6FD69186" w14:textId="77777777" w:rsidR="005253A3" w:rsidRDefault="005253A3" w:rsidP="00117389">
            <w:pPr>
              <w:pStyle w:val="NoSpacing"/>
              <w:jc w:val="both"/>
              <w:rPr>
                <w:rFonts w:ascii="Times New Roman" w:hAnsi="Times New Roman"/>
                <w:bCs/>
                <w:sz w:val="24"/>
                <w:szCs w:val="24"/>
              </w:rPr>
            </w:pPr>
          </w:p>
          <w:p w14:paraId="67A3E10C" w14:textId="312EEA12" w:rsidR="00390E7D" w:rsidRPr="00BE4848" w:rsidRDefault="00FD742F" w:rsidP="00117389">
            <w:pPr>
              <w:pStyle w:val="NoSpacing"/>
              <w:jc w:val="both"/>
              <w:rPr>
                <w:rFonts w:ascii="Times New Roman" w:hAnsi="Times New Roman"/>
                <w:bCs/>
                <w:sz w:val="24"/>
                <w:szCs w:val="24"/>
              </w:rPr>
            </w:pPr>
            <w:r w:rsidRPr="00BE4848">
              <w:rPr>
                <w:rFonts w:ascii="Times New Roman" w:hAnsi="Times New Roman"/>
                <w:bCs/>
                <w:sz w:val="24"/>
                <w:szCs w:val="24"/>
              </w:rPr>
              <w:t>Noteikumu projektā ietverta norma, kas nosaka, ka izglītības iestāde, kas īsteno izglītības programmas neklātienes izglītības ieguves formā, nodrošina klātienes grupu konsultācijas ne mazāk kā 70 procentu apmērā no kopējā mācību stundu skaita semestrī katrā mācību priekšmetā, kā arī individuālas klātienes konsult</w:t>
            </w:r>
            <w:r w:rsidR="005C7B3A" w:rsidRPr="00BE4848">
              <w:rPr>
                <w:rFonts w:ascii="Times New Roman" w:hAnsi="Times New Roman"/>
                <w:bCs/>
                <w:sz w:val="24"/>
                <w:szCs w:val="24"/>
              </w:rPr>
              <w:t xml:space="preserve">ācijas katrā mācību priekšmetā. Atbilstoši Ministru kabineta 2016. gada 5. jūlija noteikumu Nr. 447 “Par valsts budžeta mērķdotāciju pedagogu darba samaksai pašvaldību vispārējās izglītības iestādēs un valsts augstskolu vispārējās vidējās izglītības iestādēs” (turpmāk – noteikumi Nr. 447) 7.4. apakšpunktam, aprēķinot pedagogu atalgojumu, izglītojamo skaitam neklātienes un tālmācības vispārējās izglītības programmās tiek piemērots koeficients 0,6. </w:t>
            </w:r>
            <w:r w:rsidR="00390E7D" w:rsidRPr="00BE4848">
              <w:rPr>
                <w:rFonts w:ascii="Times New Roman" w:hAnsi="Times New Roman"/>
                <w:bCs/>
                <w:sz w:val="24"/>
                <w:szCs w:val="24"/>
              </w:rPr>
              <w:t>Izstrādājot noteikumus Nr. 447, k</w:t>
            </w:r>
            <w:r w:rsidR="005C7B3A" w:rsidRPr="00BE4848">
              <w:rPr>
                <w:rFonts w:ascii="Times New Roman" w:hAnsi="Times New Roman"/>
                <w:bCs/>
                <w:sz w:val="24"/>
                <w:szCs w:val="24"/>
              </w:rPr>
              <w:t>oeficienta aprēķinam par pamatu tika ņemta mācību stundu slodze izglītojamam 10.-12.</w:t>
            </w:r>
            <w:r w:rsidR="00390E7D" w:rsidRPr="00BE4848">
              <w:rPr>
                <w:rFonts w:ascii="Times New Roman" w:hAnsi="Times New Roman"/>
                <w:bCs/>
                <w:sz w:val="24"/>
                <w:szCs w:val="24"/>
              </w:rPr>
              <w:t xml:space="preserve"> </w:t>
            </w:r>
            <w:r w:rsidR="005C7B3A" w:rsidRPr="00BE4848">
              <w:rPr>
                <w:rFonts w:ascii="Times New Roman" w:hAnsi="Times New Roman"/>
                <w:bCs/>
                <w:sz w:val="24"/>
                <w:szCs w:val="24"/>
              </w:rPr>
              <w:t>klasēs</w:t>
            </w:r>
            <w:r w:rsidR="005253A3" w:rsidRPr="00BE4848">
              <w:rPr>
                <w:rFonts w:ascii="Times New Roman" w:hAnsi="Times New Roman"/>
                <w:bCs/>
                <w:sz w:val="24"/>
                <w:szCs w:val="24"/>
              </w:rPr>
              <w:t xml:space="preserve"> klātienes un neklātienes izglītības ieguves formās</w:t>
            </w:r>
            <w:r w:rsidR="005C7B3A" w:rsidRPr="00BE4848">
              <w:rPr>
                <w:rFonts w:ascii="Times New Roman" w:hAnsi="Times New Roman"/>
                <w:bCs/>
                <w:sz w:val="24"/>
                <w:szCs w:val="24"/>
              </w:rPr>
              <w:t xml:space="preserve">. </w:t>
            </w:r>
            <w:r w:rsidR="00390E7D" w:rsidRPr="00BE4848">
              <w:rPr>
                <w:rFonts w:ascii="Times New Roman" w:hAnsi="Times New Roman"/>
                <w:bCs/>
                <w:sz w:val="24"/>
                <w:szCs w:val="24"/>
              </w:rPr>
              <w:t>Ņemot vērā to, ka atbilstoši Izglītības likuma 1. panta 14.</w:t>
            </w:r>
            <w:r w:rsidR="00390E7D" w:rsidRPr="00BE4848">
              <w:rPr>
                <w:rFonts w:ascii="Times New Roman" w:hAnsi="Times New Roman"/>
                <w:bCs/>
                <w:sz w:val="24"/>
                <w:szCs w:val="24"/>
                <w:vertAlign w:val="superscript"/>
              </w:rPr>
              <w:t>2</w:t>
            </w:r>
            <w:r w:rsidR="00390E7D" w:rsidRPr="00BE4848">
              <w:rPr>
                <w:rFonts w:ascii="Times New Roman" w:hAnsi="Times New Roman"/>
                <w:bCs/>
                <w:sz w:val="24"/>
                <w:szCs w:val="24"/>
              </w:rPr>
              <w:t xml:space="preserve"> punktā ietvertajai neklātienes definīcijai noteikts, ka neklātienes izglītības ieguves formā izglītojamais daļu no izglītības iestādes īstenotās izglītības programmas satura apgūst patstāvīgi, </w:t>
            </w:r>
            <w:r w:rsidR="005253A3" w:rsidRPr="00BE4848">
              <w:rPr>
                <w:rFonts w:ascii="Times New Roman" w:hAnsi="Times New Roman"/>
                <w:bCs/>
                <w:sz w:val="24"/>
                <w:szCs w:val="24"/>
              </w:rPr>
              <w:t xml:space="preserve">kā arī ievērojot pastāvošo praksi vispārējās izglītības programmu īstenošanā neklātienes formā, </w:t>
            </w:r>
            <w:r w:rsidR="00390E7D" w:rsidRPr="00BE4848">
              <w:rPr>
                <w:rFonts w:ascii="Times New Roman" w:hAnsi="Times New Roman"/>
                <w:bCs/>
                <w:sz w:val="24"/>
                <w:szCs w:val="24"/>
              </w:rPr>
              <w:t xml:space="preserve">noteikumu projektā paredzēts 70 procentu apmērs grupu konsultācijām no kopējā mācību stundu skaita semestrī katrā mācību priekšmetā, vienlaikus paredzot arī pienākumu nodrošināt individuālas klātienes konsultācijas. </w:t>
            </w:r>
            <w:r w:rsidRPr="00BE4848">
              <w:rPr>
                <w:rFonts w:ascii="Times New Roman" w:hAnsi="Times New Roman"/>
                <w:bCs/>
                <w:sz w:val="24"/>
                <w:szCs w:val="24"/>
              </w:rPr>
              <w:t xml:space="preserve">Savukārt </w:t>
            </w:r>
            <w:r w:rsidR="00390E7D" w:rsidRPr="00BE4848">
              <w:rPr>
                <w:rFonts w:ascii="Times New Roman" w:hAnsi="Times New Roman"/>
                <w:bCs/>
                <w:sz w:val="24"/>
                <w:szCs w:val="24"/>
              </w:rPr>
              <w:t>i</w:t>
            </w:r>
            <w:r w:rsidRPr="00BE4848">
              <w:rPr>
                <w:rFonts w:ascii="Times New Roman" w:hAnsi="Times New Roman"/>
                <w:bCs/>
                <w:sz w:val="24"/>
                <w:szCs w:val="24"/>
              </w:rPr>
              <w:t>ndividuālo klātienes konsultāciju apjoms nav noteikts, ņemot vērā to, ka tās būtu nodrošināmas pēc katra izglītoja</w:t>
            </w:r>
            <w:r w:rsidR="003B59D4" w:rsidRPr="00BE4848">
              <w:rPr>
                <w:rFonts w:ascii="Times New Roman" w:hAnsi="Times New Roman"/>
                <w:bCs/>
                <w:sz w:val="24"/>
                <w:szCs w:val="24"/>
              </w:rPr>
              <w:t>mā individuālām vajadzībām.</w:t>
            </w:r>
          </w:p>
          <w:p w14:paraId="5999F7F1" w14:textId="298B4D61" w:rsidR="00117389" w:rsidRDefault="00390E7D" w:rsidP="00117389">
            <w:pPr>
              <w:pStyle w:val="NoSpacing"/>
              <w:jc w:val="both"/>
              <w:rPr>
                <w:rFonts w:ascii="Times New Roman" w:hAnsi="Times New Roman"/>
                <w:bCs/>
                <w:sz w:val="24"/>
                <w:szCs w:val="24"/>
              </w:rPr>
            </w:pPr>
            <w:r w:rsidRPr="00BE4848">
              <w:rPr>
                <w:rFonts w:ascii="Times New Roman" w:hAnsi="Times New Roman"/>
                <w:bCs/>
                <w:sz w:val="24"/>
                <w:szCs w:val="24"/>
              </w:rPr>
              <w:t>A</w:t>
            </w:r>
            <w:r w:rsidR="00FD742F" w:rsidRPr="00BE4848">
              <w:rPr>
                <w:rFonts w:ascii="Times New Roman" w:hAnsi="Times New Roman"/>
                <w:bCs/>
                <w:sz w:val="24"/>
                <w:szCs w:val="24"/>
              </w:rPr>
              <w:t>ttiecībā par izglītības iestādē</w:t>
            </w:r>
            <w:r w:rsidRPr="00BE4848">
              <w:rPr>
                <w:rFonts w:ascii="Times New Roman" w:hAnsi="Times New Roman"/>
                <w:bCs/>
                <w:sz w:val="24"/>
                <w:szCs w:val="24"/>
              </w:rPr>
              <w:t>m</w:t>
            </w:r>
            <w:r w:rsidR="00FD742F" w:rsidRPr="00BE4848">
              <w:rPr>
                <w:rFonts w:ascii="Times New Roman" w:hAnsi="Times New Roman"/>
                <w:bCs/>
                <w:sz w:val="24"/>
                <w:szCs w:val="24"/>
              </w:rPr>
              <w:t>, kas īsteno izglītības programmas tālmācības izglītības ieguves formā, noteikts, ka tās nodrošina individuālas konsultācijas – gan klātienē, gan tiešsaistē –</w:t>
            </w:r>
            <w:r w:rsidRPr="00BE4848">
              <w:rPr>
                <w:rFonts w:ascii="Times New Roman" w:hAnsi="Times New Roman"/>
                <w:bCs/>
                <w:sz w:val="24"/>
                <w:szCs w:val="24"/>
              </w:rPr>
              <w:t xml:space="preserve"> </w:t>
            </w:r>
            <w:r w:rsidR="00FD742F" w:rsidRPr="00BE4848">
              <w:rPr>
                <w:rFonts w:ascii="Times New Roman" w:hAnsi="Times New Roman"/>
                <w:bCs/>
                <w:sz w:val="24"/>
                <w:szCs w:val="24"/>
              </w:rPr>
              <w:t xml:space="preserve">ne mazāk kā </w:t>
            </w:r>
            <w:r w:rsidR="00B23668" w:rsidRPr="00BE4848">
              <w:rPr>
                <w:rFonts w:ascii="Times New Roman" w:hAnsi="Times New Roman"/>
                <w:sz w:val="24"/>
                <w:szCs w:val="24"/>
              </w:rPr>
              <w:t>30 procentu apmērā no kopējā mācību stundu skaita</w:t>
            </w:r>
            <w:r w:rsidR="00B23668" w:rsidRPr="00FE4210">
              <w:rPr>
                <w:rFonts w:ascii="Times New Roman" w:hAnsi="Times New Roman"/>
                <w:sz w:val="24"/>
                <w:szCs w:val="24"/>
              </w:rPr>
              <w:t xml:space="preserve"> semestrī katrā mācību priekšmetā</w:t>
            </w:r>
            <w:r w:rsidR="00B23668" w:rsidRPr="00FE4210">
              <w:rPr>
                <w:rFonts w:ascii="Times New Roman" w:hAnsi="Times New Roman"/>
                <w:bCs/>
                <w:sz w:val="24"/>
                <w:szCs w:val="24"/>
              </w:rPr>
              <w:t>.</w:t>
            </w:r>
            <w:r w:rsidR="00E124B7">
              <w:rPr>
                <w:rFonts w:ascii="Times New Roman" w:hAnsi="Times New Roman"/>
                <w:bCs/>
                <w:sz w:val="24"/>
                <w:szCs w:val="24"/>
              </w:rPr>
              <w:t xml:space="preserve"> </w:t>
            </w:r>
          </w:p>
          <w:p w14:paraId="122BD135" w14:textId="77777777" w:rsidR="00117389" w:rsidRDefault="00117389" w:rsidP="00117389">
            <w:pPr>
              <w:pStyle w:val="NoSpacing"/>
              <w:jc w:val="both"/>
              <w:rPr>
                <w:rFonts w:ascii="Times New Roman" w:hAnsi="Times New Roman"/>
                <w:bCs/>
                <w:sz w:val="24"/>
                <w:szCs w:val="24"/>
              </w:rPr>
            </w:pPr>
          </w:p>
          <w:p w14:paraId="241004F4" w14:textId="529159F3" w:rsidR="00B23668" w:rsidRPr="00A972B1" w:rsidRDefault="00E124B7" w:rsidP="00117389">
            <w:pPr>
              <w:pStyle w:val="NoSpacing"/>
              <w:jc w:val="both"/>
              <w:rPr>
                <w:rFonts w:ascii="Times New Roman" w:hAnsi="Times New Roman"/>
                <w:sz w:val="24"/>
                <w:szCs w:val="24"/>
              </w:rPr>
            </w:pPr>
            <w:r>
              <w:rPr>
                <w:rFonts w:ascii="Times New Roman" w:hAnsi="Times New Roman"/>
                <w:sz w:val="24"/>
                <w:szCs w:val="24"/>
              </w:rPr>
              <w:t xml:space="preserve">Noteikumu projektā paredzēts pārejas periods </w:t>
            </w:r>
            <w:r w:rsidR="00FD742F">
              <w:rPr>
                <w:rFonts w:ascii="Times New Roman" w:hAnsi="Times New Roman"/>
                <w:sz w:val="24"/>
                <w:szCs w:val="24"/>
              </w:rPr>
              <w:t>attiecībā par</w:t>
            </w:r>
            <w:r>
              <w:rPr>
                <w:rFonts w:ascii="Times New Roman" w:hAnsi="Times New Roman"/>
                <w:sz w:val="24"/>
                <w:szCs w:val="24"/>
              </w:rPr>
              <w:t xml:space="preserve"> to normu spēkā stāšanos, kas paredz </w:t>
            </w:r>
            <w:r w:rsidR="00FD742F">
              <w:rPr>
                <w:rFonts w:ascii="Times New Roman" w:hAnsi="Times New Roman"/>
                <w:sz w:val="24"/>
                <w:szCs w:val="24"/>
              </w:rPr>
              <w:t xml:space="preserve">grupu konsultāciju un </w:t>
            </w:r>
            <w:r>
              <w:rPr>
                <w:rFonts w:ascii="Times New Roman" w:hAnsi="Times New Roman"/>
                <w:sz w:val="24"/>
                <w:szCs w:val="24"/>
              </w:rPr>
              <w:t xml:space="preserve">individuālo konsultāciju nodrošināšanu. </w:t>
            </w:r>
            <w:r w:rsidR="00117389">
              <w:rPr>
                <w:rFonts w:ascii="Times New Roman" w:hAnsi="Times New Roman"/>
                <w:sz w:val="24"/>
                <w:szCs w:val="24"/>
              </w:rPr>
              <w:t>P</w:t>
            </w:r>
            <w:r w:rsidR="005033E8">
              <w:rPr>
                <w:rFonts w:ascii="Times New Roman" w:hAnsi="Times New Roman"/>
                <w:sz w:val="24"/>
                <w:szCs w:val="24"/>
              </w:rPr>
              <w:t xml:space="preserve">lānotais jaunais regulējums (Ministru kabineta 2018. gada 27. novembra noteikumi Nr. 747 “Noteikumi par valsts pamatizglītības standartu un pamatizglītības programmu paraugiem” un izstrādes stadijā esošie Ministru kabineta noteikumi par valsts vispārējās vidējās izglītības standartu un </w:t>
            </w:r>
            <w:r w:rsidR="005A79BE">
              <w:rPr>
                <w:rFonts w:ascii="Times New Roman" w:hAnsi="Times New Roman"/>
                <w:sz w:val="24"/>
                <w:szCs w:val="24"/>
              </w:rPr>
              <w:t xml:space="preserve">vispārējās </w:t>
            </w:r>
            <w:r w:rsidR="005033E8">
              <w:rPr>
                <w:rFonts w:ascii="Times New Roman" w:hAnsi="Times New Roman"/>
                <w:sz w:val="24"/>
                <w:szCs w:val="24"/>
              </w:rPr>
              <w:t>vidējās</w:t>
            </w:r>
            <w:r w:rsidR="00117389">
              <w:rPr>
                <w:rFonts w:ascii="Times New Roman" w:hAnsi="Times New Roman"/>
                <w:sz w:val="24"/>
                <w:szCs w:val="24"/>
              </w:rPr>
              <w:t xml:space="preserve"> izglītības programmu paraugiem</w:t>
            </w:r>
            <w:r w:rsidR="00C80CA2">
              <w:rPr>
                <w:rFonts w:ascii="Times New Roman" w:hAnsi="Times New Roman"/>
                <w:sz w:val="24"/>
                <w:szCs w:val="24"/>
              </w:rPr>
              <w:t>)</w:t>
            </w:r>
            <w:r w:rsidR="008546B5">
              <w:rPr>
                <w:rFonts w:ascii="Times New Roman" w:hAnsi="Times New Roman"/>
                <w:sz w:val="24"/>
                <w:szCs w:val="24"/>
              </w:rPr>
              <w:t>,</w:t>
            </w:r>
            <w:r w:rsidR="00C80CA2">
              <w:rPr>
                <w:rFonts w:ascii="Times New Roman" w:hAnsi="Times New Roman"/>
                <w:sz w:val="24"/>
                <w:szCs w:val="24"/>
              </w:rPr>
              <w:t xml:space="preserve"> </w:t>
            </w:r>
            <w:r w:rsidR="005033E8">
              <w:rPr>
                <w:rFonts w:ascii="Times New Roman" w:hAnsi="Times New Roman"/>
                <w:sz w:val="24"/>
                <w:szCs w:val="24"/>
              </w:rPr>
              <w:t>kas stāsies spēkā pakāpeniski 2020., 2021. un 2022. gad</w:t>
            </w:r>
            <w:r w:rsidR="00117389">
              <w:rPr>
                <w:rFonts w:ascii="Times New Roman" w:hAnsi="Times New Roman"/>
                <w:sz w:val="24"/>
                <w:szCs w:val="24"/>
              </w:rPr>
              <w:t>ā, nenoteiks</w:t>
            </w:r>
            <w:r w:rsidR="005033E8">
              <w:rPr>
                <w:rFonts w:ascii="Times New Roman" w:hAnsi="Times New Roman"/>
                <w:sz w:val="24"/>
                <w:szCs w:val="24"/>
              </w:rPr>
              <w:t xml:space="preserve"> konkrētu individuālo konsultāciju </w:t>
            </w:r>
            <w:r w:rsidR="00FD742F">
              <w:rPr>
                <w:rFonts w:ascii="Times New Roman" w:hAnsi="Times New Roman"/>
                <w:sz w:val="24"/>
                <w:szCs w:val="24"/>
              </w:rPr>
              <w:t>un grupu konsultāciju apjomu</w:t>
            </w:r>
            <w:r w:rsidR="005033E8">
              <w:rPr>
                <w:rFonts w:ascii="Times New Roman" w:hAnsi="Times New Roman"/>
                <w:sz w:val="24"/>
                <w:szCs w:val="24"/>
              </w:rPr>
              <w:t xml:space="preserve">. </w:t>
            </w:r>
            <w:r w:rsidR="00117389">
              <w:rPr>
                <w:rFonts w:ascii="Times New Roman" w:hAnsi="Times New Roman"/>
                <w:sz w:val="24"/>
                <w:szCs w:val="24"/>
              </w:rPr>
              <w:t xml:space="preserve">Tādējādi ir aktuāli </w:t>
            </w:r>
            <w:r w:rsidR="005A79BE">
              <w:rPr>
                <w:rFonts w:ascii="Times New Roman" w:hAnsi="Times New Roman"/>
                <w:sz w:val="24"/>
                <w:szCs w:val="24"/>
              </w:rPr>
              <w:t xml:space="preserve">obligāto </w:t>
            </w:r>
            <w:r w:rsidR="00117389">
              <w:rPr>
                <w:rFonts w:ascii="Times New Roman" w:hAnsi="Times New Roman"/>
                <w:sz w:val="24"/>
                <w:szCs w:val="24"/>
              </w:rPr>
              <w:t xml:space="preserve">individuālo konsultāciju </w:t>
            </w:r>
            <w:r w:rsidR="00FD742F">
              <w:rPr>
                <w:rFonts w:ascii="Times New Roman" w:hAnsi="Times New Roman"/>
                <w:sz w:val="24"/>
                <w:szCs w:val="24"/>
              </w:rPr>
              <w:t xml:space="preserve">un grupu konsultāciju </w:t>
            </w:r>
            <w:r w:rsidR="00FD742F">
              <w:rPr>
                <w:rFonts w:ascii="Times New Roman" w:hAnsi="Times New Roman"/>
                <w:sz w:val="24"/>
                <w:szCs w:val="24"/>
              </w:rPr>
              <w:lastRenderedPageBreak/>
              <w:t>apjomu</w:t>
            </w:r>
            <w:r w:rsidR="00117389">
              <w:rPr>
                <w:rFonts w:ascii="Times New Roman" w:hAnsi="Times New Roman"/>
                <w:sz w:val="24"/>
                <w:szCs w:val="24"/>
              </w:rPr>
              <w:t xml:space="preserve"> noteikt </w:t>
            </w:r>
            <w:r w:rsidR="00117389" w:rsidRPr="00A972B1">
              <w:rPr>
                <w:rFonts w:ascii="Times New Roman" w:hAnsi="Times New Roman"/>
                <w:sz w:val="24"/>
                <w:szCs w:val="24"/>
              </w:rPr>
              <w:t>noteikumu projektā</w:t>
            </w:r>
            <w:r w:rsidR="00245DEC" w:rsidRPr="00A972B1">
              <w:rPr>
                <w:rFonts w:ascii="Times New Roman" w:hAnsi="Times New Roman"/>
                <w:sz w:val="24"/>
                <w:szCs w:val="24"/>
              </w:rPr>
              <w:t>, līdz attiecīgo normu spēkā stāšanās laikam piemērojot spēkā esošo normatīvo regulējumu.</w:t>
            </w:r>
          </w:p>
          <w:p w14:paraId="159AC169" w14:textId="77777777" w:rsidR="00FE4210" w:rsidRPr="00A972B1" w:rsidRDefault="00FE4210" w:rsidP="00FE4210">
            <w:pPr>
              <w:spacing w:after="0" w:line="240" w:lineRule="auto"/>
              <w:jc w:val="both"/>
              <w:rPr>
                <w:rFonts w:ascii="Times New Roman" w:hAnsi="Times New Roman"/>
                <w:bCs/>
                <w:sz w:val="24"/>
                <w:szCs w:val="24"/>
              </w:rPr>
            </w:pPr>
          </w:p>
          <w:p w14:paraId="6CFA9888" w14:textId="77777777" w:rsidR="00FC4533" w:rsidRDefault="00FE4210" w:rsidP="001552DF">
            <w:pPr>
              <w:spacing w:after="0" w:line="240" w:lineRule="auto"/>
              <w:jc w:val="both"/>
              <w:rPr>
                <w:rFonts w:ascii="Times New Roman" w:hAnsi="Times New Roman"/>
                <w:sz w:val="24"/>
                <w:szCs w:val="24"/>
              </w:rPr>
            </w:pPr>
            <w:r w:rsidRPr="00A972B1">
              <w:rPr>
                <w:rFonts w:ascii="Times New Roman" w:hAnsi="Times New Roman"/>
                <w:iCs/>
                <w:sz w:val="24"/>
                <w:szCs w:val="24"/>
              </w:rPr>
              <w:t xml:space="preserve">Noteikumu projektā ir paredzēts, ka </w:t>
            </w:r>
            <w:r w:rsidRPr="00A972B1">
              <w:rPr>
                <w:rFonts w:ascii="Times New Roman" w:hAnsi="Times New Roman"/>
                <w:bCs/>
                <w:sz w:val="24"/>
                <w:szCs w:val="24"/>
              </w:rPr>
              <w:t>izglītības iestāde, kas īsteno</w:t>
            </w:r>
            <w:r w:rsidRPr="00FE4210">
              <w:rPr>
                <w:rFonts w:ascii="Times New Roman" w:hAnsi="Times New Roman"/>
                <w:bCs/>
                <w:sz w:val="24"/>
                <w:szCs w:val="24"/>
              </w:rPr>
              <w:t xml:space="preserve"> izglītības programmas</w:t>
            </w:r>
            <w:r>
              <w:rPr>
                <w:rFonts w:ascii="Times New Roman" w:hAnsi="Times New Roman"/>
                <w:bCs/>
                <w:sz w:val="24"/>
                <w:szCs w:val="24"/>
              </w:rPr>
              <w:t xml:space="preserve"> tālmācības izglītības ieguves formā, </w:t>
            </w:r>
            <w:r w:rsidRPr="00FE4210">
              <w:rPr>
                <w:rFonts w:ascii="Times New Roman" w:hAnsi="Times New Roman"/>
                <w:sz w:val="24"/>
                <w:szCs w:val="24"/>
              </w:rPr>
              <w:t xml:space="preserve">nodrošina mācību procesa norisi izglītības iestādes elektroniskajā vidē tiešsaistē un nodrošina izglītojamajiem izglītības iestādes elektroniskajā vidē visos mācību priekšmetos īpaši veidotus mācību materiālus mācību satura apguvei, tai skaitā mācību materiālus patstāvīgai mācību satura apguvei, </w:t>
            </w:r>
            <w:proofErr w:type="spellStart"/>
            <w:r w:rsidRPr="00FE4210">
              <w:rPr>
                <w:rFonts w:ascii="Times New Roman" w:hAnsi="Times New Roman"/>
                <w:sz w:val="24"/>
                <w:szCs w:val="24"/>
              </w:rPr>
              <w:t>videolekcijas</w:t>
            </w:r>
            <w:proofErr w:type="spellEnd"/>
            <w:r w:rsidRPr="00FE4210">
              <w:rPr>
                <w:rFonts w:ascii="Times New Roman" w:hAnsi="Times New Roman"/>
                <w:sz w:val="24"/>
                <w:szCs w:val="24"/>
              </w:rPr>
              <w:t xml:space="preserve">, uzdevumus pašpārbaudei, kontroldarbus un ieskaites. </w:t>
            </w:r>
          </w:p>
          <w:p w14:paraId="63BB1D67" w14:textId="77777777" w:rsidR="00F01080" w:rsidRDefault="00F01080" w:rsidP="00540701">
            <w:pPr>
              <w:pStyle w:val="NoSpacing"/>
              <w:jc w:val="both"/>
              <w:rPr>
                <w:rFonts w:ascii="Times New Roman" w:hAnsi="Times New Roman"/>
                <w:sz w:val="24"/>
                <w:szCs w:val="24"/>
              </w:rPr>
            </w:pPr>
          </w:p>
          <w:p w14:paraId="1C63E2D2" w14:textId="77777777" w:rsidR="0018339A" w:rsidRDefault="0018339A" w:rsidP="00540701">
            <w:pPr>
              <w:pStyle w:val="NoSpacing"/>
              <w:jc w:val="both"/>
              <w:rPr>
                <w:rFonts w:ascii="Times New Roman" w:hAnsi="Times New Roman"/>
                <w:iCs/>
                <w:sz w:val="24"/>
                <w:szCs w:val="24"/>
              </w:rPr>
            </w:pPr>
            <w:r>
              <w:rPr>
                <w:rFonts w:ascii="Times New Roman" w:hAnsi="Times New Roman"/>
                <w:iCs/>
                <w:sz w:val="24"/>
                <w:szCs w:val="24"/>
              </w:rPr>
              <w:t>Noteikumu</w:t>
            </w:r>
            <w:r w:rsidRPr="0009345A">
              <w:rPr>
                <w:rFonts w:ascii="Times New Roman" w:hAnsi="Times New Roman"/>
                <w:iCs/>
                <w:sz w:val="24"/>
                <w:szCs w:val="24"/>
              </w:rPr>
              <w:t xml:space="preserve"> projekta </w:t>
            </w:r>
            <w:r w:rsidRPr="00EE633B">
              <w:rPr>
                <w:rFonts w:ascii="Times New Roman" w:hAnsi="Times New Roman"/>
                <w:b/>
                <w:iCs/>
                <w:sz w:val="24"/>
                <w:szCs w:val="24"/>
                <w:u w:val="single"/>
              </w:rPr>
              <w:t>mērķis</w:t>
            </w:r>
            <w:r w:rsidRPr="0009345A">
              <w:rPr>
                <w:rFonts w:ascii="Times New Roman" w:hAnsi="Times New Roman"/>
                <w:iCs/>
                <w:sz w:val="24"/>
                <w:szCs w:val="24"/>
              </w:rPr>
              <w:t xml:space="preserve"> ir</w:t>
            </w:r>
            <w:r>
              <w:rPr>
                <w:rFonts w:ascii="Times New Roman" w:hAnsi="Times New Roman"/>
                <w:iCs/>
                <w:sz w:val="24"/>
                <w:szCs w:val="24"/>
              </w:rPr>
              <w:t xml:space="preserve"> kārtības noteikšana vispārējās pamatizglītības un vispārējās vidējās izglītības programmu īstenošanai neklātienes un tālmācības izglītības ieguves formā.  </w:t>
            </w:r>
          </w:p>
          <w:p w14:paraId="3F014311" w14:textId="77777777" w:rsidR="0018339A" w:rsidRDefault="0018339A" w:rsidP="00540701">
            <w:pPr>
              <w:pStyle w:val="NoSpacing"/>
              <w:jc w:val="both"/>
              <w:rPr>
                <w:rFonts w:ascii="Times New Roman" w:hAnsi="Times New Roman"/>
                <w:iCs/>
                <w:sz w:val="24"/>
                <w:szCs w:val="24"/>
              </w:rPr>
            </w:pPr>
            <w:r>
              <w:rPr>
                <w:rFonts w:ascii="Times New Roman" w:hAnsi="Times New Roman"/>
                <w:iCs/>
                <w:sz w:val="24"/>
                <w:szCs w:val="24"/>
              </w:rPr>
              <w:t xml:space="preserve">    </w:t>
            </w:r>
          </w:p>
          <w:p w14:paraId="2E76C688" w14:textId="77777777" w:rsidR="0018339A" w:rsidRPr="0009345A" w:rsidRDefault="0018339A" w:rsidP="00F01080">
            <w:pPr>
              <w:pStyle w:val="NoSpacing"/>
              <w:jc w:val="both"/>
              <w:rPr>
                <w:rFonts w:ascii="Times New Roman" w:eastAsia="Times New Roman" w:hAnsi="Times New Roman"/>
                <w:sz w:val="24"/>
                <w:szCs w:val="24"/>
                <w:highlight w:val="green"/>
                <w:lang w:eastAsia="lv-LV"/>
              </w:rPr>
            </w:pPr>
            <w:r>
              <w:rPr>
                <w:rFonts w:ascii="Times New Roman" w:hAnsi="Times New Roman"/>
                <w:iCs/>
                <w:sz w:val="24"/>
                <w:szCs w:val="24"/>
              </w:rPr>
              <w:t xml:space="preserve">Noteikumu projekta </w:t>
            </w:r>
            <w:r w:rsidRPr="00EE633B">
              <w:rPr>
                <w:rFonts w:ascii="Times New Roman" w:hAnsi="Times New Roman"/>
                <w:b/>
                <w:iCs/>
                <w:sz w:val="24"/>
                <w:szCs w:val="24"/>
                <w:u w:val="single"/>
              </w:rPr>
              <w:t>būtība</w:t>
            </w:r>
            <w:r w:rsidRPr="00EE633B">
              <w:rPr>
                <w:rFonts w:ascii="Times New Roman" w:hAnsi="Times New Roman"/>
                <w:b/>
                <w:iCs/>
                <w:sz w:val="24"/>
                <w:szCs w:val="24"/>
              </w:rPr>
              <w:t xml:space="preserve"> </w:t>
            </w:r>
            <w:r>
              <w:rPr>
                <w:rFonts w:ascii="Times New Roman" w:hAnsi="Times New Roman"/>
                <w:iCs/>
                <w:sz w:val="24"/>
                <w:szCs w:val="24"/>
              </w:rPr>
              <w:t xml:space="preserve">ir Latvijas valsts interesēm atbilstošas vispārējās pamatizglītības un vispārējās vidējās izglītības apguves iespēju pilnvērtīga nodrošināšana personām, kuras vispārējo pamatizglītību vai vispārējo vidējo izglītību apgūst neklātienes vai tālmācības izglītības ieguves formā. </w:t>
            </w:r>
          </w:p>
        </w:tc>
      </w:tr>
      <w:tr w:rsidR="0018339A" w:rsidRPr="008D1690" w14:paraId="7B8B12D3" w14:textId="77777777" w:rsidTr="00E71EAE">
        <w:trPr>
          <w:trHeight w:val="465"/>
        </w:trPr>
        <w:tc>
          <w:tcPr>
            <w:tcW w:w="472" w:type="pct"/>
            <w:tcBorders>
              <w:top w:val="outset" w:sz="6" w:space="0" w:color="414142"/>
              <w:left w:val="outset" w:sz="6" w:space="0" w:color="414142"/>
              <w:bottom w:val="outset" w:sz="6" w:space="0" w:color="414142"/>
              <w:right w:val="outset" w:sz="6" w:space="0" w:color="414142"/>
            </w:tcBorders>
            <w:hideMark/>
          </w:tcPr>
          <w:p w14:paraId="49857121" w14:textId="75A79F2F" w:rsidR="0018339A" w:rsidRPr="008D1690" w:rsidRDefault="0018339A" w:rsidP="00540701">
            <w:pPr>
              <w:spacing w:after="0" w:line="240" w:lineRule="auto"/>
              <w:ind w:firstLine="300"/>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3</w:t>
            </w:r>
            <w:r w:rsidRPr="008D1690">
              <w:rPr>
                <w:rFonts w:ascii="Times New Roman" w:eastAsia="Times New Roman" w:hAnsi="Times New Roman"/>
                <w:sz w:val="24"/>
                <w:szCs w:val="24"/>
                <w:lang w:eastAsia="lv-LV"/>
              </w:rPr>
              <w:t>.</w:t>
            </w:r>
          </w:p>
        </w:tc>
        <w:tc>
          <w:tcPr>
            <w:tcW w:w="934" w:type="pct"/>
            <w:tcBorders>
              <w:top w:val="outset" w:sz="6" w:space="0" w:color="414142"/>
              <w:left w:val="outset" w:sz="6" w:space="0" w:color="414142"/>
              <w:bottom w:val="outset" w:sz="6" w:space="0" w:color="414142"/>
              <w:right w:val="outset" w:sz="6" w:space="0" w:color="414142"/>
            </w:tcBorders>
            <w:hideMark/>
          </w:tcPr>
          <w:p w14:paraId="1F51D66F" w14:textId="77777777" w:rsidR="0018339A" w:rsidRPr="008D1690" w:rsidRDefault="0018339A" w:rsidP="00540701">
            <w:pPr>
              <w:spacing w:after="0" w:line="240" w:lineRule="auto"/>
              <w:jc w:val="both"/>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Projekta izstrādē iesaistītās institūcijas</w:t>
            </w:r>
            <w:r>
              <w:rPr>
                <w:rFonts w:ascii="Times New Roman" w:eastAsia="Times New Roman" w:hAnsi="Times New Roman"/>
                <w:sz w:val="24"/>
                <w:szCs w:val="24"/>
                <w:lang w:eastAsia="lv-LV"/>
              </w:rPr>
              <w:t xml:space="preserve"> un publiskas personas kapitālsabiedrības</w:t>
            </w:r>
          </w:p>
        </w:tc>
        <w:tc>
          <w:tcPr>
            <w:tcW w:w="3594" w:type="pct"/>
            <w:tcBorders>
              <w:top w:val="outset" w:sz="6" w:space="0" w:color="414142"/>
              <w:left w:val="outset" w:sz="6" w:space="0" w:color="414142"/>
              <w:bottom w:val="outset" w:sz="6" w:space="0" w:color="414142"/>
              <w:right w:val="outset" w:sz="6" w:space="0" w:color="414142"/>
            </w:tcBorders>
            <w:hideMark/>
          </w:tcPr>
          <w:p w14:paraId="219C12D4" w14:textId="77777777" w:rsidR="0018339A" w:rsidRPr="00EA7E99" w:rsidRDefault="0018339A" w:rsidP="00540701">
            <w:pPr>
              <w:pStyle w:val="NoSpacing"/>
              <w:jc w:val="both"/>
              <w:rPr>
                <w:rFonts w:ascii="Times New Roman" w:eastAsia="Times New Roman" w:hAnsi="Times New Roman"/>
                <w:sz w:val="24"/>
                <w:szCs w:val="24"/>
                <w:highlight w:val="green"/>
                <w:lang w:eastAsia="lv-LV"/>
              </w:rPr>
            </w:pPr>
            <w:r w:rsidRPr="005075FD">
              <w:rPr>
                <w:rFonts w:ascii="Times New Roman" w:eastAsia="Times New Roman" w:hAnsi="Times New Roman"/>
                <w:sz w:val="24"/>
                <w:szCs w:val="24"/>
                <w:lang w:eastAsia="lv-LV"/>
              </w:rPr>
              <w:t>Izglītības un zinātnes ministrija</w:t>
            </w:r>
            <w:r>
              <w:rPr>
                <w:rFonts w:ascii="Times New Roman" w:eastAsia="Times New Roman" w:hAnsi="Times New Roman"/>
                <w:sz w:val="24"/>
                <w:szCs w:val="24"/>
                <w:lang w:eastAsia="lv-LV"/>
              </w:rPr>
              <w:t xml:space="preserve"> un Valsts izglītības satura centrs</w:t>
            </w:r>
            <w:r w:rsidRPr="005075FD">
              <w:rPr>
                <w:rFonts w:ascii="Times New Roman" w:eastAsia="Times New Roman" w:hAnsi="Times New Roman"/>
                <w:sz w:val="24"/>
                <w:szCs w:val="24"/>
                <w:lang w:eastAsia="lv-LV"/>
              </w:rPr>
              <w:t>.</w:t>
            </w:r>
          </w:p>
        </w:tc>
      </w:tr>
      <w:tr w:rsidR="0018339A" w:rsidRPr="008D1690" w14:paraId="6E897001" w14:textId="77777777" w:rsidTr="00E71EAE">
        <w:trPr>
          <w:trHeight w:val="397"/>
        </w:trPr>
        <w:tc>
          <w:tcPr>
            <w:tcW w:w="472" w:type="pct"/>
            <w:tcBorders>
              <w:top w:val="outset" w:sz="6" w:space="0" w:color="414142"/>
              <w:left w:val="outset" w:sz="6" w:space="0" w:color="414142"/>
              <w:bottom w:val="outset" w:sz="6" w:space="0" w:color="414142"/>
              <w:right w:val="outset" w:sz="6" w:space="0" w:color="414142"/>
            </w:tcBorders>
            <w:hideMark/>
          </w:tcPr>
          <w:p w14:paraId="215E1141" w14:textId="77777777" w:rsidR="0018339A" w:rsidRPr="008D1690" w:rsidRDefault="0018339A" w:rsidP="00540701">
            <w:pPr>
              <w:spacing w:after="0" w:line="240" w:lineRule="auto"/>
              <w:ind w:firstLine="300"/>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4.</w:t>
            </w:r>
          </w:p>
        </w:tc>
        <w:tc>
          <w:tcPr>
            <w:tcW w:w="934" w:type="pct"/>
            <w:tcBorders>
              <w:top w:val="outset" w:sz="6" w:space="0" w:color="414142"/>
              <w:left w:val="outset" w:sz="6" w:space="0" w:color="414142"/>
              <w:bottom w:val="outset" w:sz="6" w:space="0" w:color="414142"/>
              <w:right w:val="outset" w:sz="6" w:space="0" w:color="414142"/>
            </w:tcBorders>
            <w:hideMark/>
          </w:tcPr>
          <w:p w14:paraId="30C8B3F8"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594" w:type="pct"/>
            <w:tcBorders>
              <w:top w:val="outset" w:sz="6" w:space="0" w:color="414142"/>
              <w:left w:val="outset" w:sz="6" w:space="0" w:color="414142"/>
              <w:bottom w:val="outset" w:sz="6" w:space="0" w:color="414142"/>
              <w:right w:val="outset" w:sz="6" w:space="0" w:color="414142"/>
            </w:tcBorders>
            <w:hideMark/>
          </w:tcPr>
          <w:p w14:paraId="1EAD0444" w14:textId="77777777" w:rsidR="0018339A" w:rsidRPr="008D1690" w:rsidRDefault="0018339A" w:rsidP="00540701">
            <w:pPr>
              <w:pStyle w:val="NoSpacing"/>
              <w:rPr>
                <w:rFonts w:ascii="Times New Roman" w:eastAsia="Times New Roman" w:hAnsi="Times New Roman"/>
                <w:sz w:val="24"/>
                <w:szCs w:val="24"/>
                <w:lang w:eastAsia="lv-LV"/>
              </w:rPr>
            </w:pPr>
            <w:r w:rsidRPr="008D1690">
              <w:rPr>
                <w:rFonts w:ascii="Times New Roman" w:hAnsi="Times New Roman"/>
                <w:sz w:val="24"/>
                <w:szCs w:val="24"/>
                <w:lang w:eastAsia="lv-LV"/>
              </w:rPr>
              <w:t>Nav</w:t>
            </w:r>
          </w:p>
        </w:tc>
      </w:tr>
    </w:tbl>
    <w:p w14:paraId="299AC542" w14:textId="77777777" w:rsidR="0018339A" w:rsidRPr="008D1690" w:rsidRDefault="0018339A" w:rsidP="0018339A">
      <w:pPr>
        <w:pStyle w:val="Standard"/>
        <w:spacing w:after="0" w:line="240" w:lineRule="auto"/>
        <w:jc w:val="center"/>
        <w:rPr>
          <w:rFonts w:ascii="Times New Roman" w:hAnsi="Times New Roman"/>
          <w:b/>
          <w:sz w:val="24"/>
          <w:szCs w:val="24"/>
        </w:rPr>
      </w:pPr>
    </w:p>
    <w:p w14:paraId="318E4839" w14:textId="77777777" w:rsidR="0018339A" w:rsidRPr="008D1690" w:rsidRDefault="0018339A" w:rsidP="0018339A">
      <w:pPr>
        <w:pStyle w:val="Standard"/>
        <w:spacing w:after="0" w:line="240" w:lineRule="auto"/>
        <w:jc w:val="center"/>
        <w:rPr>
          <w:rFonts w:ascii="Times New Roman" w:hAnsi="Times New Roman"/>
          <w:b/>
          <w:sz w:val="24"/>
          <w:szCs w:val="24"/>
        </w:rPr>
      </w:pPr>
    </w:p>
    <w:p w14:paraId="3A7584FB" w14:textId="77777777" w:rsidR="0018339A" w:rsidRPr="008D1690" w:rsidRDefault="0018339A" w:rsidP="0018339A">
      <w:pPr>
        <w:spacing w:after="0" w:line="240" w:lineRule="auto"/>
        <w:rPr>
          <w:rFonts w:ascii="Times New Roman" w:eastAsia="Times New Roman" w:hAnsi="Times New Roman"/>
          <w:vanish/>
          <w:sz w:val="24"/>
          <w:szCs w:val="24"/>
          <w:lang w:eastAsia="lv-LV"/>
        </w:rPr>
      </w:pPr>
    </w:p>
    <w:tbl>
      <w:tblPr>
        <w:tblW w:w="5166"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7"/>
        <w:gridCol w:w="1705"/>
        <w:gridCol w:w="6804"/>
      </w:tblGrid>
      <w:tr w:rsidR="0018339A" w:rsidRPr="008D1690" w14:paraId="1B8F7BD7" w14:textId="77777777" w:rsidTr="00540701">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97B5598" w14:textId="77777777" w:rsidR="0018339A" w:rsidRPr="008D1690" w:rsidRDefault="0018339A" w:rsidP="00540701">
            <w:pPr>
              <w:spacing w:before="100" w:beforeAutospacing="1" w:after="100" w:afterAutospacing="1"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II. Tiesību akta projekta ietekme uz sabiedrību, tautsaimniecības attīstību un administratīvo slogu</w:t>
            </w:r>
          </w:p>
        </w:tc>
      </w:tr>
      <w:tr w:rsidR="0018339A" w:rsidRPr="008D1690" w14:paraId="690BB264" w14:textId="77777777" w:rsidTr="00540701">
        <w:trPr>
          <w:trHeight w:val="465"/>
        </w:trPr>
        <w:tc>
          <w:tcPr>
            <w:tcW w:w="453" w:type="pct"/>
            <w:tcBorders>
              <w:top w:val="outset" w:sz="6" w:space="0" w:color="414142"/>
              <w:left w:val="outset" w:sz="6" w:space="0" w:color="414142"/>
              <w:bottom w:val="outset" w:sz="6" w:space="0" w:color="414142"/>
              <w:right w:val="outset" w:sz="6" w:space="0" w:color="414142"/>
            </w:tcBorders>
            <w:hideMark/>
          </w:tcPr>
          <w:p w14:paraId="6A8EB5DA"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911" w:type="pct"/>
            <w:tcBorders>
              <w:top w:val="outset" w:sz="6" w:space="0" w:color="414142"/>
              <w:left w:val="outset" w:sz="6" w:space="0" w:color="414142"/>
              <w:bottom w:val="outset" w:sz="6" w:space="0" w:color="414142"/>
              <w:right w:val="outset" w:sz="6" w:space="0" w:color="414142"/>
            </w:tcBorders>
            <w:hideMark/>
          </w:tcPr>
          <w:p w14:paraId="7FE368B9"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Sabiedrības </w:t>
            </w:r>
            <w:proofErr w:type="spellStart"/>
            <w:r w:rsidRPr="008D1690">
              <w:rPr>
                <w:rFonts w:ascii="Times New Roman" w:eastAsia="Times New Roman" w:hAnsi="Times New Roman"/>
                <w:sz w:val="24"/>
                <w:szCs w:val="24"/>
                <w:lang w:eastAsia="lv-LV"/>
              </w:rPr>
              <w:t>mērķgrupas</w:t>
            </w:r>
            <w:proofErr w:type="spellEnd"/>
            <w:r w:rsidRPr="008D1690">
              <w:rPr>
                <w:rFonts w:ascii="Times New Roman" w:eastAsia="Times New Roman" w:hAnsi="Times New Roman"/>
                <w:sz w:val="24"/>
                <w:szCs w:val="24"/>
                <w:lang w:eastAsia="lv-LV"/>
              </w:rPr>
              <w:t>, kuras tiesiskais regulējums ietekmē vai varētu ietekmēt</w:t>
            </w:r>
          </w:p>
        </w:tc>
        <w:tc>
          <w:tcPr>
            <w:tcW w:w="3636" w:type="pct"/>
            <w:tcBorders>
              <w:top w:val="outset" w:sz="6" w:space="0" w:color="414142"/>
              <w:left w:val="outset" w:sz="6" w:space="0" w:color="414142"/>
              <w:bottom w:val="outset" w:sz="6" w:space="0" w:color="414142"/>
              <w:right w:val="outset" w:sz="6" w:space="0" w:color="414142"/>
            </w:tcBorders>
            <w:hideMark/>
          </w:tcPr>
          <w:p w14:paraId="52357D10" w14:textId="4773B3C9" w:rsidR="0018339A" w:rsidRPr="008D1690" w:rsidRDefault="0018339A" w:rsidP="005033E8">
            <w:pPr>
              <w:pStyle w:val="tv213"/>
              <w:spacing w:before="0" w:beforeAutospacing="0" w:after="0" w:afterAutospacing="0"/>
              <w:jc w:val="both"/>
            </w:pPr>
            <w:r>
              <w:t xml:space="preserve">Noteikumu projekta </w:t>
            </w:r>
            <w:proofErr w:type="spellStart"/>
            <w:r>
              <w:t>mērķ</w:t>
            </w:r>
            <w:r w:rsidRPr="008D1690">
              <w:t>grupa</w:t>
            </w:r>
            <w:proofErr w:type="spellEnd"/>
            <w:r w:rsidRPr="008D1690">
              <w:t xml:space="preserve"> ir</w:t>
            </w:r>
            <w:r>
              <w:t xml:space="preserve"> izglītojamie, kuri iegūst vispārējo</w:t>
            </w:r>
            <w:r w:rsidR="005033E8">
              <w:t xml:space="preserve"> pamatizglītību un vispārējo vidējo</w:t>
            </w:r>
            <w:r>
              <w:t xml:space="preserve"> izglītības programmās neklātienes vai tālmācības izglītības ieguves formā, kā arī izglītības iestādes, kuras īsteno attiecīgās izglītības programmas.</w:t>
            </w:r>
          </w:p>
        </w:tc>
      </w:tr>
      <w:tr w:rsidR="0018339A" w:rsidRPr="008D1690" w14:paraId="01C19983" w14:textId="77777777" w:rsidTr="00540701">
        <w:trPr>
          <w:trHeight w:val="510"/>
        </w:trPr>
        <w:tc>
          <w:tcPr>
            <w:tcW w:w="453" w:type="pct"/>
            <w:tcBorders>
              <w:top w:val="outset" w:sz="6" w:space="0" w:color="414142"/>
              <w:left w:val="outset" w:sz="6" w:space="0" w:color="414142"/>
              <w:bottom w:val="outset" w:sz="6" w:space="0" w:color="414142"/>
              <w:right w:val="outset" w:sz="6" w:space="0" w:color="414142"/>
            </w:tcBorders>
            <w:hideMark/>
          </w:tcPr>
          <w:p w14:paraId="00C78F88"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911" w:type="pct"/>
            <w:tcBorders>
              <w:top w:val="outset" w:sz="6" w:space="0" w:color="414142"/>
              <w:left w:val="outset" w:sz="6" w:space="0" w:color="414142"/>
              <w:bottom w:val="outset" w:sz="6" w:space="0" w:color="414142"/>
              <w:right w:val="outset" w:sz="6" w:space="0" w:color="414142"/>
            </w:tcBorders>
            <w:hideMark/>
          </w:tcPr>
          <w:p w14:paraId="02DA08C9"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Tiesiskā regulējuma ietekme uz tautsaimniecību un administratīvo slogu</w:t>
            </w:r>
          </w:p>
        </w:tc>
        <w:tc>
          <w:tcPr>
            <w:tcW w:w="3636" w:type="pct"/>
            <w:tcBorders>
              <w:top w:val="outset" w:sz="6" w:space="0" w:color="414142"/>
              <w:left w:val="outset" w:sz="6" w:space="0" w:color="414142"/>
              <w:bottom w:val="outset" w:sz="6" w:space="0" w:color="414142"/>
              <w:right w:val="outset" w:sz="6" w:space="0" w:color="414142"/>
            </w:tcBorders>
            <w:hideMark/>
          </w:tcPr>
          <w:p w14:paraId="018FB93A" w14:textId="77777777" w:rsidR="0018339A" w:rsidRPr="008D1690" w:rsidRDefault="0018339A" w:rsidP="005E31B2">
            <w:pPr>
              <w:pStyle w:val="NoSpacing"/>
              <w:jc w:val="both"/>
              <w:rPr>
                <w:rFonts w:ascii="Times New Roman" w:eastAsia="Times New Roman" w:hAnsi="Times New Roman"/>
                <w:sz w:val="24"/>
                <w:szCs w:val="24"/>
                <w:lang w:eastAsia="lv-LV"/>
              </w:rPr>
            </w:pPr>
            <w:r w:rsidRPr="009F71D8">
              <w:rPr>
                <w:rFonts w:ascii="Times New Roman" w:eastAsia="Times New Roman" w:hAnsi="Times New Roman"/>
                <w:sz w:val="24"/>
                <w:szCs w:val="24"/>
                <w:lang w:eastAsia="lv-LV"/>
              </w:rPr>
              <w:t xml:space="preserve">Noteikumu projekts </w:t>
            </w:r>
            <w:r w:rsidR="005E31B2">
              <w:rPr>
                <w:rFonts w:ascii="Times New Roman" w:eastAsia="Times New Roman" w:hAnsi="Times New Roman"/>
                <w:sz w:val="24"/>
                <w:szCs w:val="24"/>
                <w:lang w:eastAsia="lv-LV"/>
              </w:rPr>
              <w:t xml:space="preserve">nerada jaunu </w:t>
            </w:r>
            <w:r w:rsidRPr="009F71D8">
              <w:rPr>
                <w:rFonts w:ascii="Times New Roman" w:eastAsia="Times New Roman" w:hAnsi="Times New Roman"/>
                <w:sz w:val="24"/>
                <w:szCs w:val="24"/>
                <w:lang w:eastAsia="lv-LV"/>
              </w:rPr>
              <w:t xml:space="preserve">administratīvo </w:t>
            </w:r>
            <w:r w:rsidR="005E31B2">
              <w:rPr>
                <w:rFonts w:ascii="Times New Roman" w:eastAsia="Times New Roman" w:hAnsi="Times New Roman"/>
                <w:sz w:val="24"/>
                <w:szCs w:val="24"/>
                <w:lang w:eastAsia="lv-LV"/>
              </w:rPr>
              <w:t>slogu</w:t>
            </w:r>
            <w:r w:rsidRPr="009F71D8">
              <w:rPr>
                <w:rFonts w:ascii="Times New Roman" w:hAnsi="Times New Roman"/>
                <w:sz w:val="24"/>
                <w:szCs w:val="24"/>
              </w:rPr>
              <w:t>.</w:t>
            </w:r>
          </w:p>
        </w:tc>
      </w:tr>
      <w:tr w:rsidR="0018339A" w:rsidRPr="008D1690" w14:paraId="4F5D7CC7" w14:textId="77777777" w:rsidTr="00540701">
        <w:trPr>
          <w:trHeight w:val="510"/>
        </w:trPr>
        <w:tc>
          <w:tcPr>
            <w:tcW w:w="453" w:type="pct"/>
            <w:tcBorders>
              <w:top w:val="outset" w:sz="6" w:space="0" w:color="414142"/>
              <w:left w:val="outset" w:sz="6" w:space="0" w:color="414142"/>
              <w:bottom w:val="outset" w:sz="6" w:space="0" w:color="414142"/>
              <w:right w:val="outset" w:sz="6" w:space="0" w:color="414142"/>
            </w:tcBorders>
            <w:hideMark/>
          </w:tcPr>
          <w:p w14:paraId="7B2ADA99"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3.</w:t>
            </w:r>
          </w:p>
        </w:tc>
        <w:tc>
          <w:tcPr>
            <w:tcW w:w="911" w:type="pct"/>
            <w:tcBorders>
              <w:top w:val="outset" w:sz="6" w:space="0" w:color="414142"/>
              <w:left w:val="outset" w:sz="6" w:space="0" w:color="414142"/>
              <w:bottom w:val="outset" w:sz="6" w:space="0" w:color="414142"/>
              <w:right w:val="outset" w:sz="6" w:space="0" w:color="414142"/>
            </w:tcBorders>
            <w:hideMark/>
          </w:tcPr>
          <w:p w14:paraId="36111B0B"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Administratīvo izmaksu </w:t>
            </w:r>
            <w:r w:rsidRPr="008D1690">
              <w:rPr>
                <w:rFonts w:ascii="Times New Roman" w:eastAsia="Times New Roman" w:hAnsi="Times New Roman"/>
                <w:sz w:val="24"/>
                <w:szCs w:val="24"/>
                <w:lang w:eastAsia="lv-LV"/>
              </w:rPr>
              <w:lastRenderedPageBreak/>
              <w:t>monetārs novērtējums</w:t>
            </w:r>
          </w:p>
        </w:tc>
        <w:tc>
          <w:tcPr>
            <w:tcW w:w="3636" w:type="pct"/>
            <w:tcBorders>
              <w:top w:val="outset" w:sz="6" w:space="0" w:color="414142"/>
              <w:left w:val="outset" w:sz="6" w:space="0" w:color="414142"/>
              <w:bottom w:val="outset" w:sz="6" w:space="0" w:color="414142"/>
              <w:right w:val="outset" w:sz="6" w:space="0" w:color="414142"/>
            </w:tcBorders>
            <w:hideMark/>
          </w:tcPr>
          <w:p w14:paraId="49474CE3" w14:textId="77777777" w:rsidR="0018339A" w:rsidRPr="00CA7874" w:rsidRDefault="0018339A" w:rsidP="00540701">
            <w:pPr>
              <w:pStyle w:val="Heading1"/>
              <w:spacing w:before="0" w:after="0"/>
              <w:jc w:val="both"/>
              <w:rPr>
                <w:rFonts w:ascii="Times New Roman" w:hAnsi="Times New Roman"/>
                <w:b w:val="0"/>
                <w:sz w:val="24"/>
                <w:szCs w:val="24"/>
                <w:lang w:eastAsia="lv-LV"/>
              </w:rPr>
            </w:pPr>
            <w:r>
              <w:rPr>
                <w:rFonts w:ascii="Times New Roman" w:hAnsi="Times New Roman"/>
                <w:b w:val="0"/>
                <w:sz w:val="24"/>
                <w:szCs w:val="24"/>
                <w:lang w:eastAsia="lv-LV"/>
              </w:rPr>
              <w:lastRenderedPageBreak/>
              <w:t>Noteikumu projekts šo jomu neskar.</w:t>
            </w:r>
          </w:p>
        </w:tc>
      </w:tr>
      <w:tr w:rsidR="0018339A" w:rsidRPr="008D1690" w14:paraId="23564D8E" w14:textId="77777777" w:rsidTr="00540701">
        <w:trPr>
          <w:trHeight w:val="510"/>
        </w:trPr>
        <w:tc>
          <w:tcPr>
            <w:tcW w:w="453" w:type="pct"/>
            <w:tcBorders>
              <w:top w:val="outset" w:sz="6" w:space="0" w:color="414142"/>
              <w:left w:val="outset" w:sz="6" w:space="0" w:color="414142"/>
              <w:bottom w:val="outset" w:sz="6" w:space="0" w:color="414142"/>
              <w:right w:val="outset" w:sz="6" w:space="0" w:color="414142"/>
            </w:tcBorders>
          </w:tcPr>
          <w:p w14:paraId="5088AFBD"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p>
        </w:tc>
        <w:tc>
          <w:tcPr>
            <w:tcW w:w="911" w:type="pct"/>
            <w:tcBorders>
              <w:top w:val="outset" w:sz="6" w:space="0" w:color="414142"/>
              <w:left w:val="outset" w:sz="6" w:space="0" w:color="414142"/>
              <w:bottom w:val="outset" w:sz="6" w:space="0" w:color="414142"/>
              <w:right w:val="outset" w:sz="6" w:space="0" w:color="414142"/>
            </w:tcBorders>
          </w:tcPr>
          <w:p w14:paraId="26CAD082" w14:textId="77777777" w:rsidR="0018339A" w:rsidRPr="008D1690" w:rsidRDefault="0018339A" w:rsidP="0054070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Atbilstības izmaksu monetārs novērtējums</w:t>
            </w:r>
          </w:p>
        </w:tc>
        <w:tc>
          <w:tcPr>
            <w:tcW w:w="3636" w:type="pct"/>
            <w:tcBorders>
              <w:top w:val="outset" w:sz="6" w:space="0" w:color="414142"/>
              <w:left w:val="outset" w:sz="6" w:space="0" w:color="414142"/>
              <w:bottom w:val="outset" w:sz="6" w:space="0" w:color="414142"/>
              <w:right w:val="outset" w:sz="6" w:space="0" w:color="414142"/>
            </w:tcBorders>
          </w:tcPr>
          <w:p w14:paraId="4DADE5D0" w14:textId="77777777" w:rsidR="0018339A" w:rsidRPr="005075FD" w:rsidRDefault="0018339A" w:rsidP="00540701">
            <w:pPr>
              <w:pStyle w:val="Heading1"/>
              <w:spacing w:before="0" w:after="0"/>
              <w:jc w:val="both"/>
              <w:rPr>
                <w:rFonts w:ascii="Times New Roman" w:hAnsi="Times New Roman"/>
                <w:b w:val="0"/>
                <w:sz w:val="24"/>
                <w:szCs w:val="24"/>
                <w:lang w:eastAsia="lv-LV"/>
              </w:rPr>
            </w:pPr>
            <w:r>
              <w:rPr>
                <w:rFonts w:ascii="Times New Roman" w:hAnsi="Times New Roman"/>
                <w:b w:val="0"/>
                <w:sz w:val="24"/>
                <w:szCs w:val="24"/>
                <w:lang w:eastAsia="lv-LV"/>
              </w:rPr>
              <w:t>Noteikumu projekts šo jomu neskar.</w:t>
            </w:r>
          </w:p>
        </w:tc>
      </w:tr>
      <w:tr w:rsidR="0018339A" w:rsidRPr="008D1690" w14:paraId="521E1EE2" w14:textId="77777777" w:rsidTr="00540701">
        <w:trPr>
          <w:trHeight w:val="345"/>
        </w:trPr>
        <w:tc>
          <w:tcPr>
            <w:tcW w:w="453" w:type="pct"/>
            <w:tcBorders>
              <w:top w:val="outset" w:sz="6" w:space="0" w:color="414142"/>
              <w:left w:val="outset" w:sz="6" w:space="0" w:color="414142"/>
              <w:bottom w:val="outset" w:sz="6" w:space="0" w:color="414142"/>
              <w:right w:val="outset" w:sz="6" w:space="0" w:color="414142"/>
            </w:tcBorders>
            <w:hideMark/>
          </w:tcPr>
          <w:p w14:paraId="40EA1721"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5</w:t>
            </w:r>
            <w:r w:rsidRPr="008D1690">
              <w:rPr>
                <w:rFonts w:ascii="Times New Roman" w:eastAsia="Times New Roman" w:hAnsi="Times New Roman"/>
                <w:sz w:val="24"/>
                <w:szCs w:val="24"/>
                <w:lang w:eastAsia="lv-LV"/>
              </w:rPr>
              <w:t>.</w:t>
            </w:r>
          </w:p>
        </w:tc>
        <w:tc>
          <w:tcPr>
            <w:tcW w:w="911" w:type="pct"/>
            <w:tcBorders>
              <w:top w:val="outset" w:sz="6" w:space="0" w:color="414142"/>
              <w:left w:val="outset" w:sz="6" w:space="0" w:color="414142"/>
              <w:bottom w:val="outset" w:sz="6" w:space="0" w:color="414142"/>
              <w:right w:val="outset" w:sz="6" w:space="0" w:color="414142"/>
            </w:tcBorders>
            <w:hideMark/>
          </w:tcPr>
          <w:p w14:paraId="6F861EF5"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636" w:type="pct"/>
            <w:tcBorders>
              <w:top w:val="outset" w:sz="6" w:space="0" w:color="414142"/>
              <w:left w:val="outset" w:sz="6" w:space="0" w:color="414142"/>
              <w:bottom w:val="outset" w:sz="6" w:space="0" w:color="414142"/>
              <w:right w:val="outset" w:sz="6" w:space="0" w:color="414142"/>
            </w:tcBorders>
            <w:hideMark/>
          </w:tcPr>
          <w:p w14:paraId="075E9245" w14:textId="77777777" w:rsidR="0018339A" w:rsidRPr="008D1690" w:rsidRDefault="0018339A" w:rsidP="00540701">
            <w:pPr>
              <w:pStyle w:val="naiskr"/>
              <w:spacing w:before="0" w:after="0"/>
              <w:ind w:left="112" w:right="165" w:hanging="30"/>
              <w:jc w:val="both"/>
            </w:pPr>
            <w:r w:rsidRPr="008D1690">
              <w:rPr>
                <w:bCs/>
              </w:rPr>
              <w:t>Nav</w:t>
            </w:r>
          </w:p>
        </w:tc>
      </w:tr>
    </w:tbl>
    <w:p w14:paraId="68939852" w14:textId="77777777" w:rsidR="0018339A" w:rsidRDefault="0018339A" w:rsidP="0018339A">
      <w:pPr>
        <w:spacing w:after="0" w:line="240" w:lineRule="auto"/>
        <w:rPr>
          <w:rFonts w:ascii="Times New Roman" w:eastAsia="Times New Roman" w:hAnsi="Times New Roman"/>
          <w:sz w:val="24"/>
          <w:szCs w:val="24"/>
          <w:lang w:eastAsia="lv-LV"/>
        </w:rPr>
      </w:pPr>
    </w:p>
    <w:p w14:paraId="014761ED" w14:textId="77777777" w:rsidR="0018339A" w:rsidRDefault="0018339A" w:rsidP="0018339A">
      <w:pPr>
        <w:spacing w:after="0" w:line="240" w:lineRule="auto"/>
        <w:rPr>
          <w:rFonts w:ascii="Times New Roman" w:eastAsia="Times New Roman" w:hAnsi="Times New Roman"/>
          <w:sz w:val="24"/>
          <w:szCs w:val="24"/>
          <w:lang w:eastAsia="lv-LV"/>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18339A" w14:paraId="36BB1A1A" w14:textId="77777777" w:rsidTr="00540701">
        <w:tc>
          <w:tcPr>
            <w:tcW w:w="9356" w:type="dxa"/>
            <w:shd w:val="clear" w:color="auto" w:fill="FFFFFF"/>
          </w:tcPr>
          <w:p w14:paraId="2A84764C" w14:textId="77777777" w:rsidR="0018339A" w:rsidRPr="007F2284" w:rsidRDefault="0018339A" w:rsidP="00540701">
            <w:pPr>
              <w:jc w:val="center"/>
              <w:rPr>
                <w:rFonts w:ascii="Times New Roman" w:hAnsi="Times New Roman"/>
                <w:sz w:val="24"/>
                <w:szCs w:val="24"/>
              </w:rPr>
            </w:pPr>
            <w:r w:rsidRPr="007F2284">
              <w:rPr>
                <w:rFonts w:ascii="Times New Roman" w:hAnsi="Times New Roman"/>
                <w:b/>
                <w:sz w:val="24"/>
                <w:szCs w:val="24"/>
              </w:rPr>
              <w:t>III. Tiesību akta projekta ietekme uz valsts budžetu un pašvaldību budžetiem</w:t>
            </w:r>
          </w:p>
        </w:tc>
      </w:tr>
      <w:tr w:rsidR="0018339A" w14:paraId="6C93CB3E" w14:textId="77777777" w:rsidTr="00540701">
        <w:tc>
          <w:tcPr>
            <w:tcW w:w="9356" w:type="dxa"/>
            <w:shd w:val="clear" w:color="auto" w:fill="FFFFFF"/>
          </w:tcPr>
          <w:p w14:paraId="42E52A47" w14:textId="77777777" w:rsidR="0018339A" w:rsidRPr="007F2284" w:rsidRDefault="0018339A" w:rsidP="00540701">
            <w:pPr>
              <w:jc w:val="center"/>
              <w:rPr>
                <w:rFonts w:ascii="Times New Roman" w:hAnsi="Times New Roman"/>
                <w:sz w:val="24"/>
                <w:szCs w:val="24"/>
              </w:rPr>
            </w:pPr>
            <w:r>
              <w:rPr>
                <w:rFonts w:ascii="Times New Roman" w:hAnsi="Times New Roman"/>
                <w:sz w:val="24"/>
                <w:szCs w:val="24"/>
              </w:rPr>
              <w:t>Noteikumu p</w:t>
            </w:r>
            <w:r w:rsidRPr="007F2284">
              <w:rPr>
                <w:rFonts w:ascii="Times New Roman" w:hAnsi="Times New Roman"/>
                <w:sz w:val="24"/>
                <w:szCs w:val="24"/>
              </w:rPr>
              <w:t>rojekts šo jomu neskar.</w:t>
            </w:r>
          </w:p>
        </w:tc>
      </w:tr>
    </w:tbl>
    <w:p w14:paraId="7CE90779" w14:textId="77777777" w:rsidR="0018339A" w:rsidRDefault="0018339A" w:rsidP="0018339A">
      <w:pPr>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701"/>
        <w:gridCol w:w="6804"/>
      </w:tblGrid>
      <w:tr w:rsidR="0018339A" w14:paraId="6C83F923" w14:textId="77777777" w:rsidTr="00540701">
        <w:tc>
          <w:tcPr>
            <w:tcW w:w="9356" w:type="dxa"/>
            <w:gridSpan w:val="3"/>
            <w:shd w:val="clear" w:color="auto" w:fill="FFFFFF"/>
          </w:tcPr>
          <w:p w14:paraId="12D0BA33" w14:textId="77777777" w:rsidR="0018339A" w:rsidRPr="00EE633B" w:rsidRDefault="0018339A" w:rsidP="00540701">
            <w:pPr>
              <w:jc w:val="center"/>
              <w:rPr>
                <w:rFonts w:ascii="Times New Roman" w:hAnsi="Times New Roman"/>
                <w:sz w:val="24"/>
                <w:szCs w:val="24"/>
              </w:rPr>
            </w:pPr>
            <w:r w:rsidRPr="00EE633B">
              <w:rPr>
                <w:rFonts w:ascii="Times New Roman" w:hAnsi="Times New Roman"/>
                <w:b/>
                <w:sz w:val="24"/>
                <w:szCs w:val="24"/>
              </w:rPr>
              <w:t>IV. Tiesību akta projekta ietekme uz spēkā esošo tiesību normu sistēmu</w:t>
            </w:r>
          </w:p>
        </w:tc>
      </w:tr>
      <w:tr w:rsidR="0018339A" w14:paraId="08864746" w14:textId="77777777" w:rsidTr="00540701">
        <w:trPr>
          <w:trHeight w:val="170"/>
        </w:trPr>
        <w:tc>
          <w:tcPr>
            <w:tcW w:w="851" w:type="dxa"/>
            <w:shd w:val="clear" w:color="auto" w:fill="FFFFFF"/>
          </w:tcPr>
          <w:p w14:paraId="1DF99FEA" w14:textId="77777777" w:rsidR="0018339A" w:rsidRPr="00EE633B" w:rsidRDefault="0018339A" w:rsidP="00540701">
            <w:pPr>
              <w:jc w:val="center"/>
              <w:rPr>
                <w:rFonts w:ascii="Times New Roman" w:hAnsi="Times New Roman"/>
                <w:sz w:val="24"/>
                <w:szCs w:val="24"/>
              </w:rPr>
            </w:pPr>
            <w:r>
              <w:rPr>
                <w:rFonts w:ascii="Times New Roman" w:hAnsi="Times New Roman"/>
                <w:sz w:val="24"/>
                <w:szCs w:val="24"/>
              </w:rPr>
              <w:t>1.</w:t>
            </w:r>
          </w:p>
        </w:tc>
        <w:tc>
          <w:tcPr>
            <w:tcW w:w="1701" w:type="dxa"/>
            <w:shd w:val="clear" w:color="auto" w:fill="FFFFFF"/>
          </w:tcPr>
          <w:p w14:paraId="0C789294" w14:textId="77777777" w:rsidR="0018339A" w:rsidRPr="00EE633B" w:rsidRDefault="0018339A" w:rsidP="00540701">
            <w:pPr>
              <w:rPr>
                <w:rFonts w:ascii="Times New Roman" w:hAnsi="Times New Roman"/>
                <w:sz w:val="24"/>
                <w:szCs w:val="24"/>
              </w:rPr>
            </w:pPr>
            <w:r>
              <w:rPr>
                <w:rFonts w:ascii="Times New Roman" w:hAnsi="Times New Roman"/>
                <w:sz w:val="24"/>
                <w:szCs w:val="24"/>
              </w:rPr>
              <w:t>Saistītie tiesību aktu projekti</w:t>
            </w:r>
          </w:p>
        </w:tc>
        <w:tc>
          <w:tcPr>
            <w:tcW w:w="6804" w:type="dxa"/>
            <w:shd w:val="clear" w:color="auto" w:fill="FFFFFF"/>
          </w:tcPr>
          <w:p w14:paraId="5EB6B10D" w14:textId="2933E8B8" w:rsidR="008F378D" w:rsidRDefault="00924E07" w:rsidP="00924E07">
            <w:pPr>
              <w:pStyle w:val="NoSpacing"/>
              <w:jc w:val="both"/>
              <w:rPr>
                <w:rFonts w:ascii="Times New Roman" w:hAnsi="Times New Roman"/>
                <w:iCs/>
                <w:sz w:val="24"/>
                <w:szCs w:val="24"/>
              </w:rPr>
            </w:pPr>
            <w:r w:rsidRPr="00DA3E0F">
              <w:rPr>
                <w:rFonts w:ascii="Times New Roman" w:hAnsi="Times New Roman"/>
                <w:sz w:val="24"/>
                <w:szCs w:val="24"/>
              </w:rPr>
              <w:t xml:space="preserve">Tiek </w:t>
            </w:r>
            <w:r w:rsidRPr="00DA3E0F">
              <w:rPr>
                <w:rFonts w:ascii="Times New Roman" w:hAnsi="Times New Roman"/>
                <w:iCs/>
                <w:sz w:val="24"/>
                <w:szCs w:val="24"/>
              </w:rPr>
              <w:t>izstrādāti jauni Ministru kabineta noteikumi par valsts vispārējās vidējās izglītības standartu un vispārējās vidējās izglītības programmu paraugiem.</w:t>
            </w:r>
          </w:p>
          <w:p w14:paraId="21B31F09" w14:textId="77777777" w:rsidR="00924E07" w:rsidRPr="00DA3E0F" w:rsidRDefault="00924E07" w:rsidP="00924E07">
            <w:pPr>
              <w:pStyle w:val="NoSpacing"/>
              <w:jc w:val="both"/>
              <w:rPr>
                <w:rFonts w:ascii="Times New Roman" w:hAnsi="Times New Roman"/>
                <w:iCs/>
                <w:sz w:val="24"/>
                <w:szCs w:val="24"/>
              </w:rPr>
            </w:pPr>
          </w:p>
          <w:p w14:paraId="6FBA518A" w14:textId="77777777" w:rsidR="00924E07" w:rsidRPr="00DA3E0F" w:rsidRDefault="00924E07" w:rsidP="00924E07">
            <w:pPr>
              <w:pStyle w:val="NoSpacing"/>
              <w:jc w:val="both"/>
              <w:rPr>
                <w:rFonts w:ascii="Times New Roman" w:hAnsi="Times New Roman"/>
                <w:iCs/>
                <w:sz w:val="24"/>
                <w:szCs w:val="24"/>
              </w:rPr>
            </w:pPr>
            <w:r w:rsidRPr="00DA3E0F">
              <w:rPr>
                <w:rFonts w:ascii="Times New Roman" w:hAnsi="Times New Roman"/>
                <w:iCs/>
                <w:sz w:val="24"/>
                <w:szCs w:val="24"/>
              </w:rPr>
              <w:t>Nepieciešams izstrādāt:</w:t>
            </w:r>
          </w:p>
          <w:p w14:paraId="59D720F4" w14:textId="77777777" w:rsidR="00924E07" w:rsidRPr="00DA3E0F" w:rsidRDefault="00924E07" w:rsidP="00924E07">
            <w:pPr>
              <w:pStyle w:val="NoSpacing"/>
              <w:jc w:val="both"/>
              <w:rPr>
                <w:rFonts w:ascii="Times New Roman" w:hAnsi="Times New Roman"/>
                <w:iCs/>
                <w:sz w:val="24"/>
                <w:szCs w:val="24"/>
              </w:rPr>
            </w:pPr>
            <w:r w:rsidRPr="00DA3E0F">
              <w:rPr>
                <w:rFonts w:ascii="Times New Roman" w:hAnsi="Times New Roman"/>
                <w:iCs/>
                <w:sz w:val="24"/>
                <w:szCs w:val="24"/>
              </w:rPr>
              <w:t>1) Ministru kabineta noteikumu projektu par grozījumiem Ministru kabineta 2010. gada 17. augusta noteikumos Nr. 788 “Valsts izglītības informācijas sistēmas saturs, uzturēšanas un aktualizācijas kārtība”, precizējot tajā lietoto terminoloģiju attiecībā uz izglītības ieguves formām;</w:t>
            </w:r>
          </w:p>
          <w:p w14:paraId="2D181A5E" w14:textId="77777777" w:rsidR="00924E07" w:rsidRPr="00924E07" w:rsidRDefault="00924E07" w:rsidP="00924E07">
            <w:pPr>
              <w:pStyle w:val="NoSpacing"/>
              <w:jc w:val="both"/>
              <w:rPr>
                <w:rFonts w:ascii="Times New Roman" w:hAnsi="Times New Roman"/>
                <w:iCs/>
                <w:sz w:val="24"/>
                <w:szCs w:val="24"/>
              </w:rPr>
            </w:pPr>
            <w:r>
              <w:rPr>
                <w:rFonts w:ascii="Times New Roman" w:hAnsi="Times New Roman"/>
                <w:iCs/>
                <w:sz w:val="24"/>
                <w:szCs w:val="24"/>
              </w:rPr>
              <w:t xml:space="preserve">2) </w:t>
            </w:r>
            <w:r w:rsidRPr="00924E07">
              <w:rPr>
                <w:rFonts w:ascii="Times New Roman" w:hAnsi="Times New Roman"/>
                <w:iCs/>
                <w:sz w:val="24"/>
                <w:szCs w:val="24"/>
              </w:rPr>
              <w:t>Ministru kabineta noteikumu projektu par grozījumiem Ministru kabineta 2016. gada 5. jūlija noteikumos Nr. 447 “Par valsts budžeta mērķdotāciju pedagogu darba samaksai pa</w:t>
            </w:r>
            <w:r w:rsidRPr="005033E8">
              <w:rPr>
                <w:rFonts w:ascii="Times New Roman" w:hAnsi="Times New Roman"/>
                <w:iCs/>
                <w:sz w:val="24"/>
                <w:szCs w:val="24"/>
              </w:rPr>
              <w:t>švaldību vispārējās izglītības iestādēs un valsts augstskolu vispārējās vidējās izglītības iestādēs”, precizējot tajā lietoto terminoloģiju attiec</w:t>
            </w:r>
            <w:r w:rsidRPr="006A6AAA">
              <w:rPr>
                <w:rFonts w:ascii="Times New Roman" w:hAnsi="Times New Roman"/>
                <w:iCs/>
                <w:sz w:val="24"/>
                <w:szCs w:val="24"/>
              </w:rPr>
              <w:t>ībā uz izglītības ieguves formām;</w:t>
            </w:r>
          </w:p>
          <w:p w14:paraId="10B846F1" w14:textId="5A7B7EBD" w:rsidR="00924E07" w:rsidRPr="008F378D" w:rsidRDefault="00924E07" w:rsidP="00924E07">
            <w:pPr>
              <w:pStyle w:val="NoSpacing"/>
              <w:jc w:val="both"/>
              <w:rPr>
                <w:rFonts w:ascii="Times New Roman" w:hAnsi="Times New Roman"/>
                <w:sz w:val="24"/>
                <w:szCs w:val="24"/>
              </w:rPr>
            </w:pPr>
            <w:r>
              <w:rPr>
                <w:rFonts w:ascii="Times New Roman" w:hAnsi="Times New Roman"/>
                <w:iCs/>
                <w:sz w:val="24"/>
                <w:szCs w:val="24"/>
              </w:rPr>
              <w:t xml:space="preserve">3) </w:t>
            </w:r>
            <w:r w:rsidRPr="00924E07">
              <w:rPr>
                <w:rFonts w:ascii="Times New Roman" w:hAnsi="Times New Roman"/>
                <w:iCs/>
                <w:sz w:val="24"/>
                <w:szCs w:val="24"/>
              </w:rPr>
              <w:t>Ministru kabineta noteikumu projektu par grozījumiem Ministru kabineta 2017. gada 16. jūnija noteikumos Nr. 322 “Noteikumi par Latvijas izglītības klasifikāciju”, precizējot tajā lietoto terminoloģiju attiecībā uz izglīt</w:t>
            </w:r>
            <w:r w:rsidR="009725AF">
              <w:rPr>
                <w:rFonts w:ascii="Times New Roman" w:hAnsi="Times New Roman"/>
                <w:iCs/>
                <w:sz w:val="24"/>
                <w:szCs w:val="24"/>
              </w:rPr>
              <w:t>ības ieguves formām vispārējā izglītībā (</w:t>
            </w:r>
            <w:r w:rsidRPr="005033E8">
              <w:rPr>
                <w:rFonts w:ascii="Times New Roman" w:hAnsi="Times New Roman"/>
                <w:iCs/>
                <w:sz w:val="24"/>
                <w:szCs w:val="24"/>
              </w:rPr>
              <w:t>izslēdzot dienas izglītības ieguves formu un vakara (maiņu) izglītības ieguves formu kā atsevi</w:t>
            </w:r>
            <w:r w:rsidRPr="006A6AAA">
              <w:rPr>
                <w:rFonts w:ascii="Times New Roman" w:hAnsi="Times New Roman"/>
                <w:iCs/>
                <w:sz w:val="24"/>
                <w:szCs w:val="24"/>
              </w:rPr>
              <w:t>šķas formas).</w:t>
            </w:r>
          </w:p>
        </w:tc>
      </w:tr>
      <w:tr w:rsidR="0018339A" w14:paraId="7EC61F00" w14:textId="77777777" w:rsidTr="00540701">
        <w:trPr>
          <w:trHeight w:val="170"/>
        </w:trPr>
        <w:tc>
          <w:tcPr>
            <w:tcW w:w="851" w:type="dxa"/>
            <w:shd w:val="clear" w:color="auto" w:fill="FFFFFF"/>
          </w:tcPr>
          <w:p w14:paraId="2268F2FE" w14:textId="77777777" w:rsidR="0018339A" w:rsidRPr="00EE633B" w:rsidDel="006D20E2" w:rsidRDefault="0018339A" w:rsidP="00540701">
            <w:pPr>
              <w:jc w:val="center"/>
              <w:rPr>
                <w:rFonts w:ascii="Times New Roman" w:hAnsi="Times New Roman"/>
                <w:sz w:val="24"/>
                <w:szCs w:val="24"/>
              </w:rPr>
            </w:pPr>
            <w:r>
              <w:rPr>
                <w:rFonts w:ascii="Times New Roman" w:hAnsi="Times New Roman"/>
                <w:sz w:val="24"/>
                <w:szCs w:val="24"/>
              </w:rPr>
              <w:t>2.</w:t>
            </w:r>
          </w:p>
        </w:tc>
        <w:tc>
          <w:tcPr>
            <w:tcW w:w="1701" w:type="dxa"/>
            <w:shd w:val="clear" w:color="auto" w:fill="FFFFFF"/>
          </w:tcPr>
          <w:p w14:paraId="2F3EB458" w14:textId="77777777" w:rsidR="0018339A" w:rsidRPr="00EE633B" w:rsidDel="006D20E2" w:rsidRDefault="0018339A" w:rsidP="00540701">
            <w:pPr>
              <w:rPr>
                <w:rFonts w:ascii="Times New Roman" w:hAnsi="Times New Roman"/>
                <w:sz w:val="24"/>
                <w:szCs w:val="24"/>
              </w:rPr>
            </w:pPr>
            <w:r>
              <w:rPr>
                <w:rFonts w:ascii="Times New Roman" w:hAnsi="Times New Roman"/>
                <w:sz w:val="24"/>
                <w:szCs w:val="24"/>
              </w:rPr>
              <w:t>Atbildīgā institūcija</w:t>
            </w:r>
          </w:p>
        </w:tc>
        <w:tc>
          <w:tcPr>
            <w:tcW w:w="6804" w:type="dxa"/>
            <w:shd w:val="clear" w:color="auto" w:fill="FFFFFF"/>
          </w:tcPr>
          <w:p w14:paraId="1399650B" w14:textId="03B4E683" w:rsidR="0018339A" w:rsidRPr="00EE633B" w:rsidDel="006D20E2" w:rsidRDefault="0032343F" w:rsidP="00540701">
            <w:pPr>
              <w:jc w:val="both"/>
              <w:rPr>
                <w:rFonts w:ascii="Times New Roman" w:hAnsi="Times New Roman"/>
                <w:sz w:val="24"/>
                <w:szCs w:val="24"/>
              </w:rPr>
            </w:pPr>
            <w:r>
              <w:rPr>
                <w:rFonts w:ascii="Times New Roman" w:hAnsi="Times New Roman"/>
                <w:sz w:val="24"/>
                <w:szCs w:val="24"/>
              </w:rPr>
              <w:t xml:space="preserve">Izglītības un zinātnes ministrija un </w:t>
            </w:r>
            <w:r w:rsidR="0018339A">
              <w:rPr>
                <w:rFonts w:ascii="Times New Roman" w:hAnsi="Times New Roman"/>
                <w:sz w:val="24"/>
                <w:szCs w:val="24"/>
              </w:rPr>
              <w:t>Valsts izglītības satura centrs.</w:t>
            </w:r>
          </w:p>
        </w:tc>
      </w:tr>
      <w:tr w:rsidR="0018339A" w14:paraId="4A000D96" w14:textId="77777777" w:rsidTr="00540701">
        <w:trPr>
          <w:trHeight w:val="170"/>
        </w:trPr>
        <w:tc>
          <w:tcPr>
            <w:tcW w:w="851" w:type="dxa"/>
            <w:shd w:val="clear" w:color="auto" w:fill="FFFFFF"/>
          </w:tcPr>
          <w:p w14:paraId="11A03232" w14:textId="77777777" w:rsidR="0018339A" w:rsidRPr="00EE633B" w:rsidDel="006D20E2" w:rsidRDefault="0018339A" w:rsidP="00540701">
            <w:pPr>
              <w:jc w:val="center"/>
              <w:rPr>
                <w:rFonts w:ascii="Times New Roman" w:hAnsi="Times New Roman"/>
                <w:sz w:val="24"/>
                <w:szCs w:val="24"/>
              </w:rPr>
            </w:pPr>
            <w:r>
              <w:rPr>
                <w:rFonts w:ascii="Times New Roman" w:hAnsi="Times New Roman"/>
                <w:sz w:val="24"/>
                <w:szCs w:val="24"/>
              </w:rPr>
              <w:t>3.</w:t>
            </w:r>
          </w:p>
        </w:tc>
        <w:tc>
          <w:tcPr>
            <w:tcW w:w="1701" w:type="dxa"/>
            <w:shd w:val="clear" w:color="auto" w:fill="FFFFFF"/>
          </w:tcPr>
          <w:p w14:paraId="49B270EB" w14:textId="77777777" w:rsidR="0018339A" w:rsidRPr="00EE633B" w:rsidDel="006D20E2" w:rsidRDefault="0018339A" w:rsidP="00540701">
            <w:pPr>
              <w:rPr>
                <w:rFonts w:ascii="Times New Roman" w:hAnsi="Times New Roman"/>
                <w:sz w:val="24"/>
                <w:szCs w:val="24"/>
              </w:rPr>
            </w:pPr>
            <w:r>
              <w:rPr>
                <w:rFonts w:ascii="Times New Roman" w:hAnsi="Times New Roman"/>
                <w:sz w:val="24"/>
                <w:szCs w:val="24"/>
              </w:rPr>
              <w:t>Cita informācija</w:t>
            </w:r>
          </w:p>
        </w:tc>
        <w:tc>
          <w:tcPr>
            <w:tcW w:w="6804" w:type="dxa"/>
            <w:shd w:val="clear" w:color="auto" w:fill="FFFFFF"/>
          </w:tcPr>
          <w:p w14:paraId="5DA2CF85" w14:textId="77777777" w:rsidR="0018339A" w:rsidRPr="00EE633B" w:rsidDel="006D20E2" w:rsidRDefault="0018339A" w:rsidP="00540701">
            <w:pPr>
              <w:jc w:val="both"/>
              <w:rPr>
                <w:rFonts w:ascii="Times New Roman" w:hAnsi="Times New Roman"/>
                <w:sz w:val="24"/>
                <w:szCs w:val="24"/>
              </w:rPr>
            </w:pPr>
            <w:r>
              <w:rPr>
                <w:rFonts w:ascii="Times New Roman" w:hAnsi="Times New Roman"/>
                <w:sz w:val="24"/>
                <w:szCs w:val="24"/>
              </w:rPr>
              <w:t>Nav</w:t>
            </w:r>
          </w:p>
        </w:tc>
      </w:tr>
    </w:tbl>
    <w:p w14:paraId="7F161F63" w14:textId="77777777" w:rsidR="0018339A" w:rsidRDefault="0018339A" w:rsidP="0018339A">
      <w:pPr>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18339A" w:rsidRPr="00EE633B" w14:paraId="51B17556" w14:textId="77777777" w:rsidTr="00540701">
        <w:tc>
          <w:tcPr>
            <w:tcW w:w="9356" w:type="dxa"/>
            <w:shd w:val="clear" w:color="auto" w:fill="FFFFFF"/>
            <w:vAlign w:val="center"/>
          </w:tcPr>
          <w:p w14:paraId="0EBF0863" w14:textId="77777777" w:rsidR="0018339A" w:rsidRPr="00EE633B" w:rsidRDefault="0018339A" w:rsidP="00540701">
            <w:pPr>
              <w:jc w:val="center"/>
              <w:rPr>
                <w:rFonts w:ascii="Times New Roman" w:hAnsi="Times New Roman"/>
                <w:b/>
                <w:sz w:val="24"/>
                <w:szCs w:val="24"/>
              </w:rPr>
            </w:pPr>
            <w:r w:rsidRPr="00EE633B">
              <w:rPr>
                <w:rFonts w:ascii="Times New Roman" w:hAnsi="Times New Roman"/>
                <w:b/>
                <w:sz w:val="24"/>
                <w:szCs w:val="24"/>
              </w:rPr>
              <w:t>V. Tiesību akta projekta atbilstība Latvijas Republikas starptautiskajām saistībām</w:t>
            </w:r>
          </w:p>
        </w:tc>
      </w:tr>
      <w:tr w:rsidR="0018339A" w14:paraId="39838DE9" w14:textId="77777777" w:rsidTr="00540701">
        <w:tc>
          <w:tcPr>
            <w:tcW w:w="9356" w:type="dxa"/>
            <w:shd w:val="clear" w:color="auto" w:fill="FFFFFF"/>
            <w:vAlign w:val="center"/>
          </w:tcPr>
          <w:p w14:paraId="1FEF4700" w14:textId="77777777" w:rsidR="0018339A" w:rsidRPr="00EE633B" w:rsidRDefault="0018339A" w:rsidP="00540701">
            <w:pPr>
              <w:jc w:val="center"/>
              <w:rPr>
                <w:rFonts w:ascii="Times New Roman" w:hAnsi="Times New Roman"/>
                <w:sz w:val="24"/>
                <w:szCs w:val="24"/>
              </w:rPr>
            </w:pPr>
            <w:r>
              <w:rPr>
                <w:rFonts w:ascii="Times New Roman" w:hAnsi="Times New Roman"/>
                <w:sz w:val="24"/>
                <w:szCs w:val="24"/>
              </w:rPr>
              <w:t>Noteikumu p</w:t>
            </w:r>
            <w:r w:rsidRPr="00EE633B">
              <w:rPr>
                <w:rFonts w:ascii="Times New Roman" w:hAnsi="Times New Roman"/>
                <w:sz w:val="24"/>
                <w:szCs w:val="24"/>
              </w:rPr>
              <w:t>rojekts šo jomu neskar.</w:t>
            </w:r>
          </w:p>
        </w:tc>
      </w:tr>
    </w:tbl>
    <w:p w14:paraId="06E8055B" w14:textId="77777777" w:rsidR="0018339A" w:rsidRDefault="0018339A" w:rsidP="0018339A">
      <w:pPr>
        <w:spacing w:after="0" w:line="240" w:lineRule="auto"/>
        <w:rPr>
          <w:rFonts w:ascii="Times New Roman" w:eastAsia="Times New Roman" w:hAnsi="Times New Roman"/>
          <w:sz w:val="24"/>
          <w:szCs w:val="24"/>
          <w:lang w:eastAsia="lv-LV"/>
        </w:rPr>
      </w:pPr>
    </w:p>
    <w:p w14:paraId="0E222225" w14:textId="77777777" w:rsidR="0018339A" w:rsidRPr="008D1690" w:rsidRDefault="0018339A" w:rsidP="0018339A">
      <w:pPr>
        <w:spacing w:after="0" w:line="240" w:lineRule="auto"/>
        <w:rPr>
          <w:rFonts w:ascii="Times New Roman" w:eastAsia="Times New Roman" w:hAnsi="Times New Roman"/>
          <w:vanish/>
          <w:sz w:val="24"/>
          <w:szCs w:val="24"/>
          <w:lang w:eastAsia="lv-LV"/>
        </w:rPr>
      </w:pPr>
    </w:p>
    <w:p w14:paraId="4E848DC1" w14:textId="77777777" w:rsidR="0018339A" w:rsidRPr="008D1690" w:rsidRDefault="0018339A" w:rsidP="0018339A">
      <w:pPr>
        <w:spacing w:after="0" w:line="240" w:lineRule="auto"/>
        <w:rPr>
          <w:rFonts w:ascii="Times New Roman" w:eastAsia="Times New Roman" w:hAnsi="Times New Roman"/>
          <w:i/>
          <w:sz w:val="24"/>
          <w:szCs w:val="24"/>
          <w:lang w:eastAsia="lv-LV"/>
        </w:rPr>
      </w:pPr>
    </w:p>
    <w:p w14:paraId="4E3EF450" w14:textId="77777777" w:rsidR="0018339A" w:rsidRPr="008D1690" w:rsidRDefault="0018339A" w:rsidP="0018339A">
      <w:pPr>
        <w:spacing w:after="0" w:line="240" w:lineRule="auto"/>
        <w:rPr>
          <w:rFonts w:ascii="Times New Roman" w:eastAsia="Times New Roman" w:hAnsi="Times New Roman"/>
          <w:vanish/>
          <w:sz w:val="24"/>
          <w:szCs w:val="24"/>
          <w:lang w:eastAsia="lv-LV"/>
        </w:rPr>
      </w:pPr>
    </w:p>
    <w:tbl>
      <w:tblPr>
        <w:tblW w:w="5144" w:type="pct"/>
        <w:tblInd w:w="-15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21"/>
        <w:gridCol w:w="1973"/>
        <w:gridCol w:w="6622"/>
      </w:tblGrid>
      <w:tr w:rsidR="0018339A" w:rsidRPr="008D1690" w14:paraId="188221FB" w14:textId="77777777" w:rsidTr="00540701">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02F7AAD" w14:textId="77777777" w:rsidR="0018339A" w:rsidRPr="008D1690" w:rsidRDefault="0018339A" w:rsidP="00540701">
            <w:pPr>
              <w:spacing w:after="0"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VI. Sabiedrības līdzdalība un komunikācijas aktivitātes</w:t>
            </w:r>
          </w:p>
        </w:tc>
      </w:tr>
      <w:tr w:rsidR="0018339A" w:rsidRPr="008D1690" w14:paraId="21167858" w14:textId="77777777" w:rsidTr="00540701">
        <w:trPr>
          <w:trHeight w:val="540"/>
        </w:trPr>
        <w:tc>
          <w:tcPr>
            <w:tcW w:w="387" w:type="pct"/>
            <w:tcBorders>
              <w:top w:val="outset" w:sz="6" w:space="0" w:color="414142"/>
              <w:left w:val="outset" w:sz="6" w:space="0" w:color="414142"/>
              <w:bottom w:val="outset" w:sz="6" w:space="0" w:color="414142"/>
              <w:right w:val="outset" w:sz="6" w:space="0" w:color="414142"/>
            </w:tcBorders>
            <w:hideMark/>
          </w:tcPr>
          <w:p w14:paraId="535E5992"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1.</w:t>
            </w:r>
          </w:p>
        </w:tc>
        <w:tc>
          <w:tcPr>
            <w:tcW w:w="1059" w:type="pct"/>
            <w:tcBorders>
              <w:top w:val="outset" w:sz="6" w:space="0" w:color="414142"/>
              <w:left w:val="outset" w:sz="6" w:space="0" w:color="414142"/>
              <w:bottom w:val="outset" w:sz="6" w:space="0" w:color="414142"/>
              <w:right w:val="outset" w:sz="6" w:space="0" w:color="414142"/>
            </w:tcBorders>
            <w:hideMark/>
          </w:tcPr>
          <w:p w14:paraId="659F2980"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Plānotās sabiedrības līdzdalības un komunikācijas aktivitātes saistībā ar projektu</w:t>
            </w:r>
          </w:p>
        </w:tc>
        <w:tc>
          <w:tcPr>
            <w:tcW w:w="3554" w:type="pct"/>
            <w:tcBorders>
              <w:top w:val="outset" w:sz="6" w:space="0" w:color="414142"/>
              <w:left w:val="outset" w:sz="6" w:space="0" w:color="414142"/>
              <w:bottom w:val="outset" w:sz="6" w:space="0" w:color="414142"/>
              <w:right w:val="outset" w:sz="6" w:space="0" w:color="414142"/>
            </w:tcBorders>
            <w:hideMark/>
          </w:tcPr>
          <w:p w14:paraId="2608102F" w14:textId="77777777" w:rsidR="0018339A" w:rsidRDefault="0018339A" w:rsidP="00540701">
            <w:pPr>
              <w:pStyle w:val="naiskr"/>
              <w:spacing w:before="0" w:after="0"/>
              <w:ind w:right="57"/>
              <w:jc w:val="both"/>
            </w:pPr>
            <w:r>
              <w:t xml:space="preserve">Noteikumu projekts ir izstrādāts, </w:t>
            </w:r>
            <w:r w:rsidR="007D39EB">
              <w:t xml:space="preserve">sadarbojoties </w:t>
            </w:r>
            <w:r>
              <w:t xml:space="preserve">ar izglītības iestāžu, kuras īsteno vispārējās izglītības programmas neklātienes un tālmācības izglītības ieguves formā, </w:t>
            </w:r>
            <w:r w:rsidR="007D39EB">
              <w:t>direktoriem un direktoru vietniekiem</w:t>
            </w:r>
            <w:r w:rsidR="008F378D">
              <w:t xml:space="preserve"> mācību darbā</w:t>
            </w:r>
            <w:r>
              <w:t>.</w:t>
            </w:r>
          </w:p>
          <w:p w14:paraId="1E619825" w14:textId="77777777" w:rsidR="0018339A" w:rsidRPr="00F42175" w:rsidRDefault="0018339A" w:rsidP="00540701">
            <w:pPr>
              <w:pStyle w:val="naiskr"/>
              <w:spacing w:before="0" w:after="0"/>
              <w:ind w:right="57"/>
              <w:jc w:val="both"/>
              <w:rPr>
                <w:highlight w:val="green"/>
              </w:rPr>
            </w:pPr>
            <w:r>
              <w:t>Informācija par noteikumu projekta plānoto izveidi sniegta republikas pilsētu un novadu izglītības pārvalžu atbildīgajiem speciālistiem 2018. gada 8. novembrī.</w:t>
            </w:r>
          </w:p>
        </w:tc>
      </w:tr>
      <w:tr w:rsidR="0018339A" w:rsidRPr="008D1690" w14:paraId="5CCD97C9" w14:textId="77777777" w:rsidTr="00540701">
        <w:trPr>
          <w:trHeight w:val="330"/>
        </w:trPr>
        <w:tc>
          <w:tcPr>
            <w:tcW w:w="387" w:type="pct"/>
            <w:tcBorders>
              <w:top w:val="outset" w:sz="6" w:space="0" w:color="414142"/>
              <w:left w:val="outset" w:sz="6" w:space="0" w:color="414142"/>
              <w:bottom w:val="outset" w:sz="6" w:space="0" w:color="414142"/>
              <w:right w:val="outset" w:sz="6" w:space="0" w:color="414142"/>
            </w:tcBorders>
            <w:hideMark/>
          </w:tcPr>
          <w:p w14:paraId="76138495"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1059" w:type="pct"/>
            <w:tcBorders>
              <w:top w:val="outset" w:sz="6" w:space="0" w:color="414142"/>
              <w:left w:val="outset" w:sz="6" w:space="0" w:color="414142"/>
              <w:bottom w:val="outset" w:sz="6" w:space="0" w:color="414142"/>
              <w:right w:val="outset" w:sz="6" w:space="0" w:color="414142"/>
            </w:tcBorders>
            <w:hideMark/>
          </w:tcPr>
          <w:p w14:paraId="65D2464E"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Sabiedrības līdzdalība projekta izstrādē</w:t>
            </w:r>
          </w:p>
        </w:tc>
        <w:tc>
          <w:tcPr>
            <w:tcW w:w="3554" w:type="pct"/>
            <w:tcBorders>
              <w:top w:val="outset" w:sz="6" w:space="0" w:color="414142"/>
              <w:left w:val="outset" w:sz="6" w:space="0" w:color="414142"/>
              <w:bottom w:val="outset" w:sz="6" w:space="0" w:color="414142"/>
              <w:right w:val="outset" w:sz="6" w:space="0" w:color="414142"/>
            </w:tcBorders>
            <w:hideMark/>
          </w:tcPr>
          <w:p w14:paraId="4EE01A0B" w14:textId="77777777" w:rsidR="0018339A" w:rsidRDefault="0018339A" w:rsidP="00540701">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Konsultācijas ar Rīgas Tālmācības vidusskolas, Rīgas 84. vidusskolas un Brocēnu vidusskolas direktoriem un direktoru vietniekiem; </w:t>
            </w:r>
            <w:r w:rsidRPr="00CD464F">
              <w:rPr>
                <w:rFonts w:ascii="Times New Roman" w:eastAsia="Times New Roman" w:hAnsi="Times New Roman"/>
                <w:sz w:val="24"/>
                <w:szCs w:val="24"/>
                <w:lang w:eastAsia="lv-LV"/>
              </w:rPr>
              <w:t>republikas pilsētu un novadu izglītības pārvalžu atbildīgo speciālistu informēšana.</w:t>
            </w:r>
          </w:p>
          <w:p w14:paraId="0653ED91" w14:textId="022C5515" w:rsidR="0018339A" w:rsidRPr="00624F07" w:rsidRDefault="0018339A" w:rsidP="00A972B1">
            <w:pPr>
              <w:pStyle w:val="No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Noteikumu projekts </w:t>
            </w:r>
            <w:r w:rsidRPr="00624F07">
              <w:rPr>
                <w:rFonts w:ascii="Times New Roman" w:eastAsia="Times New Roman" w:hAnsi="Times New Roman"/>
                <w:sz w:val="24"/>
                <w:szCs w:val="24"/>
                <w:lang w:eastAsia="lv-LV"/>
              </w:rPr>
              <w:t>ir ie</w:t>
            </w:r>
            <w:r>
              <w:rPr>
                <w:rFonts w:ascii="Times New Roman" w:eastAsia="Times New Roman" w:hAnsi="Times New Roman"/>
                <w:sz w:val="24"/>
                <w:szCs w:val="24"/>
                <w:lang w:eastAsia="lv-LV"/>
              </w:rPr>
              <w:t>vietots ministrijas</w:t>
            </w:r>
            <w:r w:rsidRPr="00624F07">
              <w:rPr>
                <w:rFonts w:ascii="Times New Roman" w:eastAsia="Times New Roman" w:hAnsi="Times New Roman"/>
                <w:sz w:val="24"/>
                <w:szCs w:val="24"/>
                <w:lang w:eastAsia="lv-LV"/>
              </w:rPr>
              <w:t xml:space="preserve"> mājaslapā</w:t>
            </w:r>
            <w:r>
              <w:rPr>
                <w:rFonts w:ascii="Times New Roman" w:eastAsia="Times New Roman" w:hAnsi="Times New Roman"/>
                <w:sz w:val="24"/>
                <w:szCs w:val="24"/>
                <w:lang w:eastAsia="lv-LV"/>
              </w:rPr>
              <w:t xml:space="preserve"> </w:t>
            </w:r>
            <w:r w:rsidRPr="00912C05">
              <w:rPr>
                <w:rFonts w:ascii="Times New Roman" w:eastAsia="Times New Roman" w:hAnsi="Times New Roman"/>
                <w:sz w:val="24"/>
                <w:szCs w:val="24"/>
                <w:lang w:eastAsia="lv-LV"/>
              </w:rPr>
              <w:t>201</w:t>
            </w:r>
            <w:r>
              <w:rPr>
                <w:rFonts w:ascii="Times New Roman" w:eastAsia="Times New Roman" w:hAnsi="Times New Roman"/>
                <w:sz w:val="24"/>
                <w:szCs w:val="24"/>
                <w:lang w:eastAsia="lv-LV"/>
              </w:rPr>
              <w:t>9</w:t>
            </w:r>
            <w:r w:rsidRPr="00912C05">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A972B1">
              <w:rPr>
                <w:rFonts w:ascii="Times New Roman" w:eastAsia="Times New Roman" w:hAnsi="Times New Roman"/>
                <w:sz w:val="24"/>
                <w:szCs w:val="24"/>
                <w:lang w:eastAsia="lv-LV"/>
              </w:rPr>
              <w:t xml:space="preserve">gada </w:t>
            </w:r>
            <w:r w:rsidR="00A972B1" w:rsidRPr="00A972B1">
              <w:rPr>
                <w:rFonts w:ascii="Times New Roman" w:eastAsia="Times New Roman" w:hAnsi="Times New Roman"/>
                <w:sz w:val="24"/>
                <w:szCs w:val="24"/>
                <w:lang w:eastAsia="lv-LV"/>
              </w:rPr>
              <w:t>18</w:t>
            </w:r>
            <w:r w:rsidRPr="00A972B1">
              <w:rPr>
                <w:rFonts w:ascii="Times New Roman" w:eastAsia="Times New Roman" w:hAnsi="Times New Roman"/>
                <w:sz w:val="24"/>
                <w:szCs w:val="24"/>
                <w:lang w:eastAsia="lv-LV"/>
              </w:rPr>
              <w:t xml:space="preserve">. </w:t>
            </w:r>
            <w:r w:rsidR="00BE4848" w:rsidRPr="00A972B1">
              <w:rPr>
                <w:rFonts w:ascii="Times New Roman" w:eastAsia="Times New Roman" w:hAnsi="Times New Roman"/>
                <w:sz w:val="24"/>
                <w:szCs w:val="24"/>
                <w:lang w:eastAsia="lv-LV"/>
              </w:rPr>
              <w:t>februārī</w:t>
            </w:r>
            <w:r w:rsidRPr="00A972B1">
              <w:rPr>
                <w:rFonts w:ascii="Times New Roman" w:eastAsia="Times New Roman" w:hAnsi="Times New Roman"/>
                <w:sz w:val="24"/>
                <w:szCs w:val="24"/>
                <w:lang w:eastAsia="lv-LV"/>
              </w:rPr>
              <w:t xml:space="preserve"> (pieejams: http://www.izm.gov.lv/lv/sabiedribas-lidzdaliba/sabiedriskajai-apspriesanai-nodotie-normativo-aktu-</w:t>
            </w:r>
            <w:r w:rsidRPr="00186DD5">
              <w:rPr>
                <w:rFonts w:ascii="Times New Roman" w:eastAsia="Times New Roman" w:hAnsi="Times New Roman"/>
                <w:sz w:val="24"/>
                <w:szCs w:val="24"/>
                <w:lang w:eastAsia="lv-LV"/>
              </w:rPr>
              <w:t>projekti</w:t>
            </w:r>
            <w:r>
              <w:rPr>
                <w:rFonts w:ascii="Times New Roman" w:eastAsia="Times New Roman" w:hAnsi="Times New Roman"/>
                <w:sz w:val="24"/>
                <w:szCs w:val="24"/>
                <w:lang w:eastAsia="lv-LV"/>
              </w:rPr>
              <w:t>)</w:t>
            </w:r>
            <w:r w:rsidRPr="00912C05">
              <w:rPr>
                <w:rFonts w:ascii="Times New Roman" w:eastAsia="Times New Roman" w:hAnsi="Times New Roman"/>
                <w:sz w:val="24"/>
                <w:szCs w:val="24"/>
                <w:lang w:eastAsia="lv-LV"/>
              </w:rPr>
              <w:t>.</w:t>
            </w:r>
            <w:r w:rsidRPr="00624F07">
              <w:rPr>
                <w:rFonts w:ascii="Times New Roman" w:eastAsia="Times New Roman" w:hAnsi="Times New Roman"/>
                <w:sz w:val="24"/>
                <w:szCs w:val="24"/>
                <w:lang w:eastAsia="lv-LV"/>
              </w:rPr>
              <w:t xml:space="preserve"> </w:t>
            </w:r>
          </w:p>
        </w:tc>
      </w:tr>
      <w:tr w:rsidR="0018339A" w:rsidRPr="008D1690" w14:paraId="755B1A74" w14:textId="77777777" w:rsidTr="00540701">
        <w:trPr>
          <w:trHeight w:val="465"/>
        </w:trPr>
        <w:tc>
          <w:tcPr>
            <w:tcW w:w="387" w:type="pct"/>
            <w:tcBorders>
              <w:top w:val="outset" w:sz="6" w:space="0" w:color="414142"/>
              <w:left w:val="outset" w:sz="6" w:space="0" w:color="414142"/>
              <w:bottom w:val="outset" w:sz="6" w:space="0" w:color="414142"/>
              <w:right w:val="outset" w:sz="6" w:space="0" w:color="414142"/>
            </w:tcBorders>
            <w:hideMark/>
          </w:tcPr>
          <w:p w14:paraId="5644D821"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3.</w:t>
            </w:r>
          </w:p>
        </w:tc>
        <w:tc>
          <w:tcPr>
            <w:tcW w:w="1059" w:type="pct"/>
            <w:tcBorders>
              <w:top w:val="outset" w:sz="6" w:space="0" w:color="414142"/>
              <w:left w:val="outset" w:sz="6" w:space="0" w:color="414142"/>
              <w:bottom w:val="outset" w:sz="6" w:space="0" w:color="414142"/>
              <w:right w:val="outset" w:sz="6" w:space="0" w:color="414142"/>
            </w:tcBorders>
            <w:hideMark/>
          </w:tcPr>
          <w:p w14:paraId="2A244939"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Sabiedrības līdzdalības rezultāti</w:t>
            </w:r>
          </w:p>
        </w:tc>
        <w:tc>
          <w:tcPr>
            <w:tcW w:w="3554" w:type="pct"/>
            <w:tcBorders>
              <w:top w:val="outset" w:sz="6" w:space="0" w:color="414142"/>
              <w:left w:val="outset" w:sz="6" w:space="0" w:color="414142"/>
              <w:bottom w:val="outset" w:sz="6" w:space="0" w:color="414142"/>
              <w:right w:val="outset" w:sz="6" w:space="0" w:color="414142"/>
            </w:tcBorders>
            <w:hideMark/>
          </w:tcPr>
          <w:p w14:paraId="4D19E460" w14:textId="77777777" w:rsidR="0018339A" w:rsidRPr="00624F07" w:rsidRDefault="0018339A" w:rsidP="00540701">
            <w:pPr>
              <w:pStyle w:val="NoSpacing"/>
              <w:jc w:val="both"/>
              <w:rPr>
                <w:rFonts w:ascii="Times New Roman" w:eastAsia="Times New Roman" w:hAnsi="Times New Roman"/>
                <w:sz w:val="24"/>
                <w:szCs w:val="24"/>
                <w:lang w:eastAsia="lv-LV"/>
              </w:rPr>
            </w:pPr>
            <w:r>
              <w:rPr>
                <w:rFonts w:ascii="Times New Roman" w:hAnsi="Times New Roman"/>
                <w:sz w:val="24"/>
                <w:szCs w:val="24"/>
                <w:lang w:eastAsia="lv-LV"/>
              </w:rPr>
              <w:t>Konsultāciju ar šīs sadaļas 1. un 2. punktā minētajām izglītības iestādēm laikā izteiktie priekšlikumi un iebildumi ņemti vērā, izstrādājot noteikumu projektu. Citi būtiski iebildumi vai priekšlikumi nav izteikti.</w:t>
            </w:r>
          </w:p>
        </w:tc>
      </w:tr>
      <w:tr w:rsidR="0018339A" w:rsidRPr="008D1690" w14:paraId="0B73F313" w14:textId="77777777" w:rsidTr="00540701">
        <w:trPr>
          <w:trHeight w:val="465"/>
        </w:trPr>
        <w:tc>
          <w:tcPr>
            <w:tcW w:w="387" w:type="pct"/>
            <w:tcBorders>
              <w:top w:val="outset" w:sz="6" w:space="0" w:color="414142"/>
              <w:left w:val="outset" w:sz="6" w:space="0" w:color="414142"/>
              <w:bottom w:val="outset" w:sz="6" w:space="0" w:color="414142"/>
              <w:right w:val="outset" w:sz="6" w:space="0" w:color="414142"/>
            </w:tcBorders>
            <w:hideMark/>
          </w:tcPr>
          <w:p w14:paraId="4312BD57"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4.</w:t>
            </w:r>
          </w:p>
        </w:tc>
        <w:tc>
          <w:tcPr>
            <w:tcW w:w="1059" w:type="pct"/>
            <w:tcBorders>
              <w:top w:val="outset" w:sz="6" w:space="0" w:color="414142"/>
              <w:left w:val="outset" w:sz="6" w:space="0" w:color="414142"/>
              <w:bottom w:val="outset" w:sz="6" w:space="0" w:color="414142"/>
              <w:right w:val="outset" w:sz="6" w:space="0" w:color="414142"/>
            </w:tcBorders>
            <w:hideMark/>
          </w:tcPr>
          <w:p w14:paraId="40F68D58"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Cita informācija</w:t>
            </w:r>
          </w:p>
        </w:tc>
        <w:tc>
          <w:tcPr>
            <w:tcW w:w="3554" w:type="pct"/>
            <w:tcBorders>
              <w:top w:val="outset" w:sz="6" w:space="0" w:color="414142"/>
              <w:left w:val="outset" w:sz="6" w:space="0" w:color="414142"/>
              <w:bottom w:val="outset" w:sz="6" w:space="0" w:color="414142"/>
              <w:right w:val="outset" w:sz="6" w:space="0" w:color="414142"/>
            </w:tcBorders>
            <w:hideMark/>
          </w:tcPr>
          <w:p w14:paraId="4D994189" w14:textId="77777777" w:rsidR="0018339A" w:rsidRPr="00624F07" w:rsidRDefault="0018339A" w:rsidP="00540701">
            <w:pPr>
              <w:spacing w:after="0" w:line="240" w:lineRule="auto"/>
              <w:jc w:val="both"/>
              <w:rPr>
                <w:rFonts w:ascii="Times New Roman" w:eastAsia="Times New Roman" w:hAnsi="Times New Roman"/>
                <w:sz w:val="24"/>
                <w:szCs w:val="24"/>
                <w:lang w:eastAsia="lv-LV"/>
              </w:rPr>
            </w:pPr>
            <w:r w:rsidRPr="00624F07">
              <w:rPr>
                <w:rFonts w:ascii="Times New Roman" w:eastAsia="Times New Roman" w:hAnsi="Times New Roman"/>
                <w:sz w:val="24"/>
                <w:szCs w:val="24"/>
                <w:lang w:eastAsia="lv-LV"/>
              </w:rPr>
              <w:t>Nav</w:t>
            </w:r>
          </w:p>
        </w:tc>
      </w:tr>
    </w:tbl>
    <w:p w14:paraId="7A40CC42" w14:textId="77777777" w:rsidR="0018339A" w:rsidRPr="008D1690" w:rsidRDefault="0018339A" w:rsidP="0018339A">
      <w:pPr>
        <w:spacing w:after="0" w:line="240" w:lineRule="auto"/>
        <w:rPr>
          <w:rFonts w:ascii="Times New Roman" w:eastAsia="Times New Roman" w:hAnsi="Times New Roman"/>
          <w:sz w:val="24"/>
          <w:szCs w:val="24"/>
          <w:lang w:eastAsia="lv-LV"/>
        </w:rPr>
      </w:pPr>
    </w:p>
    <w:p w14:paraId="22E8EE33" w14:textId="77777777" w:rsidR="0018339A" w:rsidRPr="008D1690" w:rsidRDefault="0018339A" w:rsidP="0018339A">
      <w:pPr>
        <w:spacing w:after="0" w:line="240" w:lineRule="auto"/>
        <w:rPr>
          <w:rFonts w:ascii="Times New Roman" w:eastAsia="Times New Roman" w:hAnsi="Times New Roman"/>
          <w:sz w:val="24"/>
          <w:szCs w:val="24"/>
          <w:lang w:eastAsia="lv-LV"/>
        </w:rPr>
      </w:pPr>
    </w:p>
    <w:tbl>
      <w:tblPr>
        <w:tblW w:w="514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18"/>
        <w:gridCol w:w="1977"/>
        <w:gridCol w:w="6623"/>
      </w:tblGrid>
      <w:tr w:rsidR="0018339A" w:rsidRPr="008D1690" w14:paraId="6A39411A" w14:textId="77777777" w:rsidTr="00540701">
        <w:trPr>
          <w:trHeight w:val="375"/>
        </w:trPr>
        <w:tc>
          <w:tcPr>
            <w:tcW w:w="5000" w:type="pct"/>
            <w:gridSpan w:val="3"/>
            <w:vAlign w:val="center"/>
            <w:hideMark/>
          </w:tcPr>
          <w:p w14:paraId="5D06D57F" w14:textId="77777777" w:rsidR="0018339A" w:rsidRPr="008D1690" w:rsidRDefault="0018339A" w:rsidP="00540701">
            <w:pPr>
              <w:spacing w:after="0" w:line="240" w:lineRule="auto"/>
              <w:ind w:firstLine="300"/>
              <w:jc w:val="center"/>
              <w:rPr>
                <w:rFonts w:ascii="Times New Roman" w:eastAsia="Times New Roman" w:hAnsi="Times New Roman"/>
                <w:b/>
                <w:bCs/>
                <w:sz w:val="24"/>
                <w:szCs w:val="24"/>
                <w:lang w:eastAsia="lv-LV"/>
              </w:rPr>
            </w:pPr>
            <w:r w:rsidRPr="008D1690">
              <w:rPr>
                <w:rFonts w:ascii="Times New Roman" w:eastAsia="Times New Roman" w:hAnsi="Times New Roman"/>
                <w:b/>
                <w:bCs/>
                <w:sz w:val="24"/>
                <w:szCs w:val="24"/>
                <w:lang w:eastAsia="lv-LV"/>
              </w:rPr>
              <w:t>VII. Tiesību akta projekta izpildes nodrošināšana un tās ietekme uz institūcijām</w:t>
            </w:r>
          </w:p>
        </w:tc>
      </w:tr>
      <w:tr w:rsidR="0018339A" w:rsidRPr="008D1690" w14:paraId="09918A94" w14:textId="77777777" w:rsidTr="00540701">
        <w:trPr>
          <w:trHeight w:val="420"/>
        </w:trPr>
        <w:tc>
          <w:tcPr>
            <w:tcW w:w="385" w:type="pct"/>
            <w:hideMark/>
          </w:tcPr>
          <w:p w14:paraId="318365BA" w14:textId="77777777" w:rsidR="0018339A" w:rsidRPr="008D1690" w:rsidRDefault="0018339A" w:rsidP="00540701">
            <w:pPr>
              <w:pStyle w:val="NoSpacing"/>
              <w:jc w:val="center"/>
              <w:rPr>
                <w:rFonts w:ascii="Times New Roman" w:hAnsi="Times New Roman"/>
                <w:sz w:val="24"/>
                <w:szCs w:val="24"/>
                <w:lang w:eastAsia="lv-LV"/>
              </w:rPr>
            </w:pPr>
            <w:r w:rsidRPr="008D1690">
              <w:rPr>
                <w:rFonts w:ascii="Times New Roman" w:hAnsi="Times New Roman"/>
                <w:sz w:val="24"/>
                <w:szCs w:val="24"/>
                <w:lang w:eastAsia="lv-LV"/>
              </w:rPr>
              <w:t>1.</w:t>
            </w:r>
          </w:p>
        </w:tc>
        <w:tc>
          <w:tcPr>
            <w:tcW w:w="1061" w:type="pct"/>
            <w:hideMark/>
          </w:tcPr>
          <w:p w14:paraId="18E25DE6" w14:textId="77777777" w:rsidR="0018339A" w:rsidRPr="008D1690" w:rsidRDefault="0018339A" w:rsidP="00540701">
            <w:pPr>
              <w:pStyle w:val="NoSpacing"/>
              <w:jc w:val="both"/>
              <w:rPr>
                <w:rFonts w:ascii="Times New Roman" w:hAnsi="Times New Roman"/>
                <w:sz w:val="24"/>
                <w:szCs w:val="24"/>
                <w:lang w:eastAsia="lv-LV"/>
              </w:rPr>
            </w:pPr>
            <w:r w:rsidRPr="008D1690">
              <w:rPr>
                <w:rFonts w:ascii="Times New Roman" w:hAnsi="Times New Roman"/>
                <w:sz w:val="24"/>
                <w:szCs w:val="24"/>
                <w:lang w:eastAsia="lv-LV"/>
              </w:rPr>
              <w:t>Projekta izpildē iesaistītās institūcijas</w:t>
            </w:r>
          </w:p>
        </w:tc>
        <w:tc>
          <w:tcPr>
            <w:tcW w:w="3554" w:type="pct"/>
            <w:hideMark/>
          </w:tcPr>
          <w:p w14:paraId="3F39056A" w14:textId="77777777" w:rsidR="0018339A" w:rsidRPr="005075FD" w:rsidRDefault="0018339A" w:rsidP="00540701">
            <w:pPr>
              <w:pStyle w:val="NoSpacing"/>
              <w:jc w:val="both"/>
              <w:rPr>
                <w:rFonts w:ascii="Times New Roman" w:hAnsi="Times New Roman"/>
                <w:sz w:val="24"/>
                <w:szCs w:val="24"/>
                <w:lang w:eastAsia="lv-LV"/>
              </w:rPr>
            </w:pPr>
            <w:r w:rsidRPr="005075FD">
              <w:rPr>
                <w:rFonts w:ascii="Times New Roman" w:hAnsi="Times New Roman"/>
                <w:sz w:val="24"/>
                <w:szCs w:val="24"/>
              </w:rPr>
              <w:t xml:space="preserve">Izglītības un zinātnes </w:t>
            </w:r>
            <w:r>
              <w:rPr>
                <w:rFonts w:ascii="Times New Roman" w:hAnsi="Times New Roman"/>
                <w:sz w:val="24"/>
                <w:szCs w:val="24"/>
              </w:rPr>
              <w:t>ministrija un izglītības iestādes, kuras īstenos vispārējās izglītības programmas neklātienes un tālmācības izglītības ieguves formā.</w:t>
            </w:r>
          </w:p>
        </w:tc>
      </w:tr>
      <w:tr w:rsidR="0018339A" w:rsidRPr="007D4165" w14:paraId="519F8103" w14:textId="77777777" w:rsidTr="00540701">
        <w:trPr>
          <w:trHeight w:val="450"/>
        </w:trPr>
        <w:tc>
          <w:tcPr>
            <w:tcW w:w="385" w:type="pct"/>
            <w:hideMark/>
          </w:tcPr>
          <w:p w14:paraId="2F7E05CA" w14:textId="77777777" w:rsidR="0018339A" w:rsidRPr="008D1690" w:rsidRDefault="0018339A" w:rsidP="00540701">
            <w:pPr>
              <w:spacing w:after="0" w:line="240" w:lineRule="auto"/>
              <w:jc w:val="center"/>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2.</w:t>
            </w:r>
          </w:p>
        </w:tc>
        <w:tc>
          <w:tcPr>
            <w:tcW w:w="1061" w:type="pct"/>
            <w:hideMark/>
          </w:tcPr>
          <w:p w14:paraId="10B0EECD"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 xml:space="preserve">Projekta izpildes ietekme uz pārvaldes funkcijām un institucionālo struktūru. </w:t>
            </w:r>
          </w:p>
          <w:p w14:paraId="6EC5EED5" w14:textId="77777777" w:rsidR="0018339A" w:rsidRPr="008D1690" w:rsidRDefault="0018339A" w:rsidP="00540701">
            <w:pPr>
              <w:spacing w:after="0" w:line="240" w:lineRule="auto"/>
              <w:rPr>
                <w:rFonts w:ascii="Times New Roman" w:eastAsia="Times New Roman" w:hAnsi="Times New Roman"/>
                <w:sz w:val="24"/>
                <w:szCs w:val="24"/>
                <w:lang w:eastAsia="lv-LV"/>
              </w:rPr>
            </w:pPr>
            <w:r w:rsidRPr="008D1690">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554" w:type="pct"/>
            <w:hideMark/>
          </w:tcPr>
          <w:p w14:paraId="3A6862B5" w14:textId="77777777" w:rsidR="0018339A" w:rsidRPr="005075FD" w:rsidRDefault="0018339A" w:rsidP="00540701">
            <w:pPr>
              <w:pStyle w:val="NoSpacing"/>
              <w:jc w:val="both"/>
              <w:rPr>
                <w:rFonts w:ascii="Times New Roman" w:eastAsia="Times New Roman" w:hAnsi="Times New Roman"/>
                <w:sz w:val="24"/>
                <w:szCs w:val="24"/>
                <w:lang w:eastAsia="lv-LV"/>
              </w:rPr>
            </w:pPr>
            <w:bookmarkStart w:id="1" w:name="p67"/>
            <w:bookmarkStart w:id="2" w:name="p-468680"/>
            <w:bookmarkEnd w:id="1"/>
            <w:bookmarkEnd w:id="2"/>
            <w:r w:rsidRPr="00B1622C">
              <w:rPr>
                <w:rFonts w:ascii="Times New Roman" w:eastAsia="Times New Roman" w:hAnsi="Times New Roman"/>
                <w:sz w:val="24"/>
                <w:szCs w:val="24"/>
                <w:lang w:eastAsia="lv-LV"/>
              </w:rPr>
              <w:t>Projekts tiešā veidā nenosaka jaunu institūciju izveidi vai esošo iestāžu likvidāciju vai reorganizāciju.</w:t>
            </w:r>
          </w:p>
        </w:tc>
      </w:tr>
      <w:tr w:rsidR="0018339A" w:rsidRPr="007D4165" w14:paraId="0B30323B" w14:textId="77777777" w:rsidTr="00540701">
        <w:trPr>
          <w:trHeight w:val="390"/>
        </w:trPr>
        <w:tc>
          <w:tcPr>
            <w:tcW w:w="385" w:type="pct"/>
            <w:hideMark/>
          </w:tcPr>
          <w:p w14:paraId="6F251FF6" w14:textId="77777777" w:rsidR="0018339A" w:rsidRPr="007D4165" w:rsidRDefault="0018339A" w:rsidP="00540701">
            <w:pPr>
              <w:spacing w:after="0" w:line="240" w:lineRule="auto"/>
              <w:jc w:val="center"/>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3.</w:t>
            </w:r>
          </w:p>
        </w:tc>
        <w:tc>
          <w:tcPr>
            <w:tcW w:w="1061" w:type="pct"/>
            <w:hideMark/>
          </w:tcPr>
          <w:p w14:paraId="7E481254" w14:textId="77777777" w:rsidR="0018339A" w:rsidRPr="007D4165" w:rsidRDefault="0018339A" w:rsidP="00540701">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Cita informācija</w:t>
            </w:r>
          </w:p>
        </w:tc>
        <w:tc>
          <w:tcPr>
            <w:tcW w:w="3554" w:type="pct"/>
            <w:hideMark/>
          </w:tcPr>
          <w:p w14:paraId="2DF42B5C" w14:textId="77777777" w:rsidR="0018339A" w:rsidRPr="007D4165" w:rsidRDefault="0018339A" w:rsidP="00540701">
            <w:pPr>
              <w:spacing w:after="0" w:line="240" w:lineRule="auto"/>
              <w:rPr>
                <w:rFonts w:ascii="Times New Roman" w:eastAsia="Times New Roman" w:hAnsi="Times New Roman"/>
                <w:sz w:val="24"/>
                <w:szCs w:val="24"/>
                <w:lang w:eastAsia="lv-LV"/>
              </w:rPr>
            </w:pPr>
            <w:r w:rsidRPr="007D4165">
              <w:rPr>
                <w:rFonts w:ascii="Times New Roman" w:eastAsia="Times New Roman" w:hAnsi="Times New Roman"/>
                <w:sz w:val="24"/>
                <w:szCs w:val="24"/>
                <w:lang w:eastAsia="lv-LV"/>
              </w:rPr>
              <w:t>Nav</w:t>
            </w:r>
          </w:p>
        </w:tc>
      </w:tr>
    </w:tbl>
    <w:p w14:paraId="5303B1B0" w14:textId="77777777" w:rsidR="0018339A" w:rsidRDefault="0018339A" w:rsidP="0018339A">
      <w:pPr>
        <w:spacing w:after="0" w:line="240" w:lineRule="auto"/>
        <w:rPr>
          <w:rFonts w:ascii="Times New Roman" w:hAnsi="Times New Roman"/>
          <w:sz w:val="24"/>
          <w:szCs w:val="24"/>
        </w:rPr>
      </w:pPr>
    </w:p>
    <w:p w14:paraId="4FC485E0" w14:textId="77777777" w:rsidR="0018339A" w:rsidRPr="007D4165" w:rsidRDefault="0018339A" w:rsidP="0018339A">
      <w:pPr>
        <w:spacing w:after="0" w:line="240" w:lineRule="auto"/>
        <w:rPr>
          <w:rFonts w:ascii="Times New Roman" w:hAnsi="Times New Roman"/>
          <w:sz w:val="24"/>
          <w:szCs w:val="24"/>
        </w:rPr>
      </w:pPr>
    </w:p>
    <w:p w14:paraId="33F34366" w14:textId="77777777" w:rsidR="00BE4848" w:rsidRDefault="00BE4848" w:rsidP="0018339A">
      <w:pPr>
        <w:pStyle w:val="NoSpacing"/>
        <w:rPr>
          <w:rFonts w:ascii="Times New Roman" w:hAnsi="Times New Roman"/>
          <w:sz w:val="24"/>
          <w:szCs w:val="24"/>
        </w:rPr>
      </w:pPr>
    </w:p>
    <w:p w14:paraId="166D61EB" w14:textId="77777777" w:rsidR="00BE4848" w:rsidRDefault="00BE4848" w:rsidP="0018339A">
      <w:pPr>
        <w:pStyle w:val="NoSpacing"/>
        <w:rPr>
          <w:rFonts w:ascii="Times New Roman" w:hAnsi="Times New Roman"/>
          <w:sz w:val="24"/>
          <w:szCs w:val="24"/>
        </w:rPr>
      </w:pPr>
    </w:p>
    <w:p w14:paraId="7D52413E" w14:textId="77777777" w:rsidR="00BE4848" w:rsidRDefault="00BE4848" w:rsidP="0018339A">
      <w:pPr>
        <w:pStyle w:val="NoSpacing"/>
        <w:rPr>
          <w:rFonts w:ascii="Times New Roman" w:hAnsi="Times New Roman"/>
          <w:sz w:val="24"/>
          <w:szCs w:val="24"/>
        </w:rPr>
      </w:pPr>
    </w:p>
    <w:p w14:paraId="4150D384" w14:textId="77777777" w:rsidR="0018339A" w:rsidRDefault="0018339A" w:rsidP="0018339A">
      <w:pPr>
        <w:pStyle w:val="NoSpacing"/>
        <w:rPr>
          <w:rFonts w:ascii="Times New Roman" w:hAnsi="Times New Roman"/>
          <w:sz w:val="24"/>
          <w:szCs w:val="24"/>
        </w:rPr>
      </w:pPr>
      <w:r>
        <w:rPr>
          <w:rFonts w:ascii="Times New Roman" w:hAnsi="Times New Roman"/>
          <w:sz w:val="24"/>
          <w:szCs w:val="24"/>
        </w:rPr>
        <w:t>Iesniedzējs:</w:t>
      </w:r>
    </w:p>
    <w:p w14:paraId="54CF536E" w14:textId="77777777" w:rsidR="0018339A" w:rsidRDefault="0018339A" w:rsidP="0018339A">
      <w:pPr>
        <w:pStyle w:val="NoSpacing"/>
        <w:ind w:firstLine="720"/>
        <w:rPr>
          <w:rFonts w:ascii="Times New Roman" w:hAnsi="Times New Roman"/>
          <w:sz w:val="24"/>
          <w:szCs w:val="24"/>
        </w:rPr>
      </w:pPr>
    </w:p>
    <w:p w14:paraId="30C0930E" w14:textId="3554FD76" w:rsidR="0018339A" w:rsidRPr="007D4165" w:rsidRDefault="00E71EAE" w:rsidP="0018339A">
      <w:pPr>
        <w:pStyle w:val="NoSpacing"/>
        <w:rPr>
          <w:rFonts w:ascii="Times New Roman" w:hAnsi="Times New Roman"/>
          <w:sz w:val="24"/>
          <w:szCs w:val="24"/>
        </w:rPr>
      </w:pPr>
      <w:r>
        <w:rPr>
          <w:rFonts w:ascii="Times New Roman" w:hAnsi="Times New Roman"/>
          <w:sz w:val="24"/>
          <w:szCs w:val="24"/>
        </w:rPr>
        <w:t>Izglītības un zinātnes ministre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2701F8">
        <w:rPr>
          <w:rFonts w:ascii="Times New Roman" w:hAnsi="Times New Roman"/>
          <w:sz w:val="24"/>
          <w:szCs w:val="24"/>
        </w:rPr>
        <w:t>I.</w:t>
      </w:r>
      <w:r w:rsidRPr="00E71EAE">
        <w:rPr>
          <w:rFonts w:ascii="Times New Roman" w:hAnsi="Times New Roman"/>
          <w:sz w:val="24"/>
          <w:szCs w:val="24"/>
        </w:rPr>
        <w:t>Šuplinska</w:t>
      </w:r>
      <w:proofErr w:type="spellEnd"/>
      <w:r w:rsidR="0018339A" w:rsidRPr="007D4165">
        <w:rPr>
          <w:rFonts w:ascii="Times New Roman" w:hAnsi="Times New Roman"/>
          <w:sz w:val="24"/>
          <w:szCs w:val="24"/>
        </w:rPr>
        <w:tab/>
      </w:r>
      <w:r w:rsidR="0018339A" w:rsidRPr="007D4165">
        <w:rPr>
          <w:rFonts w:ascii="Times New Roman" w:hAnsi="Times New Roman"/>
          <w:sz w:val="24"/>
          <w:szCs w:val="24"/>
        </w:rPr>
        <w:tab/>
      </w:r>
      <w:r w:rsidR="0018339A" w:rsidRPr="007D4165">
        <w:rPr>
          <w:rFonts w:ascii="Times New Roman" w:hAnsi="Times New Roman"/>
          <w:sz w:val="24"/>
          <w:szCs w:val="24"/>
        </w:rPr>
        <w:tab/>
      </w:r>
      <w:r w:rsidR="0018339A" w:rsidRPr="007D4165">
        <w:rPr>
          <w:rFonts w:ascii="Times New Roman" w:hAnsi="Times New Roman"/>
          <w:sz w:val="24"/>
          <w:szCs w:val="24"/>
        </w:rPr>
        <w:tab/>
      </w:r>
      <w:r w:rsidR="0018339A">
        <w:rPr>
          <w:rFonts w:ascii="Times New Roman" w:hAnsi="Times New Roman"/>
          <w:sz w:val="24"/>
          <w:szCs w:val="24"/>
        </w:rPr>
        <w:tab/>
      </w:r>
    </w:p>
    <w:p w14:paraId="66D64FBC" w14:textId="77777777" w:rsidR="0018339A" w:rsidRPr="007D4165" w:rsidRDefault="0018339A" w:rsidP="0018339A">
      <w:pPr>
        <w:pStyle w:val="NoSpacing"/>
        <w:rPr>
          <w:rFonts w:ascii="Times New Roman" w:hAnsi="Times New Roman"/>
          <w:sz w:val="24"/>
          <w:szCs w:val="24"/>
        </w:rPr>
      </w:pPr>
    </w:p>
    <w:p w14:paraId="46BDBC5C" w14:textId="77777777" w:rsidR="0018339A" w:rsidRDefault="0018339A" w:rsidP="0018339A">
      <w:pPr>
        <w:pStyle w:val="NoSpacing"/>
        <w:rPr>
          <w:rFonts w:ascii="Times New Roman" w:hAnsi="Times New Roman"/>
          <w:sz w:val="24"/>
          <w:szCs w:val="24"/>
        </w:rPr>
      </w:pPr>
      <w:r>
        <w:rPr>
          <w:rFonts w:ascii="Times New Roman" w:hAnsi="Times New Roman"/>
          <w:sz w:val="24"/>
          <w:szCs w:val="24"/>
        </w:rPr>
        <w:t>Vizē:</w:t>
      </w:r>
    </w:p>
    <w:p w14:paraId="77EFDFD3" w14:textId="77777777" w:rsidR="0018339A" w:rsidRDefault="0018339A" w:rsidP="0018339A">
      <w:pPr>
        <w:pStyle w:val="NoSpacing"/>
        <w:ind w:firstLine="720"/>
        <w:rPr>
          <w:rFonts w:ascii="Times New Roman" w:hAnsi="Times New Roman"/>
          <w:sz w:val="24"/>
          <w:szCs w:val="24"/>
        </w:rPr>
      </w:pPr>
    </w:p>
    <w:p w14:paraId="47493072" w14:textId="5AD9CDA1" w:rsidR="0051550A" w:rsidRDefault="0018339A" w:rsidP="00E71EAE">
      <w:pPr>
        <w:pStyle w:val="NoSpacing"/>
        <w:rPr>
          <w:rFonts w:ascii="Times New Roman" w:hAnsi="Times New Roman"/>
          <w:sz w:val="24"/>
          <w:szCs w:val="24"/>
        </w:rPr>
      </w:pPr>
      <w:r>
        <w:rPr>
          <w:rFonts w:ascii="Times New Roman" w:hAnsi="Times New Roman"/>
          <w:sz w:val="24"/>
          <w:szCs w:val="24"/>
        </w:rPr>
        <w:t>Valsts sekretāre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701F8">
        <w:rPr>
          <w:rFonts w:ascii="Times New Roman" w:hAnsi="Times New Roman"/>
          <w:sz w:val="24"/>
          <w:szCs w:val="24"/>
        </w:rPr>
        <w:t>L.</w:t>
      </w:r>
      <w:r>
        <w:rPr>
          <w:rFonts w:ascii="Times New Roman" w:hAnsi="Times New Roman"/>
          <w:sz w:val="24"/>
          <w:szCs w:val="24"/>
        </w:rPr>
        <w:t>Lejiņa</w:t>
      </w:r>
    </w:p>
    <w:p w14:paraId="37ECB226" w14:textId="77777777" w:rsidR="0051550A" w:rsidRDefault="0051550A" w:rsidP="00E71EAE">
      <w:pPr>
        <w:pStyle w:val="NoSpacing"/>
        <w:rPr>
          <w:rFonts w:ascii="Times New Roman" w:hAnsi="Times New Roman"/>
          <w:sz w:val="24"/>
          <w:szCs w:val="24"/>
        </w:rPr>
      </w:pPr>
    </w:p>
    <w:p w14:paraId="0E7B1E45" w14:textId="77777777" w:rsidR="0051550A" w:rsidRDefault="0051550A" w:rsidP="00E71EAE">
      <w:pPr>
        <w:pStyle w:val="NoSpacing"/>
        <w:rPr>
          <w:rFonts w:ascii="Times New Roman" w:hAnsi="Times New Roman"/>
          <w:sz w:val="24"/>
          <w:szCs w:val="24"/>
        </w:rPr>
      </w:pPr>
    </w:p>
    <w:p w14:paraId="5199B623" w14:textId="77777777" w:rsidR="0018339A" w:rsidRPr="007D4165" w:rsidRDefault="0018339A" w:rsidP="00E71EAE">
      <w:pPr>
        <w:pStyle w:val="NoSpacing"/>
        <w:rPr>
          <w:rFonts w:ascii="Times New Roman" w:hAnsi="Times New Roman"/>
          <w:sz w:val="24"/>
          <w:szCs w:val="24"/>
        </w:rPr>
      </w:pPr>
      <w:r w:rsidRPr="007D4165">
        <w:rPr>
          <w:rFonts w:ascii="Times New Roman" w:hAnsi="Times New Roman"/>
          <w:sz w:val="24"/>
          <w:szCs w:val="24"/>
        </w:rPr>
        <w:tab/>
      </w:r>
    </w:p>
    <w:p w14:paraId="10ED4B63" w14:textId="77777777" w:rsidR="0018339A" w:rsidRDefault="0018339A" w:rsidP="0018339A">
      <w:pPr>
        <w:spacing w:after="0" w:line="240" w:lineRule="auto"/>
        <w:rPr>
          <w:rFonts w:ascii="Times New Roman" w:hAnsi="Times New Roman"/>
          <w:sz w:val="20"/>
          <w:szCs w:val="20"/>
        </w:rPr>
      </w:pPr>
      <w:r w:rsidRPr="001F4A63">
        <w:rPr>
          <w:rFonts w:ascii="Times New Roman" w:hAnsi="Times New Roman"/>
          <w:sz w:val="20"/>
          <w:szCs w:val="20"/>
        </w:rPr>
        <w:t>Sīka</w:t>
      </w:r>
      <w:r>
        <w:rPr>
          <w:rFonts w:ascii="Times New Roman" w:hAnsi="Times New Roman"/>
          <w:sz w:val="20"/>
          <w:szCs w:val="20"/>
        </w:rPr>
        <w:t xml:space="preserve"> </w:t>
      </w:r>
      <w:r w:rsidRPr="001F4A63">
        <w:rPr>
          <w:rFonts w:ascii="Times New Roman" w:hAnsi="Times New Roman"/>
          <w:sz w:val="20"/>
          <w:szCs w:val="20"/>
        </w:rPr>
        <w:t>67047976</w:t>
      </w:r>
    </w:p>
    <w:p w14:paraId="7A71D34D" w14:textId="77777777" w:rsidR="007A0778" w:rsidRDefault="0018339A" w:rsidP="00A86581">
      <w:pPr>
        <w:spacing w:after="0" w:line="240" w:lineRule="auto"/>
      </w:pPr>
      <w:r w:rsidRPr="001F4A63">
        <w:rPr>
          <w:rFonts w:ascii="Times New Roman" w:hAnsi="Times New Roman"/>
          <w:sz w:val="20"/>
          <w:szCs w:val="20"/>
        </w:rPr>
        <w:t>eriks.sika@izm.gov.lv</w:t>
      </w:r>
    </w:p>
    <w:sectPr w:rsidR="007A0778" w:rsidSect="00B8652C">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22A74" w14:textId="77777777" w:rsidR="00267944" w:rsidRDefault="00267944" w:rsidP="00F95FC9">
      <w:pPr>
        <w:spacing w:after="0" w:line="240" w:lineRule="auto"/>
      </w:pPr>
      <w:r>
        <w:separator/>
      </w:r>
    </w:p>
  </w:endnote>
  <w:endnote w:type="continuationSeparator" w:id="0">
    <w:p w14:paraId="5FB9B3A5" w14:textId="77777777" w:rsidR="00267944" w:rsidRDefault="00267944" w:rsidP="00F9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1A8C" w14:textId="62A88C9D" w:rsidR="00540701" w:rsidRPr="00532A2C" w:rsidRDefault="00540701" w:rsidP="00540701">
    <w:pPr>
      <w:pStyle w:val="Footer"/>
      <w:jc w:val="both"/>
      <w:rPr>
        <w:rFonts w:ascii="Times New Roman" w:hAnsi="Times New Roman"/>
        <w:sz w:val="24"/>
        <w:szCs w:val="24"/>
      </w:rPr>
    </w:pPr>
    <w:r>
      <w:rPr>
        <w:rFonts w:ascii="Times New Roman" w:hAnsi="Times New Roman"/>
        <w:sz w:val="24"/>
        <w:szCs w:val="24"/>
      </w:rPr>
      <w:t>IZMAnot_</w:t>
    </w:r>
    <w:r w:rsidR="00BE4848">
      <w:rPr>
        <w:rFonts w:ascii="Times New Roman" w:hAnsi="Times New Roman"/>
        <w:sz w:val="24"/>
        <w:szCs w:val="24"/>
      </w:rPr>
      <w:t>1</w:t>
    </w:r>
    <w:r w:rsidR="00DF5EF6">
      <w:rPr>
        <w:rFonts w:ascii="Times New Roman" w:hAnsi="Times New Roman"/>
        <w:sz w:val="24"/>
        <w:szCs w:val="24"/>
      </w:rPr>
      <w:t>8</w:t>
    </w:r>
    <w:r w:rsidR="00D81F5E">
      <w:rPr>
        <w:rFonts w:ascii="Times New Roman" w:hAnsi="Times New Roman"/>
        <w:sz w:val="24"/>
        <w:szCs w:val="24"/>
      </w:rPr>
      <w:t>02</w:t>
    </w:r>
    <w:r>
      <w:rPr>
        <w:rFonts w:ascii="Times New Roman" w:hAnsi="Times New Roman"/>
        <w:sz w:val="24"/>
        <w:szCs w:val="24"/>
      </w:rPr>
      <w:t>19</w:t>
    </w:r>
    <w:r w:rsidRPr="0009345A">
      <w:rPr>
        <w:rFonts w:ascii="Times New Roman" w:hAnsi="Times New Roman"/>
        <w:sz w:val="24"/>
        <w:szCs w:val="24"/>
      </w:rPr>
      <w:t>_</w:t>
    </w:r>
    <w:r>
      <w:rPr>
        <w:rFonts w:ascii="Times New Roman" w:hAnsi="Times New Roman"/>
        <w:sz w:val="24"/>
        <w:szCs w:val="24"/>
      </w:rPr>
      <w:t>neklatiene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8A4FE" w14:textId="2F7C9FCE" w:rsidR="00540701" w:rsidRPr="00532A2C" w:rsidRDefault="00540701" w:rsidP="00540701">
    <w:pPr>
      <w:pStyle w:val="Footer"/>
      <w:jc w:val="both"/>
      <w:rPr>
        <w:rFonts w:ascii="Times New Roman" w:hAnsi="Times New Roman"/>
        <w:sz w:val="24"/>
        <w:szCs w:val="24"/>
      </w:rPr>
    </w:pPr>
    <w:r>
      <w:rPr>
        <w:rFonts w:ascii="Times New Roman" w:hAnsi="Times New Roman"/>
        <w:sz w:val="24"/>
        <w:szCs w:val="24"/>
      </w:rPr>
      <w:t>IZMAnot_</w:t>
    </w:r>
    <w:r w:rsidR="00BE4848">
      <w:rPr>
        <w:rFonts w:ascii="Times New Roman" w:hAnsi="Times New Roman"/>
        <w:sz w:val="24"/>
        <w:szCs w:val="24"/>
      </w:rPr>
      <w:t>1</w:t>
    </w:r>
    <w:r w:rsidR="00DF5EF6">
      <w:rPr>
        <w:rFonts w:ascii="Times New Roman" w:hAnsi="Times New Roman"/>
        <w:sz w:val="24"/>
        <w:szCs w:val="24"/>
      </w:rPr>
      <w:t>8</w:t>
    </w:r>
    <w:r w:rsidR="00D81F5E">
      <w:rPr>
        <w:rFonts w:ascii="Times New Roman" w:hAnsi="Times New Roman"/>
        <w:sz w:val="24"/>
        <w:szCs w:val="24"/>
      </w:rPr>
      <w:t>02</w:t>
    </w:r>
    <w:r>
      <w:rPr>
        <w:rFonts w:ascii="Times New Roman" w:hAnsi="Times New Roman"/>
        <w:sz w:val="24"/>
        <w:szCs w:val="24"/>
      </w:rPr>
      <w:t>19</w:t>
    </w:r>
    <w:r w:rsidRPr="0009345A">
      <w:rPr>
        <w:rFonts w:ascii="Times New Roman" w:hAnsi="Times New Roman"/>
        <w:sz w:val="24"/>
        <w:szCs w:val="24"/>
      </w:rPr>
      <w:t>_</w:t>
    </w:r>
    <w:r>
      <w:rPr>
        <w:rFonts w:ascii="Times New Roman" w:hAnsi="Times New Roman"/>
        <w:sz w:val="24"/>
        <w:szCs w:val="24"/>
      </w:rPr>
      <w:t>neklatiene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DA42F" w14:textId="77777777" w:rsidR="00267944" w:rsidRDefault="00267944" w:rsidP="00F95FC9">
      <w:pPr>
        <w:spacing w:after="0" w:line="240" w:lineRule="auto"/>
      </w:pPr>
      <w:r>
        <w:separator/>
      </w:r>
    </w:p>
  </w:footnote>
  <w:footnote w:type="continuationSeparator" w:id="0">
    <w:p w14:paraId="41F54ADD" w14:textId="77777777" w:rsidR="00267944" w:rsidRDefault="00267944" w:rsidP="00F95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684581"/>
      <w:docPartObj>
        <w:docPartGallery w:val="Page Numbers (Top of Page)"/>
        <w:docPartUnique/>
      </w:docPartObj>
    </w:sdtPr>
    <w:sdtEndPr>
      <w:rPr>
        <w:rFonts w:ascii="Times New Roman" w:hAnsi="Times New Roman"/>
        <w:noProof/>
      </w:rPr>
    </w:sdtEndPr>
    <w:sdtContent>
      <w:p w14:paraId="33A2BFCB" w14:textId="77777777" w:rsidR="00540701" w:rsidRPr="004C6B82" w:rsidRDefault="00540701">
        <w:pPr>
          <w:pStyle w:val="Header"/>
          <w:jc w:val="center"/>
          <w:rPr>
            <w:rFonts w:ascii="Times New Roman" w:hAnsi="Times New Roman"/>
          </w:rPr>
        </w:pPr>
        <w:r w:rsidRPr="00532A2C">
          <w:rPr>
            <w:rFonts w:ascii="Times New Roman" w:hAnsi="Times New Roman"/>
            <w:sz w:val="24"/>
            <w:szCs w:val="24"/>
          </w:rPr>
          <w:fldChar w:fldCharType="begin"/>
        </w:r>
        <w:r w:rsidRPr="00532A2C">
          <w:rPr>
            <w:rFonts w:ascii="Times New Roman" w:hAnsi="Times New Roman"/>
            <w:sz w:val="24"/>
            <w:szCs w:val="24"/>
          </w:rPr>
          <w:instrText xml:space="preserve"> PAGE   \* MERGEFORMAT </w:instrText>
        </w:r>
        <w:r w:rsidRPr="00532A2C">
          <w:rPr>
            <w:rFonts w:ascii="Times New Roman" w:hAnsi="Times New Roman"/>
            <w:sz w:val="24"/>
            <w:szCs w:val="24"/>
          </w:rPr>
          <w:fldChar w:fldCharType="separate"/>
        </w:r>
        <w:r w:rsidR="00DF5EF6">
          <w:rPr>
            <w:rFonts w:ascii="Times New Roman" w:hAnsi="Times New Roman"/>
            <w:noProof/>
            <w:sz w:val="24"/>
            <w:szCs w:val="24"/>
          </w:rPr>
          <w:t>7</w:t>
        </w:r>
        <w:r w:rsidRPr="00532A2C">
          <w:rPr>
            <w:rFonts w:ascii="Times New Roman" w:hAnsi="Times New Roman"/>
            <w:noProof/>
            <w:sz w:val="24"/>
            <w:szCs w:val="24"/>
          </w:rPr>
          <w:fldChar w:fldCharType="end"/>
        </w:r>
      </w:p>
    </w:sdtContent>
  </w:sdt>
  <w:p w14:paraId="05A4AB83" w14:textId="77777777" w:rsidR="00540701" w:rsidRDefault="00540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9A"/>
    <w:rsid w:val="00045738"/>
    <w:rsid w:val="00046CD0"/>
    <w:rsid w:val="00053E48"/>
    <w:rsid w:val="000735F7"/>
    <w:rsid w:val="000C726B"/>
    <w:rsid w:val="000E1ED9"/>
    <w:rsid w:val="00113A6F"/>
    <w:rsid w:val="00117389"/>
    <w:rsid w:val="001225B3"/>
    <w:rsid w:val="00142A38"/>
    <w:rsid w:val="00152169"/>
    <w:rsid w:val="001552DF"/>
    <w:rsid w:val="00156BD4"/>
    <w:rsid w:val="0018339A"/>
    <w:rsid w:val="0019249B"/>
    <w:rsid w:val="00245DEC"/>
    <w:rsid w:val="002460C4"/>
    <w:rsid w:val="00267944"/>
    <w:rsid w:val="002701F8"/>
    <w:rsid w:val="002728F7"/>
    <w:rsid w:val="002E22E9"/>
    <w:rsid w:val="002F09F9"/>
    <w:rsid w:val="00300FC0"/>
    <w:rsid w:val="0032343F"/>
    <w:rsid w:val="00390E7D"/>
    <w:rsid w:val="003B09E9"/>
    <w:rsid w:val="003B59D4"/>
    <w:rsid w:val="00423A52"/>
    <w:rsid w:val="00426999"/>
    <w:rsid w:val="00470A2D"/>
    <w:rsid w:val="005033E8"/>
    <w:rsid w:val="005101E2"/>
    <w:rsid w:val="0051550A"/>
    <w:rsid w:val="00521DD9"/>
    <w:rsid w:val="005253A3"/>
    <w:rsid w:val="00540701"/>
    <w:rsid w:val="00550AE0"/>
    <w:rsid w:val="0055404B"/>
    <w:rsid w:val="00582F0F"/>
    <w:rsid w:val="005A79BE"/>
    <w:rsid w:val="005B2993"/>
    <w:rsid w:val="005C7B3A"/>
    <w:rsid w:val="005E31B2"/>
    <w:rsid w:val="00627E0C"/>
    <w:rsid w:val="0068016D"/>
    <w:rsid w:val="00682CD8"/>
    <w:rsid w:val="006A6AAA"/>
    <w:rsid w:val="0074207D"/>
    <w:rsid w:val="007616BA"/>
    <w:rsid w:val="00775E93"/>
    <w:rsid w:val="0078400A"/>
    <w:rsid w:val="00785E37"/>
    <w:rsid w:val="007A0778"/>
    <w:rsid w:val="007D39EB"/>
    <w:rsid w:val="0083294E"/>
    <w:rsid w:val="008546B5"/>
    <w:rsid w:val="00865E24"/>
    <w:rsid w:val="008922E5"/>
    <w:rsid w:val="008963EA"/>
    <w:rsid w:val="008B7D69"/>
    <w:rsid w:val="008F378D"/>
    <w:rsid w:val="00924E07"/>
    <w:rsid w:val="009725AF"/>
    <w:rsid w:val="009B7ADB"/>
    <w:rsid w:val="009F6DD9"/>
    <w:rsid w:val="00A4730E"/>
    <w:rsid w:val="00A509FF"/>
    <w:rsid w:val="00A86581"/>
    <w:rsid w:val="00A9576D"/>
    <w:rsid w:val="00A972B1"/>
    <w:rsid w:val="00AC1228"/>
    <w:rsid w:val="00B13244"/>
    <w:rsid w:val="00B23668"/>
    <w:rsid w:val="00B41B3B"/>
    <w:rsid w:val="00B4235F"/>
    <w:rsid w:val="00B6068E"/>
    <w:rsid w:val="00B6444B"/>
    <w:rsid w:val="00B81287"/>
    <w:rsid w:val="00B8652C"/>
    <w:rsid w:val="00BE4848"/>
    <w:rsid w:val="00BF4A62"/>
    <w:rsid w:val="00C37282"/>
    <w:rsid w:val="00C64D84"/>
    <w:rsid w:val="00C80CA2"/>
    <w:rsid w:val="00D77C10"/>
    <w:rsid w:val="00D81F5E"/>
    <w:rsid w:val="00D946FA"/>
    <w:rsid w:val="00DA3E0F"/>
    <w:rsid w:val="00DB229B"/>
    <w:rsid w:val="00DB39A7"/>
    <w:rsid w:val="00DD76C2"/>
    <w:rsid w:val="00DE54BF"/>
    <w:rsid w:val="00DF5EF6"/>
    <w:rsid w:val="00E124B7"/>
    <w:rsid w:val="00E71EAE"/>
    <w:rsid w:val="00E851C4"/>
    <w:rsid w:val="00E86388"/>
    <w:rsid w:val="00EC559E"/>
    <w:rsid w:val="00ED24ED"/>
    <w:rsid w:val="00ED5EEA"/>
    <w:rsid w:val="00EE299C"/>
    <w:rsid w:val="00F01080"/>
    <w:rsid w:val="00F06457"/>
    <w:rsid w:val="00F2261B"/>
    <w:rsid w:val="00F41CDD"/>
    <w:rsid w:val="00F72FDB"/>
    <w:rsid w:val="00F95FC9"/>
    <w:rsid w:val="00FC4533"/>
    <w:rsid w:val="00FD742F"/>
    <w:rsid w:val="00FE42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54F6F8A"/>
  <w15:chartTrackingRefBased/>
  <w15:docId w15:val="{E33DDD0E-C64C-40E1-9542-1E5CAD0C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9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8339A"/>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39A"/>
    <w:rPr>
      <w:rFonts w:ascii="Arial" w:eastAsia="Times New Roman" w:hAnsi="Arial" w:cs="Arial"/>
      <w:b/>
      <w:bCs/>
      <w:kern w:val="32"/>
      <w:sz w:val="32"/>
      <w:szCs w:val="32"/>
    </w:rPr>
  </w:style>
  <w:style w:type="paragraph" w:customStyle="1" w:styleId="naiskr">
    <w:name w:val="naiskr"/>
    <w:basedOn w:val="Normal"/>
    <w:rsid w:val="0018339A"/>
    <w:pPr>
      <w:spacing w:before="75" w:after="75" w:line="240" w:lineRule="auto"/>
    </w:pPr>
    <w:rPr>
      <w:rFonts w:ascii="Times New Roman" w:eastAsia="Times New Roman" w:hAnsi="Times New Roman"/>
      <w:sz w:val="24"/>
      <w:szCs w:val="24"/>
      <w:lang w:eastAsia="lv-LV"/>
    </w:rPr>
  </w:style>
  <w:style w:type="paragraph" w:customStyle="1" w:styleId="tv213">
    <w:name w:val="tv213"/>
    <w:basedOn w:val="Normal"/>
    <w:rsid w:val="0018339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18339A"/>
    <w:pPr>
      <w:suppressAutoHyphens/>
      <w:autoSpaceDN w:val="0"/>
      <w:spacing w:after="200" w:line="276" w:lineRule="auto"/>
    </w:pPr>
    <w:rPr>
      <w:rFonts w:ascii="Calibri" w:eastAsia="Times New Roman" w:hAnsi="Calibri" w:cs="Calibri"/>
      <w:kern w:val="3"/>
      <w:lang w:eastAsia="lv-LV"/>
    </w:rPr>
  </w:style>
  <w:style w:type="paragraph" w:styleId="NoSpacing">
    <w:name w:val="No Spacing"/>
    <w:uiPriority w:val="1"/>
    <w:qFormat/>
    <w:rsid w:val="0018339A"/>
    <w:pPr>
      <w:spacing w:after="0" w:line="240" w:lineRule="auto"/>
    </w:pPr>
    <w:rPr>
      <w:rFonts w:ascii="Calibri" w:eastAsia="Calibri" w:hAnsi="Calibri" w:cs="Times New Roman"/>
    </w:rPr>
  </w:style>
  <w:style w:type="paragraph" w:styleId="BodyText">
    <w:name w:val="Body Text"/>
    <w:basedOn w:val="Normal"/>
    <w:link w:val="BodyTextChar"/>
    <w:rsid w:val="0018339A"/>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18339A"/>
    <w:rPr>
      <w:rFonts w:ascii="Times New Roman" w:eastAsia="Times New Roman" w:hAnsi="Times New Roman" w:cs="Times New Roman"/>
      <w:sz w:val="28"/>
      <w:szCs w:val="24"/>
    </w:rPr>
  </w:style>
  <w:style w:type="table" w:styleId="TableGrid">
    <w:name w:val="Table Grid"/>
    <w:basedOn w:val="TableNormal"/>
    <w:uiPriority w:val="39"/>
    <w:rsid w:val="0018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3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339A"/>
    <w:rPr>
      <w:rFonts w:ascii="Calibri" w:eastAsia="Calibri" w:hAnsi="Calibri" w:cs="Times New Roman"/>
    </w:rPr>
  </w:style>
  <w:style w:type="paragraph" w:styleId="Footer">
    <w:name w:val="footer"/>
    <w:basedOn w:val="Normal"/>
    <w:link w:val="FooterChar"/>
    <w:uiPriority w:val="99"/>
    <w:unhideWhenUsed/>
    <w:rsid w:val="001833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339A"/>
    <w:rPr>
      <w:rFonts w:ascii="Calibri" w:eastAsia="Calibri" w:hAnsi="Calibri" w:cs="Times New Roman"/>
    </w:rPr>
  </w:style>
  <w:style w:type="paragraph" w:styleId="BalloonText">
    <w:name w:val="Balloon Text"/>
    <w:basedOn w:val="Normal"/>
    <w:link w:val="BalloonTextChar"/>
    <w:uiPriority w:val="99"/>
    <w:semiHidden/>
    <w:unhideWhenUsed/>
    <w:rsid w:val="00053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4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72FDB"/>
    <w:rPr>
      <w:sz w:val="16"/>
      <w:szCs w:val="16"/>
    </w:rPr>
  </w:style>
  <w:style w:type="paragraph" w:styleId="CommentText">
    <w:name w:val="annotation text"/>
    <w:basedOn w:val="Normal"/>
    <w:link w:val="CommentTextChar"/>
    <w:uiPriority w:val="99"/>
    <w:semiHidden/>
    <w:unhideWhenUsed/>
    <w:rsid w:val="00F72FDB"/>
    <w:pPr>
      <w:spacing w:line="240" w:lineRule="auto"/>
    </w:pPr>
    <w:rPr>
      <w:sz w:val="20"/>
      <w:szCs w:val="20"/>
    </w:rPr>
  </w:style>
  <w:style w:type="character" w:customStyle="1" w:styleId="CommentTextChar">
    <w:name w:val="Comment Text Char"/>
    <w:basedOn w:val="DefaultParagraphFont"/>
    <w:link w:val="CommentText"/>
    <w:uiPriority w:val="99"/>
    <w:semiHidden/>
    <w:rsid w:val="00F72F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2FDB"/>
    <w:rPr>
      <w:b/>
      <w:bCs/>
    </w:rPr>
  </w:style>
  <w:style w:type="character" w:customStyle="1" w:styleId="CommentSubjectChar">
    <w:name w:val="Comment Subject Char"/>
    <w:basedOn w:val="CommentTextChar"/>
    <w:link w:val="CommentSubject"/>
    <w:uiPriority w:val="99"/>
    <w:semiHidden/>
    <w:rsid w:val="00F72FD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2555">
      <w:bodyDiv w:val="1"/>
      <w:marLeft w:val="0"/>
      <w:marRight w:val="0"/>
      <w:marTop w:val="0"/>
      <w:marBottom w:val="0"/>
      <w:divBdr>
        <w:top w:val="none" w:sz="0" w:space="0" w:color="auto"/>
        <w:left w:val="none" w:sz="0" w:space="0" w:color="auto"/>
        <w:bottom w:val="none" w:sz="0" w:space="0" w:color="auto"/>
        <w:right w:val="none" w:sz="0" w:space="0" w:color="auto"/>
      </w:divBdr>
      <w:divsChild>
        <w:div w:id="306201439">
          <w:marLeft w:val="0"/>
          <w:marRight w:val="0"/>
          <w:marTop w:val="0"/>
          <w:marBottom w:val="0"/>
          <w:divBdr>
            <w:top w:val="none" w:sz="0" w:space="0" w:color="auto"/>
            <w:left w:val="none" w:sz="0" w:space="0" w:color="auto"/>
            <w:bottom w:val="none" w:sz="0" w:space="0" w:color="auto"/>
            <w:right w:val="none" w:sz="0" w:space="0" w:color="auto"/>
          </w:divBdr>
          <w:divsChild>
            <w:div w:id="1602686297">
              <w:marLeft w:val="0"/>
              <w:marRight w:val="0"/>
              <w:marTop w:val="0"/>
              <w:marBottom w:val="0"/>
              <w:divBdr>
                <w:top w:val="none" w:sz="0" w:space="0" w:color="auto"/>
                <w:left w:val="none" w:sz="0" w:space="0" w:color="auto"/>
                <w:bottom w:val="none" w:sz="0" w:space="0" w:color="auto"/>
                <w:right w:val="none" w:sz="0" w:space="0" w:color="auto"/>
              </w:divBdr>
              <w:divsChild>
                <w:div w:id="1635332332">
                  <w:marLeft w:val="0"/>
                  <w:marRight w:val="0"/>
                  <w:marTop w:val="0"/>
                  <w:marBottom w:val="0"/>
                  <w:divBdr>
                    <w:top w:val="none" w:sz="0" w:space="0" w:color="auto"/>
                    <w:left w:val="none" w:sz="0" w:space="0" w:color="auto"/>
                    <w:bottom w:val="none" w:sz="0" w:space="0" w:color="auto"/>
                    <w:right w:val="none" w:sz="0" w:space="0" w:color="auto"/>
                  </w:divBdr>
                  <w:divsChild>
                    <w:div w:id="2007904445">
                      <w:marLeft w:val="0"/>
                      <w:marRight w:val="0"/>
                      <w:marTop w:val="0"/>
                      <w:marBottom w:val="0"/>
                      <w:divBdr>
                        <w:top w:val="none" w:sz="0" w:space="0" w:color="auto"/>
                        <w:left w:val="none" w:sz="0" w:space="0" w:color="auto"/>
                        <w:bottom w:val="none" w:sz="0" w:space="0" w:color="auto"/>
                        <w:right w:val="none" w:sz="0" w:space="0" w:color="auto"/>
                      </w:divBdr>
                      <w:divsChild>
                        <w:div w:id="578757400">
                          <w:marLeft w:val="0"/>
                          <w:marRight w:val="0"/>
                          <w:marTop w:val="0"/>
                          <w:marBottom w:val="0"/>
                          <w:divBdr>
                            <w:top w:val="none" w:sz="0" w:space="0" w:color="auto"/>
                            <w:left w:val="none" w:sz="0" w:space="0" w:color="auto"/>
                            <w:bottom w:val="none" w:sz="0" w:space="0" w:color="auto"/>
                            <w:right w:val="none" w:sz="0" w:space="0" w:color="auto"/>
                          </w:divBdr>
                          <w:divsChild>
                            <w:div w:id="3385029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FF8C-14DF-410F-937C-87F007C7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8914</Words>
  <Characters>5082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Ēriks Sīka</dc:creator>
  <cp:keywords/>
  <dc:description/>
  <cp:lastModifiedBy>Ance Rudzīte</cp:lastModifiedBy>
  <cp:revision>14</cp:revision>
  <cp:lastPrinted>2019-02-08T07:22:00Z</cp:lastPrinted>
  <dcterms:created xsi:type="dcterms:W3CDTF">2019-02-06T10:02:00Z</dcterms:created>
  <dcterms:modified xsi:type="dcterms:W3CDTF">2019-02-18T08:18:00Z</dcterms:modified>
</cp:coreProperties>
</file>