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15" w:rsidRPr="00874215" w:rsidRDefault="00874215" w:rsidP="00874215">
      <w:pPr>
        <w:spacing w:before="75" w:after="75"/>
        <w:jc w:val="center"/>
        <w:outlineLvl w:val="0"/>
        <w:rPr>
          <w:rFonts w:eastAsia="Times New Roman" w:cs="Times New Roman"/>
          <w:b/>
          <w:szCs w:val="24"/>
          <w:lang w:eastAsia="lv-LV"/>
        </w:rPr>
      </w:pPr>
      <w:r w:rsidRPr="00874215">
        <w:rPr>
          <w:rFonts w:eastAsia="Times New Roman" w:cs="Times New Roman"/>
          <w:b/>
          <w:szCs w:val="24"/>
          <w:lang w:eastAsia="lv-LV"/>
        </w:rPr>
        <w:t>Minist</w:t>
      </w:r>
      <w:r w:rsidR="001450E3">
        <w:rPr>
          <w:rFonts w:eastAsia="Times New Roman" w:cs="Times New Roman"/>
          <w:b/>
          <w:szCs w:val="24"/>
          <w:lang w:eastAsia="lv-LV"/>
        </w:rPr>
        <w:t>ru kabineta noteikumu projekta “</w:t>
      </w:r>
      <w:r w:rsidRPr="00874215">
        <w:rPr>
          <w:rFonts w:eastAsia="Times New Roman" w:cs="Times New Roman"/>
          <w:b/>
          <w:szCs w:val="24"/>
          <w:lang w:eastAsia="lv-LV"/>
        </w:rPr>
        <w:t>Noteikumi par valsts pā</w:t>
      </w:r>
      <w:r w:rsidR="00F84D30">
        <w:rPr>
          <w:rFonts w:eastAsia="Times New Roman" w:cs="Times New Roman"/>
          <w:b/>
          <w:szCs w:val="24"/>
          <w:lang w:eastAsia="lv-LV"/>
        </w:rPr>
        <w:t>rbaudes darbu norises laiku 2019./2020</w:t>
      </w:r>
      <w:r w:rsidR="001450E3">
        <w:rPr>
          <w:rFonts w:eastAsia="Times New Roman" w:cs="Times New Roman"/>
          <w:b/>
          <w:szCs w:val="24"/>
          <w:lang w:eastAsia="lv-LV"/>
        </w:rPr>
        <w:t>.</w:t>
      </w:r>
      <w:r w:rsidR="00D061D3">
        <w:rPr>
          <w:rFonts w:eastAsia="Times New Roman" w:cs="Times New Roman"/>
          <w:b/>
          <w:szCs w:val="24"/>
          <w:lang w:eastAsia="lv-LV"/>
        </w:rPr>
        <w:t> </w:t>
      </w:r>
      <w:r w:rsidR="001450E3">
        <w:rPr>
          <w:rFonts w:eastAsia="Times New Roman" w:cs="Times New Roman"/>
          <w:b/>
          <w:szCs w:val="24"/>
          <w:lang w:eastAsia="lv-LV"/>
        </w:rPr>
        <w:t>mācību gadā”</w:t>
      </w:r>
      <w:r w:rsidRPr="00874215">
        <w:rPr>
          <w:rFonts w:eastAsia="Times New Roman" w:cs="Times New Roman"/>
          <w:b/>
          <w:szCs w:val="24"/>
          <w:lang w:eastAsia="lv-LV"/>
        </w:rPr>
        <w:t xml:space="preserve"> sākotnējās ietekmes novērtējuma ziņojums (anotācija)</w:t>
      </w:r>
    </w:p>
    <w:p w:rsidR="00186024" w:rsidRDefault="00186024"/>
    <w:tbl>
      <w:tblPr>
        <w:tblW w:w="880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5687"/>
      </w:tblGrid>
      <w:tr w:rsidR="00874215" w:rsidRPr="00874215" w:rsidTr="00C67A84">
        <w:trPr>
          <w:cantSplit/>
        </w:trPr>
        <w:tc>
          <w:tcPr>
            <w:tcW w:w="8806" w:type="dxa"/>
            <w:gridSpan w:val="2"/>
            <w:tcBorders>
              <w:top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874215" w:rsidRPr="00874215" w:rsidRDefault="00874215" w:rsidP="00874215">
            <w:pPr>
              <w:jc w:val="center"/>
              <w:rPr>
                <w:rFonts w:eastAsia="Times New Roman" w:cs="Times New Roman"/>
                <w:b/>
                <w:iCs/>
                <w:szCs w:val="24"/>
              </w:rPr>
            </w:pPr>
            <w:r w:rsidRPr="00874215">
              <w:rPr>
                <w:rFonts w:eastAsia="Times New Roman" w:cs="Times New Roman"/>
                <w:b/>
                <w:iCs/>
                <w:szCs w:val="24"/>
              </w:rPr>
              <w:t>Tiesību akta projekta anotācijas kopsavilkums</w:t>
            </w:r>
          </w:p>
        </w:tc>
      </w:tr>
      <w:tr w:rsidR="00874215" w:rsidRPr="00874215" w:rsidTr="00F85295">
        <w:trPr>
          <w:cantSplit/>
        </w:trPr>
        <w:tc>
          <w:tcPr>
            <w:tcW w:w="3119" w:type="dxa"/>
            <w:shd w:val="clear" w:color="auto" w:fill="FFFFFF"/>
            <w:hideMark/>
          </w:tcPr>
          <w:p w:rsidR="00874215" w:rsidRPr="00874215" w:rsidRDefault="00874215" w:rsidP="00874215">
            <w:pPr>
              <w:rPr>
                <w:rFonts w:eastAsia="Times New Roman" w:cs="Times New Roman"/>
                <w:iCs/>
                <w:szCs w:val="24"/>
              </w:rPr>
            </w:pPr>
            <w:r w:rsidRPr="00874215">
              <w:rPr>
                <w:rFonts w:eastAsia="Times New Roman" w:cs="Times New Roman"/>
                <w:iCs/>
                <w:szCs w:val="24"/>
              </w:rPr>
              <w:t>Mērķis, risinājums un projekta spēkā stāšanās laiks</w:t>
            </w:r>
          </w:p>
        </w:tc>
        <w:tc>
          <w:tcPr>
            <w:tcW w:w="5687" w:type="dxa"/>
            <w:shd w:val="clear" w:color="auto" w:fill="FFFFFF"/>
            <w:hideMark/>
          </w:tcPr>
          <w:p w:rsidR="00874215" w:rsidRPr="00874215" w:rsidRDefault="00A8517D" w:rsidP="00874215">
            <w:pPr>
              <w:jc w:val="both"/>
              <w:rPr>
                <w:rFonts w:eastAsia="Times New Roman" w:cs="Times New Roman"/>
                <w:iCs/>
                <w:color w:val="FF0000"/>
                <w:szCs w:val="24"/>
              </w:rPr>
            </w:pPr>
            <w:r w:rsidRPr="00A8517D">
              <w:rPr>
                <w:rFonts w:eastAsia="Times New Roman" w:cs="Times New Roman"/>
                <w:szCs w:val="24"/>
                <w:lang w:eastAsia="lv-LV"/>
              </w:rPr>
              <w:t>Minist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ru kabineta noteikumu projekts “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Noteikumi par valsts pā</w:t>
            </w:r>
            <w:r w:rsidR="00F84D30">
              <w:rPr>
                <w:rFonts w:eastAsia="Times New Roman" w:cs="Times New Roman"/>
                <w:szCs w:val="24"/>
                <w:lang w:eastAsia="lv-LV"/>
              </w:rPr>
              <w:t>rbaudes darbu norises laiku 2019./2020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D061D3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mācību gadā” (turpmāk – projekts) izstrādāts, lai atbilstoši valsts vispārējās izglītības standartiem noteiktu valsts pārbaudes darbu norises</w:t>
            </w:r>
            <w:r w:rsidR="00F84D30">
              <w:rPr>
                <w:rFonts w:eastAsia="Times New Roman" w:cs="Times New Roman"/>
                <w:szCs w:val="24"/>
                <w:lang w:eastAsia="lv-LV"/>
              </w:rPr>
              <w:t xml:space="preserve"> laiku 2019./2020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D061D3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mācību gadā. Paredzēts, ka projekts stāsies spēkā Oficiālo publikāciju un tiesiskās informācijas likumā noteiktajā kārtībā.</w:t>
            </w:r>
          </w:p>
        </w:tc>
      </w:tr>
    </w:tbl>
    <w:p w:rsidR="00C67A84" w:rsidRDefault="00C67A84"/>
    <w:tbl>
      <w:tblPr>
        <w:tblW w:w="880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5687"/>
      </w:tblGrid>
      <w:tr w:rsidR="00C67A84" w:rsidRPr="00874215" w:rsidTr="00B85A55">
        <w:tc>
          <w:tcPr>
            <w:tcW w:w="8806" w:type="dxa"/>
            <w:gridSpan w:val="3"/>
            <w:shd w:val="clear" w:color="auto" w:fill="FFFFFF"/>
          </w:tcPr>
          <w:p w:rsidR="00C67A84" w:rsidRPr="00A8517D" w:rsidRDefault="00265E37" w:rsidP="00265E37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b/>
                <w:bCs/>
                <w:szCs w:val="24"/>
                <w:lang w:eastAsia="lv-LV"/>
              </w:rPr>
              <w:t>I Tiesību akta projekta izstrādes nepieciešamība</w:t>
            </w:r>
          </w:p>
        </w:tc>
      </w:tr>
      <w:tr w:rsidR="00265E37" w:rsidRPr="00874215" w:rsidTr="00F85295">
        <w:tc>
          <w:tcPr>
            <w:tcW w:w="426" w:type="dxa"/>
            <w:shd w:val="clear" w:color="auto" w:fill="FFFFFF"/>
          </w:tcPr>
          <w:p w:rsidR="00265E37" w:rsidRPr="00874215" w:rsidRDefault="00265E37" w:rsidP="00265E37">
            <w:pPr>
              <w:ind w:left="180" w:hanging="18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1.</w:t>
            </w:r>
          </w:p>
        </w:tc>
        <w:tc>
          <w:tcPr>
            <w:tcW w:w="2693" w:type="dxa"/>
            <w:shd w:val="clear" w:color="auto" w:fill="FFFFFF"/>
          </w:tcPr>
          <w:p w:rsidR="00265E37" w:rsidRPr="00874215" w:rsidRDefault="00265E37" w:rsidP="00265E37">
            <w:pPr>
              <w:ind w:firstLine="17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Pamatojums</w:t>
            </w:r>
          </w:p>
        </w:tc>
        <w:tc>
          <w:tcPr>
            <w:tcW w:w="5687" w:type="dxa"/>
            <w:shd w:val="clear" w:color="auto" w:fill="FFFFFF"/>
          </w:tcPr>
          <w:p w:rsidR="00265E37" w:rsidRPr="00874215" w:rsidRDefault="00265E37" w:rsidP="008B1388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A8517D">
              <w:rPr>
                <w:rFonts w:eastAsia="Times New Roman" w:cs="Times New Roman"/>
                <w:szCs w:val="24"/>
                <w:lang w:eastAsia="lv-LV"/>
              </w:rPr>
              <w:t>Projekts izstrādāts, pamatojoties uz Vispārējās izglītības likuma 4.</w:t>
            </w:r>
            <w:r w:rsidR="00D061D3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panta 12.</w:t>
            </w:r>
            <w:r w:rsidR="00D061D3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punktā doto deleģējumu Ministru kabinetam katru mācību gadu atbilstoši valsts vispārējās izglītības standartiem noteikt valsts pārbaudes darbu</w:t>
            </w:r>
            <w:r w:rsidR="008B1388">
              <w:rPr>
                <w:rFonts w:eastAsia="Times New Roman" w:cs="Times New Roman"/>
                <w:szCs w:val="24"/>
                <w:lang w:eastAsia="lv-LV"/>
              </w:rPr>
              <w:t xml:space="preserve"> (diagnosticējošo darbi, eksāmeni)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 xml:space="preserve"> norises laiku un kārtību.</w:t>
            </w:r>
          </w:p>
        </w:tc>
      </w:tr>
      <w:tr w:rsidR="00265E37" w:rsidRPr="00874215" w:rsidTr="00F85295">
        <w:tc>
          <w:tcPr>
            <w:tcW w:w="426" w:type="dxa"/>
            <w:shd w:val="clear" w:color="auto" w:fill="FFFFFF"/>
          </w:tcPr>
          <w:p w:rsidR="00265E37" w:rsidRPr="00874215" w:rsidRDefault="00265E37" w:rsidP="00265E37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2.</w:t>
            </w:r>
          </w:p>
        </w:tc>
        <w:tc>
          <w:tcPr>
            <w:tcW w:w="2693" w:type="dxa"/>
            <w:shd w:val="clear" w:color="auto" w:fill="FFFFFF"/>
          </w:tcPr>
          <w:p w:rsidR="00265E37" w:rsidRPr="00874215" w:rsidRDefault="00265E37" w:rsidP="00265E37">
            <w:pPr>
              <w:tabs>
                <w:tab w:val="left" w:pos="170"/>
              </w:tabs>
              <w:ind w:firstLine="17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5687" w:type="dxa"/>
            <w:shd w:val="clear" w:color="auto" w:fill="FFFFFF"/>
          </w:tcPr>
          <w:p w:rsidR="00265E37" w:rsidRPr="00A8517D" w:rsidRDefault="00265E37" w:rsidP="00265E37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A8517D">
              <w:rPr>
                <w:rFonts w:eastAsia="Times New Roman" w:cs="Times New Roman"/>
                <w:szCs w:val="24"/>
                <w:lang w:eastAsia="lv-LV"/>
              </w:rPr>
              <w:t>Valsts pā</w:t>
            </w:r>
            <w:r w:rsidR="00F84D30">
              <w:rPr>
                <w:rFonts w:eastAsia="Times New Roman" w:cs="Times New Roman"/>
                <w:szCs w:val="24"/>
                <w:lang w:eastAsia="lv-LV"/>
              </w:rPr>
              <w:t>rbaudes darbu norises laiku 2018./2019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D061D3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mācību gad</w:t>
            </w:r>
            <w:r w:rsidR="00F84D30">
              <w:rPr>
                <w:rFonts w:eastAsia="Times New Roman" w:cs="Times New Roman"/>
                <w:szCs w:val="24"/>
                <w:lang w:eastAsia="lv-LV"/>
              </w:rPr>
              <w:t>ā noteica Ministru kabineta 2018.</w:t>
            </w:r>
            <w:r w:rsidR="00D061D3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="00F84D30">
              <w:rPr>
                <w:rFonts w:eastAsia="Times New Roman" w:cs="Times New Roman"/>
                <w:szCs w:val="24"/>
                <w:lang w:eastAsia="lv-LV"/>
              </w:rPr>
              <w:t>gada 22.</w:t>
            </w:r>
            <w:r w:rsidR="00D061D3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F84D30">
              <w:rPr>
                <w:rFonts w:eastAsia="Times New Roman" w:cs="Times New Roman"/>
                <w:szCs w:val="24"/>
                <w:lang w:eastAsia="lv-LV"/>
              </w:rPr>
              <w:t>maija noteikumi Nr.</w:t>
            </w:r>
            <w:r w:rsidR="0083728C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F84D30">
              <w:rPr>
                <w:rFonts w:eastAsia="Times New Roman" w:cs="Times New Roman"/>
                <w:szCs w:val="24"/>
                <w:lang w:eastAsia="lv-LV"/>
              </w:rPr>
              <w:t>289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 xml:space="preserve"> “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 xml:space="preserve">Noteikumi par valsts pārbaudes darbu norises laiku </w:t>
            </w:r>
            <w:r w:rsidR="00F84D30">
              <w:rPr>
                <w:rFonts w:eastAsia="Times New Roman" w:cs="Times New Roman"/>
                <w:szCs w:val="24"/>
                <w:lang w:eastAsia="lv-LV"/>
              </w:rPr>
              <w:t>2018./2019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mācību gadā”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. Ministru kabineta noteikumi, kas nosaka valsts pā</w:t>
            </w:r>
            <w:r w:rsidR="00F84D30">
              <w:rPr>
                <w:rFonts w:eastAsia="Times New Roman" w:cs="Times New Roman"/>
                <w:szCs w:val="24"/>
                <w:lang w:eastAsia="lv-LV"/>
              </w:rPr>
              <w:t>rbaudes darbu norises laiku 2019./2020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mācību gadā, nav izdoti.</w:t>
            </w:r>
          </w:p>
          <w:p w:rsidR="00265E37" w:rsidRDefault="00265E37" w:rsidP="00265E37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A8517D">
              <w:rPr>
                <w:rFonts w:eastAsia="Times New Roman" w:cs="Times New Roman"/>
                <w:szCs w:val="24"/>
                <w:lang w:eastAsia="lv-LV"/>
              </w:rPr>
              <w:t>Valsts pārbaudes darbu norises kārtība noteikta Ministru kabineta 2013.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 xml:space="preserve">gada 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17.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decembra noteikumos Nr.</w:t>
            </w:r>
            <w:r w:rsidR="0083728C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1510 “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Valsts pārbaudījumu norises kārtība” un Ministru kabineta 2010.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g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ada 6.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aprīļa noteikumos Nr.</w:t>
            </w:r>
            <w:r w:rsidR="0083728C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335 “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Noteikumi par centralizēto eksāmenu saturu un norises kārtību”.</w:t>
            </w:r>
          </w:p>
          <w:p w:rsidR="00900C1C" w:rsidRDefault="00265E37" w:rsidP="00265E37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A8517D">
              <w:rPr>
                <w:rFonts w:eastAsia="Times New Roman" w:cs="Times New Roman"/>
                <w:szCs w:val="24"/>
                <w:lang w:eastAsia="lv-LV"/>
              </w:rPr>
              <w:t>Projekts nosaka norises laik</w:t>
            </w:r>
            <w:r w:rsidR="00F84D30">
              <w:rPr>
                <w:rFonts w:eastAsia="Times New Roman" w:cs="Times New Roman"/>
                <w:szCs w:val="24"/>
                <w:lang w:eastAsia="lv-LV"/>
              </w:rPr>
              <w:t>us valsts pārbaudes darbiem 2019./2020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83728C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mācību gadā tiem izglītojamiem, kuriem atbilstoši valsts vispārējās izglītības standartiem</w:t>
            </w:r>
            <w:r w:rsidR="00F70C3A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un valsts profesionālās vidējās izglītības standartam un valsts arodizglītības standartam attiecīgajā mācību gadā ir jākārto noteiktie valsts pārbaudes darbi. Tāpat arī projekts nosaka valsts pārbaudes darbu norises laikus</w:t>
            </w:r>
            <w:proofErr w:type="gramStart"/>
            <w:r w:rsidR="00F84D30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gramEnd"/>
            <w:r w:rsidRPr="00A8517D">
              <w:rPr>
                <w:rFonts w:eastAsia="Times New Roman" w:cs="Times New Roman"/>
                <w:szCs w:val="24"/>
                <w:lang w:eastAsia="lv-LV"/>
              </w:rPr>
              <w:t>izglītojamiem, kuri attaisnojošu iemeslu dēļ nav varējuši kārtot valsts pārbaudes darbus noteiktajos lai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kos, un norises laiku valsts pārbaudes darbiem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, kurus organizē pašvaldības izglītības speciālists, izglītības pārvaldes iestāde vai izglītības iestāde.</w:t>
            </w:r>
          </w:p>
          <w:p w:rsidR="00ED4C43" w:rsidRDefault="00B85A55" w:rsidP="00B85A55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A8517D">
              <w:rPr>
                <w:rFonts w:eastAsia="Times New Roman" w:cs="Times New Roman"/>
                <w:szCs w:val="24"/>
                <w:lang w:eastAsia="lv-LV"/>
              </w:rPr>
              <w:t>Tā kā eksāmeni iedalās centralizētajos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 xml:space="preserve"> eksāmenos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, kuru satura izstrādi un eksāmenu darbu vērtēšanu veic Valsts izglī</w:t>
            </w:r>
            <w:r w:rsidR="0031724F">
              <w:rPr>
                <w:rFonts w:eastAsia="Times New Roman" w:cs="Times New Roman"/>
                <w:szCs w:val="24"/>
                <w:lang w:eastAsia="lv-LV"/>
              </w:rPr>
              <w:t>tības satura centrs (turpmāk – c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entrs), un e</w:t>
            </w:r>
            <w:r w:rsidR="0031724F">
              <w:rPr>
                <w:rFonts w:eastAsia="Times New Roman" w:cs="Times New Roman"/>
                <w:szCs w:val="24"/>
                <w:lang w:eastAsia="lv-LV"/>
              </w:rPr>
              <w:t>ksāmenos, kuru saturu izstrādā c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 xml:space="preserve">entrs, bet eksāmenu darbus vērtē izglītības iestādēs, tad projekts nosaka norises laiku par 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lastRenderedPageBreak/>
              <w:t>vispārējās vidējās izglītības ieguvi trīs obligātajiem centralizētajiem eksāmeniem un norises laiku izvēles eksāmeniem, kas var būt gan centra</w:t>
            </w:r>
            <w:r w:rsidR="00ED4C43">
              <w:rPr>
                <w:rFonts w:eastAsia="Times New Roman" w:cs="Times New Roman"/>
                <w:szCs w:val="24"/>
                <w:lang w:eastAsia="lv-LV"/>
              </w:rPr>
              <w:t>lizētie eksāmeni, gan eksāmeni.</w:t>
            </w:r>
          </w:p>
          <w:p w:rsidR="00F030F7" w:rsidRPr="00F70C3A" w:rsidRDefault="00F030F7" w:rsidP="00F030F7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F70C3A">
              <w:rPr>
                <w:rFonts w:eastAsia="Times New Roman" w:cs="Times New Roman"/>
                <w:szCs w:val="24"/>
                <w:lang w:eastAsia="lv-LV"/>
              </w:rPr>
              <w:t>Ministru kabineta 2013.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gada 21.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maija noteikumu Nr.</w:t>
            </w:r>
            <w:r w:rsidR="0083728C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281 “</w:t>
            </w:r>
            <w:r w:rsidRPr="00F70C3A">
              <w:rPr>
                <w:rFonts w:eastAsia="Times New Roman" w:cs="Times New Roman"/>
                <w:szCs w:val="24"/>
                <w:lang w:eastAsia="lv-LV"/>
              </w:rPr>
              <w:t>Noteikumi par valsts vispārējās vidējās izglītības standartu, mācību priekšmetu standartiem un izglītības programmu paraugiem” 17.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F70C3A">
              <w:rPr>
                <w:rFonts w:eastAsia="Times New Roman" w:cs="Times New Roman"/>
                <w:szCs w:val="24"/>
                <w:lang w:eastAsia="lv-LV"/>
              </w:rPr>
              <w:t>punkts nosaka, ka valsts pārbaudījumi par vispārējās vidējās izglītības ieguvi ir ne mazāk kā četri:</w:t>
            </w:r>
          </w:p>
          <w:p w:rsidR="00F030F7" w:rsidRPr="00F70C3A" w:rsidRDefault="002B2889" w:rsidP="00F030F7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17.1. </w:t>
            </w:r>
            <w:r w:rsidR="00F030F7" w:rsidRPr="00F70C3A">
              <w:rPr>
                <w:rFonts w:eastAsia="Times New Roman" w:cs="Times New Roman"/>
                <w:szCs w:val="24"/>
                <w:lang w:eastAsia="lv-LV"/>
              </w:rPr>
              <w:t>centralizētais eksāmens latviešu valodā;</w:t>
            </w:r>
          </w:p>
          <w:p w:rsidR="00F030F7" w:rsidRPr="00F70C3A" w:rsidRDefault="002B2889" w:rsidP="00F030F7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17.2. </w:t>
            </w:r>
            <w:r w:rsidR="00F030F7" w:rsidRPr="00F70C3A">
              <w:rPr>
                <w:rFonts w:eastAsia="Times New Roman" w:cs="Times New Roman"/>
                <w:szCs w:val="24"/>
                <w:lang w:eastAsia="lv-LV"/>
              </w:rPr>
              <w:t>centralizētais eksāmens vienā svešvalodā pēc izglītojamā izvēles;</w:t>
            </w:r>
          </w:p>
          <w:p w:rsidR="00F030F7" w:rsidRPr="00F70C3A" w:rsidRDefault="002B2889" w:rsidP="00F030F7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17.3. </w:t>
            </w:r>
            <w:r w:rsidR="00F030F7" w:rsidRPr="00F70C3A">
              <w:rPr>
                <w:rFonts w:eastAsia="Times New Roman" w:cs="Times New Roman"/>
                <w:szCs w:val="24"/>
                <w:lang w:eastAsia="lv-LV"/>
              </w:rPr>
              <w:t>centralizētais eksāmens matemātikā;</w:t>
            </w:r>
          </w:p>
          <w:p w:rsidR="00F030F7" w:rsidRPr="00F70C3A" w:rsidRDefault="002B2889" w:rsidP="00F030F7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17.4. </w:t>
            </w:r>
            <w:r w:rsidR="00F030F7" w:rsidRPr="00F70C3A">
              <w:rPr>
                <w:rFonts w:eastAsia="Times New Roman" w:cs="Times New Roman"/>
                <w:szCs w:val="24"/>
                <w:lang w:eastAsia="lv-LV"/>
              </w:rPr>
              <w:t>vismaz viens eksāmens pēc izglītojamā izvēles, kurš atbilst vienam no šādiem nosacījumiem:</w:t>
            </w:r>
          </w:p>
          <w:p w:rsidR="00F030F7" w:rsidRDefault="002B2889" w:rsidP="00F030F7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17.4.1. </w:t>
            </w:r>
            <w:r w:rsidR="00F030F7" w:rsidRPr="00F70C3A">
              <w:rPr>
                <w:rFonts w:eastAsia="Times New Roman" w:cs="Times New Roman"/>
                <w:szCs w:val="24"/>
                <w:lang w:eastAsia="lv-LV"/>
              </w:rPr>
              <w:t>mācību priekšmetā, kurā eksāmenu (izņemot šo noteikumu 17.1., 17.2. un 17.3.</w:t>
            </w:r>
            <w:r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F030F7" w:rsidRPr="00F70C3A">
              <w:rPr>
                <w:rFonts w:eastAsia="Times New Roman" w:cs="Times New Roman"/>
                <w:szCs w:val="24"/>
                <w:lang w:eastAsia="lv-LV"/>
              </w:rPr>
              <w:t>apakšpunktā minētos) organizē centrs</w:t>
            </w:r>
            <w:r w:rsidR="002565E6" w:rsidRPr="00F70C3A">
              <w:rPr>
                <w:rFonts w:eastAsia="Times New Roman" w:cs="Times New Roman"/>
                <w:szCs w:val="24"/>
                <w:lang w:eastAsia="lv-LV"/>
              </w:rPr>
              <w:t xml:space="preserve">. </w:t>
            </w:r>
            <w:r w:rsidR="00E7313B" w:rsidRPr="00F70C3A">
              <w:rPr>
                <w:rFonts w:eastAsia="Times New Roman" w:cs="Times New Roman"/>
                <w:szCs w:val="24"/>
                <w:lang w:eastAsia="lv-LV"/>
              </w:rPr>
              <w:t>Tā kā</w:t>
            </w:r>
            <w:r w:rsidR="002565E6" w:rsidRPr="00F70C3A">
              <w:rPr>
                <w:rFonts w:eastAsia="Times New Roman" w:cs="Times New Roman"/>
                <w:szCs w:val="24"/>
                <w:lang w:eastAsia="lv-LV"/>
              </w:rPr>
              <w:t xml:space="preserve"> saskaņā ar </w:t>
            </w:r>
            <w:r w:rsidR="00F70C3A" w:rsidRPr="00F70C3A">
              <w:rPr>
                <w:rFonts w:eastAsia="Times New Roman" w:cs="Times New Roman"/>
                <w:szCs w:val="24"/>
                <w:lang w:eastAsia="lv-LV"/>
              </w:rPr>
              <w:t>minēto noteikumu</w:t>
            </w:r>
            <w:r w:rsidR="002565E6" w:rsidRPr="00F70C3A">
              <w:rPr>
                <w:rFonts w:eastAsia="Times New Roman" w:cs="Times New Roman"/>
                <w:szCs w:val="24"/>
                <w:lang w:eastAsia="lv-LV"/>
              </w:rPr>
              <w:t xml:space="preserve"> 17.4.1.</w:t>
            </w:r>
            <w:r w:rsidR="00690FD4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2565E6" w:rsidRPr="00F70C3A">
              <w:rPr>
                <w:rFonts w:eastAsia="Times New Roman" w:cs="Times New Roman"/>
                <w:szCs w:val="24"/>
                <w:lang w:eastAsia="lv-LV"/>
              </w:rPr>
              <w:t>apakšpunktu izglītojam</w:t>
            </w:r>
            <w:r w:rsidR="00690FD4">
              <w:rPr>
                <w:rFonts w:eastAsia="Times New Roman" w:cs="Times New Roman"/>
                <w:szCs w:val="24"/>
                <w:lang w:eastAsia="lv-LV"/>
              </w:rPr>
              <w:t>a</w:t>
            </w:r>
            <w:r w:rsidR="00DD7F0E">
              <w:rPr>
                <w:rFonts w:eastAsia="Times New Roman" w:cs="Times New Roman"/>
                <w:szCs w:val="24"/>
                <w:lang w:eastAsia="lv-LV"/>
              </w:rPr>
              <w:t>ja</w:t>
            </w:r>
            <w:r w:rsidR="002565E6" w:rsidRPr="00F70C3A">
              <w:rPr>
                <w:rFonts w:eastAsia="Times New Roman" w:cs="Times New Roman"/>
                <w:szCs w:val="24"/>
                <w:lang w:eastAsia="lv-LV"/>
              </w:rPr>
              <w:t>m par vispārējās vidējās izglītības ieguvi ir jākārto viens svešvalodas centralizētais eksāmens</w:t>
            </w:r>
            <w:r w:rsidR="00E7313B" w:rsidRPr="00F70C3A">
              <w:rPr>
                <w:rFonts w:eastAsia="Times New Roman" w:cs="Times New Roman"/>
                <w:szCs w:val="24"/>
                <w:lang w:eastAsia="lv-LV"/>
              </w:rPr>
              <w:t>, tad projekts paredz visu centralizēto svešvalodu eksāmenu norisi vienas nedēļas laikā</w:t>
            </w:r>
            <w:r w:rsidR="002565E6" w:rsidRPr="00F70C3A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  <w:p w:rsidR="00690FD4" w:rsidRPr="00976869" w:rsidRDefault="00F85295" w:rsidP="00B85A55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976869">
              <w:rPr>
                <w:rFonts w:eastAsia="Times New Roman" w:cs="Times New Roman"/>
                <w:szCs w:val="24"/>
                <w:lang w:eastAsia="lv-LV"/>
              </w:rPr>
              <w:t>Rīgas Stradiņa universitātes Psihosomatiskās medicīnas un psihoterapijas</w:t>
            </w:r>
            <w:r w:rsidR="008B1388">
              <w:rPr>
                <w:rFonts w:eastAsia="Times New Roman" w:cs="Times New Roman"/>
                <w:szCs w:val="24"/>
                <w:lang w:eastAsia="lv-LV"/>
              </w:rPr>
              <w:t xml:space="preserve"> klīnika (turpmāk – RSU</w:t>
            </w:r>
            <w:r w:rsidRPr="00976869">
              <w:rPr>
                <w:rFonts w:eastAsia="Times New Roman" w:cs="Times New Roman"/>
                <w:szCs w:val="24"/>
                <w:lang w:eastAsia="lv-LV"/>
              </w:rPr>
              <w:t>) ir izteikusi viedokli, ka divu eksāmenu kārtošana divdesmit četru stundu periodā, no fiziskās un emocionālās veselības sargāšanas un slimību un traucējumu profilakses viedokļa raugoties, nebūtu pieļaujama. Ņemot vērā RSU viedokli, p</w:t>
            </w:r>
            <w:r w:rsidR="00690FD4" w:rsidRPr="00976869">
              <w:rPr>
                <w:rFonts w:eastAsia="Times New Roman" w:cs="Times New Roman"/>
                <w:szCs w:val="24"/>
                <w:lang w:eastAsia="lv-LV"/>
              </w:rPr>
              <w:t>rojekts paredz, ka, kārtojot visus noteiktos obligātos centralizētos eksāmenus un izvēles eksāmenus, izglītojam</w:t>
            </w:r>
            <w:r w:rsidR="00DD7F0E" w:rsidRPr="00976869">
              <w:rPr>
                <w:rFonts w:eastAsia="Times New Roman" w:cs="Times New Roman"/>
                <w:szCs w:val="24"/>
                <w:lang w:eastAsia="lv-LV"/>
              </w:rPr>
              <w:t>aj</w:t>
            </w:r>
            <w:r w:rsidR="00690FD4" w:rsidRPr="00976869">
              <w:rPr>
                <w:rFonts w:eastAsia="Times New Roman" w:cs="Times New Roman"/>
                <w:szCs w:val="24"/>
                <w:lang w:eastAsia="lv-LV"/>
              </w:rPr>
              <w:t>am starp visiem pārbaudījumiem ir nodrošināts vairāk nekā divdesmit četru stundu periods.</w:t>
            </w:r>
          </w:p>
          <w:p w:rsidR="00B85A55" w:rsidRPr="00874215" w:rsidRDefault="00B85A55" w:rsidP="00B85A55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A8517D">
              <w:rPr>
                <w:rFonts w:eastAsia="Times New Roman" w:cs="Times New Roman"/>
                <w:szCs w:val="24"/>
                <w:lang w:eastAsia="lv-LV"/>
              </w:rPr>
              <w:t>Tā kā svešvalodu centralizēto eksāmenu (turpmāk – svešvalodu eksāmens) norisei nepieciešamas vairākas dienas un tajos piedalās liels pedagogu skaits, tad to norise ieplānota laikā, kas pārējiem izgl</w:t>
            </w:r>
            <w:r w:rsidR="00243F6E">
              <w:rPr>
                <w:rFonts w:eastAsia="Times New Roman" w:cs="Times New Roman"/>
                <w:szCs w:val="24"/>
                <w:lang w:eastAsia="lv-LV"/>
              </w:rPr>
              <w:t>ītojamiem Ministru kabineta 2018.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243F6E">
              <w:rPr>
                <w:rFonts w:eastAsia="Times New Roman" w:cs="Times New Roman"/>
                <w:szCs w:val="24"/>
                <w:lang w:eastAsia="lv-LV"/>
              </w:rPr>
              <w:t>gada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 xml:space="preserve"> 11.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decembra noteikumos Nr.</w:t>
            </w:r>
            <w:r w:rsidR="0083728C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777 “</w:t>
            </w:r>
            <w:r w:rsidR="00243F6E">
              <w:rPr>
                <w:rFonts w:eastAsia="Times New Roman" w:cs="Times New Roman"/>
                <w:szCs w:val="24"/>
                <w:lang w:eastAsia="lv-LV"/>
              </w:rPr>
              <w:t>Noteikumi par 2019./2020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.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mācību gada un mācību semestru sākuma un beigu laiku</w:t>
            </w:r>
            <w:r w:rsidR="00243F6E">
              <w:rPr>
                <w:rFonts w:eastAsia="Times New Roman" w:cs="Times New Roman"/>
                <w:szCs w:val="24"/>
                <w:lang w:eastAsia="lv-LV"/>
              </w:rPr>
              <w:t xml:space="preserve"> un brīvdienu laiku” (turpmāk – 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MK note</w:t>
            </w:r>
            <w:r w:rsidR="00243F6E">
              <w:rPr>
                <w:rFonts w:eastAsia="Times New Roman" w:cs="Times New Roman"/>
                <w:szCs w:val="24"/>
                <w:lang w:eastAsia="lv-LV"/>
              </w:rPr>
              <w:t>ikumi Nr.</w:t>
            </w:r>
            <w:r w:rsidR="0083728C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243F6E">
              <w:rPr>
                <w:rFonts w:eastAsia="Times New Roman" w:cs="Times New Roman"/>
                <w:szCs w:val="24"/>
                <w:lang w:eastAsia="lv-LV"/>
              </w:rPr>
              <w:t>777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 xml:space="preserve">) noteikts kā pavasara brīvdienas, lai netiktu traucēts pārējo izglītojamo mācību process. </w:t>
            </w:r>
            <w:r w:rsidR="0081527B">
              <w:rPr>
                <w:rFonts w:eastAsia="Times New Roman" w:cs="Times New Roman"/>
                <w:szCs w:val="24"/>
                <w:lang w:eastAsia="lv-LV"/>
              </w:rPr>
              <w:t>MK noteikumos Nr.</w:t>
            </w:r>
            <w:r w:rsidR="0083728C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81527B">
              <w:rPr>
                <w:rFonts w:eastAsia="Times New Roman" w:cs="Times New Roman"/>
                <w:szCs w:val="24"/>
                <w:lang w:eastAsia="lv-LV"/>
              </w:rPr>
              <w:t xml:space="preserve">777 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12.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klases izglītojamiem pavasara brīvlaiks ir noteikts pēc svešv</w:t>
            </w:r>
            <w:r w:rsidR="00243F6E">
              <w:rPr>
                <w:rFonts w:eastAsia="Times New Roman" w:cs="Times New Roman"/>
                <w:szCs w:val="24"/>
                <w:lang w:eastAsia="lv-LV"/>
              </w:rPr>
              <w:t>alodu eksāmenu norises – no 2020.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243F6E">
              <w:rPr>
                <w:rFonts w:eastAsia="Times New Roman" w:cs="Times New Roman"/>
                <w:szCs w:val="24"/>
                <w:lang w:eastAsia="lv-LV"/>
              </w:rPr>
              <w:t>gada 23.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243F6E">
              <w:rPr>
                <w:rFonts w:eastAsia="Times New Roman" w:cs="Times New Roman"/>
                <w:szCs w:val="24"/>
                <w:lang w:eastAsia="lv-LV"/>
              </w:rPr>
              <w:t>marta līdz 2020.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243F6E">
              <w:rPr>
                <w:rFonts w:eastAsia="Times New Roman" w:cs="Times New Roman"/>
                <w:szCs w:val="24"/>
                <w:lang w:eastAsia="lv-LV"/>
              </w:rPr>
              <w:t>gada 27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martam. Nosakot svešvalo</w:t>
            </w:r>
            <w:r w:rsidR="00243F6E">
              <w:rPr>
                <w:rFonts w:eastAsia="Times New Roman" w:cs="Times New Roman"/>
                <w:szCs w:val="24"/>
                <w:lang w:eastAsia="lv-LV"/>
              </w:rPr>
              <w:t>du eksāmenu norisi 2020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gada martā, vienlaikus tiek samazināta 12.</w:t>
            </w:r>
            <w:r w:rsidR="0083728C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klašu izglītojamo slodze valsts pārbaudījumu laikā maija beigās un jūnijā</w:t>
            </w:r>
            <w:r>
              <w:rPr>
                <w:rFonts w:eastAsia="Times New Roman" w:cs="Times New Roman"/>
                <w:szCs w:val="24"/>
                <w:lang w:eastAsia="lv-LV"/>
              </w:rPr>
              <w:t xml:space="preserve">. 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 xml:space="preserve">Svešvalodu eksāmenā tiek vērtētas izglītojamo vispārējās prasmes 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lastRenderedPageBreak/>
              <w:t>saprast un lietot valodu, tāpēc ir pieļaujama tā norise pirms mācību priekšmeta apguves noslēguma, kas būtiski neietekmē izglītojamo mācību sasniegumu vērtējumu eksāmenā.</w:t>
            </w:r>
          </w:p>
          <w:p w:rsidR="00B85A55" w:rsidRPr="00A8517D" w:rsidRDefault="00243F6E" w:rsidP="00B85A55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Svešvalodu eksāmenu norise 2020</w:t>
            </w:r>
            <w:r w:rsidR="00B85A55" w:rsidRPr="00A8517D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B85A55" w:rsidRPr="00A8517D">
              <w:rPr>
                <w:rFonts w:eastAsia="Times New Roman" w:cs="Times New Roman"/>
                <w:szCs w:val="24"/>
                <w:lang w:eastAsia="lv-LV"/>
              </w:rPr>
              <w:t>gada martā dod iespēju izglītojamo svešvalodu eksāmenu darbu vērtēšanu sākt līdz ar mācību gada beigām 1. – 8.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B85A55" w:rsidRPr="00A8517D">
              <w:rPr>
                <w:rFonts w:eastAsia="Times New Roman" w:cs="Times New Roman"/>
                <w:szCs w:val="24"/>
                <w:lang w:eastAsia="lv-LV"/>
              </w:rPr>
              <w:t>klašu un 10. – 11.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B85A55" w:rsidRPr="00A8517D">
              <w:rPr>
                <w:rFonts w:eastAsia="Times New Roman" w:cs="Times New Roman"/>
                <w:szCs w:val="24"/>
                <w:lang w:eastAsia="lv-LV"/>
              </w:rPr>
              <w:t>klašu izglītojamiem un vispārējās vidējās izglī</w:t>
            </w:r>
            <w:r>
              <w:rPr>
                <w:rFonts w:eastAsia="Times New Roman" w:cs="Times New Roman"/>
                <w:szCs w:val="24"/>
                <w:lang w:eastAsia="lv-LV"/>
              </w:rPr>
              <w:t>tības sertifikātus izsniegt 2020.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>
              <w:rPr>
                <w:rFonts w:eastAsia="Times New Roman" w:cs="Times New Roman"/>
                <w:szCs w:val="24"/>
                <w:lang w:eastAsia="lv-LV"/>
              </w:rPr>
              <w:t>gada 26</w:t>
            </w:r>
            <w:r w:rsidR="00B85A55" w:rsidRPr="00A8517D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B85A55" w:rsidRPr="00A8517D">
              <w:rPr>
                <w:rFonts w:eastAsia="Times New Roman" w:cs="Times New Roman"/>
                <w:szCs w:val="24"/>
                <w:lang w:eastAsia="lv-LV"/>
              </w:rPr>
              <w:t>jūnijā.</w:t>
            </w:r>
          </w:p>
          <w:p w:rsidR="00265E37" w:rsidRDefault="00B85A55" w:rsidP="00B85A55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A8517D">
              <w:rPr>
                <w:rFonts w:eastAsia="Times New Roman" w:cs="Times New Roman"/>
                <w:szCs w:val="24"/>
                <w:lang w:eastAsia="lv-LV"/>
              </w:rPr>
              <w:t>Angļu valodas eksāmenu kārto lielākais skaits</w:t>
            </w:r>
            <w:proofErr w:type="gramStart"/>
            <w:r w:rsidRPr="00A8517D">
              <w:rPr>
                <w:rFonts w:eastAsia="Times New Roman" w:cs="Times New Roman"/>
                <w:szCs w:val="24"/>
                <w:lang w:eastAsia="lv-LV"/>
              </w:rPr>
              <w:t xml:space="preserve">  </w:t>
            </w:r>
            <w:proofErr w:type="gramEnd"/>
            <w:r w:rsidRPr="00A8517D">
              <w:rPr>
                <w:rFonts w:eastAsia="Times New Roman" w:cs="Times New Roman"/>
                <w:szCs w:val="24"/>
                <w:lang w:eastAsia="lv-LV"/>
              </w:rPr>
              <w:t>izglītojamo, līdz ar to tā norisei paredzētas trīs dienas. Franču un vācu valodas eksāmenu izvēlas kārtot neliels izglītojamo skaits, tāpēc šo eksāmenu norisei ir paredzēta viena diena.</w:t>
            </w:r>
          </w:p>
          <w:p w:rsidR="00B85A55" w:rsidRPr="009A5C02" w:rsidRDefault="00B85A55" w:rsidP="00B85A55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9A5C02">
              <w:rPr>
                <w:rFonts w:eastAsia="Times New Roman" w:cs="Times New Roman"/>
                <w:szCs w:val="24"/>
                <w:lang w:eastAsia="lv-LV"/>
              </w:rPr>
              <w:t>Informātikas eksāmenu, kas nav centralizētais eksāmens, lielākā daļa izglītojamo kārto jau 11.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9A5C02">
              <w:rPr>
                <w:rFonts w:eastAsia="Times New Roman" w:cs="Times New Roman"/>
                <w:szCs w:val="24"/>
                <w:lang w:eastAsia="lv-LV"/>
              </w:rPr>
              <w:t xml:space="preserve">klasē – mācību kursa noslēgumā. Informātikas eksāmena rakstu daļas </w:t>
            </w:r>
            <w:r w:rsidR="00243F6E">
              <w:rPr>
                <w:rFonts w:eastAsia="Times New Roman" w:cs="Times New Roman"/>
                <w:szCs w:val="24"/>
                <w:lang w:eastAsia="lv-LV"/>
              </w:rPr>
              <w:t>norise ir paredzēta 2020.</w:t>
            </w:r>
            <w:r w:rsidR="0083728C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243F6E">
              <w:rPr>
                <w:rFonts w:eastAsia="Times New Roman" w:cs="Times New Roman"/>
                <w:szCs w:val="24"/>
                <w:lang w:eastAsia="lv-LV"/>
              </w:rPr>
              <w:t>gada 1.</w:t>
            </w:r>
            <w:r w:rsidR="0083728C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243F6E">
              <w:rPr>
                <w:rFonts w:eastAsia="Times New Roman" w:cs="Times New Roman"/>
                <w:szCs w:val="24"/>
                <w:lang w:eastAsia="lv-LV"/>
              </w:rPr>
              <w:t>jūnijā, bet praktiskā daļa – 1. un 2</w:t>
            </w:r>
            <w:r w:rsidR="002565E6" w:rsidRPr="009A5C02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2565E6" w:rsidRPr="009A5C02">
              <w:rPr>
                <w:rFonts w:eastAsia="Times New Roman" w:cs="Times New Roman"/>
                <w:szCs w:val="24"/>
                <w:lang w:eastAsia="lv-LV"/>
              </w:rPr>
              <w:t>jūn</w:t>
            </w:r>
            <w:r w:rsidRPr="009A5C02">
              <w:rPr>
                <w:rFonts w:eastAsia="Times New Roman" w:cs="Times New Roman"/>
                <w:szCs w:val="24"/>
                <w:lang w:eastAsia="lv-LV"/>
              </w:rPr>
              <w:t>ijā. Tiem 12.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9A5C02">
              <w:rPr>
                <w:rFonts w:eastAsia="Times New Roman" w:cs="Times New Roman"/>
                <w:szCs w:val="24"/>
                <w:lang w:eastAsia="lv-LV"/>
              </w:rPr>
              <w:t>klases izg</w:t>
            </w:r>
            <w:r w:rsidR="00243F6E">
              <w:rPr>
                <w:rFonts w:eastAsia="Times New Roman" w:cs="Times New Roman"/>
                <w:szCs w:val="24"/>
                <w:lang w:eastAsia="lv-LV"/>
              </w:rPr>
              <w:t>lītojamiem, kuri izvēlējušies 3</w:t>
            </w:r>
            <w:r w:rsidR="002565E6" w:rsidRPr="009A5C02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2565E6" w:rsidRPr="009A5C02">
              <w:rPr>
                <w:rFonts w:eastAsia="Times New Roman" w:cs="Times New Roman"/>
                <w:szCs w:val="24"/>
                <w:lang w:eastAsia="lv-LV"/>
              </w:rPr>
              <w:t>jūn</w:t>
            </w:r>
            <w:r w:rsidRPr="009A5C02">
              <w:rPr>
                <w:rFonts w:eastAsia="Times New Roman" w:cs="Times New Roman"/>
                <w:szCs w:val="24"/>
                <w:lang w:eastAsia="lv-LV"/>
              </w:rPr>
              <w:t xml:space="preserve">ijā kārtot </w:t>
            </w:r>
            <w:r w:rsidR="002565E6" w:rsidRPr="009A5C02">
              <w:rPr>
                <w:rFonts w:eastAsia="Times New Roman" w:cs="Times New Roman"/>
                <w:szCs w:val="24"/>
                <w:lang w:eastAsia="lv-LV"/>
              </w:rPr>
              <w:t>bioloģijas centralizēto eksāmenu,</w:t>
            </w:r>
            <w:r w:rsidRPr="009A5C02">
              <w:rPr>
                <w:rFonts w:eastAsia="Times New Roman" w:cs="Times New Roman"/>
                <w:szCs w:val="24"/>
                <w:lang w:eastAsia="lv-LV"/>
              </w:rPr>
              <w:t xml:space="preserve"> informātikas eksāmena praktiskās daļas noris</w:t>
            </w:r>
            <w:r w:rsidR="00243F6E">
              <w:rPr>
                <w:rFonts w:eastAsia="Times New Roman" w:cs="Times New Roman"/>
                <w:szCs w:val="24"/>
                <w:lang w:eastAsia="lv-LV"/>
              </w:rPr>
              <w:t>i izglītības iestāde organizē 1</w:t>
            </w:r>
            <w:r w:rsidR="002565E6" w:rsidRPr="009A5C02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2565E6" w:rsidRPr="009A5C02">
              <w:rPr>
                <w:rFonts w:eastAsia="Times New Roman" w:cs="Times New Roman"/>
                <w:szCs w:val="24"/>
                <w:lang w:eastAsia="lv-LV"/>
              </w:rPr>
              <w:t>jūn</w:t>
            </w:r>
            <w:r w:rsidRPr="009A5C02">
              <w:rPr>
                <w:rFonts w:eastAsia="Times New Roman" w:cs="Times New Roman"/>
                <w:szCs w:val="24"/>
                <w:lang w:eastAsia="lv-LV"/>
              </w:rPr>
              <w:t>ijā</w:t>
            </w:r>
            <w:r w:rsidR="008E392E" w:rsidRPr="009A5C02">
              <w:rPr>
                <w:rFonts w:eastAsia="Times New Roman" w:cs="Times New Roman"/>
                <w:szCs w:val="24"/>
                <w:lang w:eastAsia="lv-LV"/>
              </w:rPr>
              <w:t>, tādējādi nodrošinot, ka starp minētajiem eksāmeniem ir vairāk nekā divdesmit četru stundu periods</w:t>
            </w:r>
            <w:r w:rsidRPr="009A5C02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  <w:p w:rsidR="00B85A55" w:rsidRDefault="00B85A55" w:rsidP="00B85A55">
            <w:pPr>
              <w:jc w:val="both"/>
              <w:rPr>
                <w:rFonts w:eastAsia="Times New Roman" w:cs="Times New Roman"/>
                <w:iCs/>
                <w:szCs w:val="24"/>
                <w:lang w:eastAsia="lv-LV"/>
              </w:rPr>
            </w:pPr>
            <w:r w:rsidRPr="00A8517D">
              <w:rPr>
                <w:rFonts w:eastAsia="Times New Roman" w:cs="Times New Roman"/>
                <w:szCs w:val="24"/>
                <w:lang w:eastAsia="lv-LV"/>
              </w:rPr>
              <w:t>Ministru kabineta 2014.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ga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da 12.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augusta noteikumu Nr.</w:t>
            </w:r>
            <w:r w:rsidR="0083728C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468 “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 xml:space="preserve">Noteikumi par valsts pamatizglītības standartu, pamatizglītības mācību priekšmetu standartiem un pamatizglītības programmu paraugiem” </w:t>
            </w:r>
            <w:r w:rsidRPr="00A8517D">
              <w:rPr>
                <w:rFonts w:eastAsia="Times New Roman" w:cs="Times New Roman"/>
                <w:bCs/>
                <w:szCs w:val="24"/>
                <w:lang w:eastAsia="lv-LV"/>
              </w:rPr>
              <w:t>21. un 22.</w:t>
            </w:r>
            <w:r w:rsidR="002B2889">
              <w:rPr>
                <w:rFonts w:eastAsia="Times New Roman" w:cs="Times New Roman"/>
                <w:bCs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bCs/>
                <w:szCs w:val="24"/>
                <w:lang w:eastAsia="lv-LV"/>
              </w:rPr>
              <w:t xml:space="preserve">punktā noteikts, ka, 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valsts pārbaudījumi 3. un 6.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 xml:space="preserve">klasē ir diagnosticējošie darbi. </w:t>
            </w:r>
            <w:r w:rsidRPr="00A8517D">
              <w:rPr>
                <w:rFonts w:eastAsia="Times New Roman" w:cs="Times New Roman"/>
                <w:iCs/>
                <w:szCs w:val="24"/>
                <w:lang w:eastAsia="lv-LV"/>
              </w:rPr>
              <w:t>Ņemot vērā, ka diagnosticējošo darbu mērķis ir uzlabot izglītojamo sasniegumus jau mācību procesa laikā, projekts paredz noteikt 3.</w:t>
            </w:r>
            <w:r w:rsidR="00F72753">
              <w:rPr>
                <w:rFonts w:eastAsia="Times New Roman" w:cs="Times New Roman"/>
                <w:iCs/>
                <w:szCs w:val="24"/>
                <w:lang w:eastAsia="lv-LV"/>
              </w:rPr>
              <w:t xml:space="preserve"> </w:t>
            </w:r>
            <w:r w:rsidRPr="00A8517D">
              <w:rPr>
                <w:rFonts w:eastAsia="Times New Roman" w:cs="Times New Roman"/>
                <w:iCs/>
                <w:szCs w:val="24"/>
                <w:lang w:eastAsia="lv-LV"/>
              </w:rPr>
              <w:t>un 6.</w:t>
            </w:r>
            <w:r w:rsidR="002B2889">
              <w:rPr>
                <w:rFonts w:eastAsia="Times New Roman" w:cs="Times New Roman"/>
                <w:iCs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iCs/>
                <w:szCs w:val="24"/>
                <w:lang w:eastAsia="lv-LV"/>
              </w:rPr>
              <w:t>klases d</w:t>
            </w:r>
            <w:r w:rsidR="00243F6E">
              <w:rPr>
                <w:rFonts w:eastAsia="Times New Roman" w:cs="Times New Roman"/>
                <w:iCs/>
                <w:szCs w:val="24"/>
                <w:lang w:eastAsia="lv-LV"/>
              </w:rPr>
              <w:t>iagnosticējošo darbu norisi 2020</w:t>
            </w:r>
            <w:r w:rsidRPr="00A8517D">
              <w:rPr>
                <w:rFonts w:eastAsia="Times New Roman" w:cs="Times New Roman"/>
                <w:iCs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iCs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iCs/>
                <w:szCs w:val="24"/>
                <w:lang w:eastAsia="lv-LV"/>
              </w:rPr>
              <w:t>gada februārī – martā. Pēc diagnosticējošo darbu norises skolotājs izvērtēs izglītojamo mācību sasniegumus un organizēs darbu izglītojamo zināšanu un prasmju pilnveidei.</w:t>
            </w:r>
          </w:p>
          <w:p w:rsidR="00B85A55" w:rsidRPr="00A8517D" w:rsidRDefault="00B85A55" w:rsidP="002565E6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A8517D">
              <w:rPr>
                <w:rFonts w:eastAsia="Times New Roman" w:cs="Times New Roman"/>
                <w:iCs/>
                <w:szCs w:val="24"/>
                <w:lang w:eastAsia="lv-LV"/>
              </w:rPr>
              <w:t>Tā kā obligāto centralizēto eksāmenu darbu sagatavošana vērtēšanai, to vērtēšana un datu apstrāde ilgst līdz trim nedēļām, tad latviešu valodas un matemātikas centralizēto eksāmenu norise ir plānota eksāmenu</w:t>
            </w:r>
            <w:r w:rsidR="00243F6E">
              <w:rPr>
                <w:rFonts w:eastAsia="Times New Roman" w:cs="Times New Roman"/>
                <w:iCs/>
                <w:szCs w:val="24"/>
                <w:lang w:eastAsia="lv-LV"/>
              </w:rPr>
              <w:t xml:space="preserve"> sesijas sākumā. Ņemot vērā 2019./2020</w:t>
            </w:r>
            <w:r w:rsidRPr="00A8517D">
              <w:rPr>
                <w:rFonts w:eastAsia="Times New Roman" w:cs="Times New Roman"/>
                <w:iCs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iCs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iCs/>
                <w:szCs w:val="24"/>
                <w:lang w:eastAsia="lv-LV"/>
              </w:rPr>
              <w:t>mācību gadā paredzēto valsts pārbaudījumu norises plānojumu, sertifikātus</w:t>
            </w:r>
            <w:r w:rsidR="002565E6">
              <w:rPr>
                <w:rFonts w:eastAsia="Times New Roman" w:cs="Times New Roman"/>
                <w:iCs/>
                <w:szCs w:val="24"/>
                <w:lang w:eastAsia="lv-LV"/>
              </w:rPr>
              <w:t xml:space="preserve"> </w:t>
            </w:r>
            <w:r w:rsidRPr="00A8517D">
              <w:rPr>
                <w:rFonts w:eastAsia="Times New Roman" w:cs="Times New Roman"/>
                <w:iCs/>
                <w:szCs w:val="24"/>
                <w:lang w:eastAsia="lv-LV"/>
              </w:rPr>
              <w:t>par vispārējo vidē</w:t>
            </w:r>
            <w:r w:rsidR="00243F6E">
              <w:rPr>
                <w:rFonts w:eastAsia="Times New Roman" w:cs="Times New Roman"/>
                <w:iCs/>
                <w:szCs w:val="24"/>
                <w:lang w:eastAsia="lv-LV"/>
              </w:rPr>
              <w:t>jo izglītību varēs izsniegt 2020.</w:t>
            </w:r>
            <w:r w:rsidR="002B2889">
              <w:rPr>
                <w:rFonts w:eastAsia="Times New Roman" w:cs="Times New Roman"/>
                <w:iCs/>
                <w:szCs w:val="24"/>
                <w:lang w:eastAsia="lv-LV"/>
              </w:rPr>
              <w:t> </w:t>
            </w:r>
            <w:r w:rsidR="00243F6E">
              <w:rPr>
                <w:rFonts w:eastAsia="Times New Roman" w:cs="Times New Roman"/>
                <w:iCs/>
                <w:szCs w:val="24"/>
                <w:lang w:eastAsia="lv-LV"/>
              </w:rPr>
              <w:t>gada 26</w:t>
            </w:r>
            <w:r w:rsidRPr="00A8517D">
              <w:rPr>
                <w:rFonts w:eastAsia="Times New Roman" w:cs="Times New Roman"/>
                <w:iCs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iCs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iCs/>
                <w:szCs w:val="24"/>
                <w:lang w:eastAsia="lv-LV"/>
              </w:rPr>
              <w:t>jūnijā.</w:t>
            </w:r>
            <w:r w:rsidR="002565E6">
              <w:rPr>
                <w:rFonts w:eastAsia="Times New Roman" w:cs="Times New Roman"/>
                <w:iCs/>
                <w:szCs w:val="24"/>
                <w:lang w:eastAsia="lv-LV"/>
              </w:rPr>
              <w:t xml:space="preserve"> </w:t>
            </w:r>
            <w:r w:rsidR="002565E6" w:rsidRPr="00976869">
              <w:rPr>
                <w:rFonts w:eastAsia="Times New Roman" w:cs="Times New Roman"/>
                <w:iCs/>
                <w:szCs w:val="24"/>
                <w:lang w:eastAsia="lv-LV"/>
              </w:rPr>
              <w:t>Izglītojamiem, kuri centralizētos eksāmenus kārtos papild</w:t>
            </w:r>
            <w:r w:rsidR="00AF4FD5" w:rsidRPr="00976869">
              <w:rPr>
                <w:rFonts w:eastAsia="Times New Roman" w:cs="Times New Roman"/>
                <w:iCs/>
                <w:szCs w:val="24"/>
                <w:lang w:eastAsia="lv-LV"/>
              </w:rPr>
              <w:t xml:space="preserve">u </w:t>
            </w:r>
            <w:r w:rsidR="002565E6" w:rsidRPr="00976869">
              <w:rPr>
                <w:rFonts w:eastAsia="Times New Roman" w:cs="Times New Roman"/>
                <w:iCs/>
                <w:szCs w:val="24"/>
                <w:lang w:eastAsia="lv-LV"/>
              </w:rPr>
              <w:t>termi</w:t>
            </w:r>
            <w:r w:rsidR="00AF4FD5" w:rsidRPr="00976869">
              <w:rPr>
                <w:rFonts w:eastAsia="Times New Roman" w:cs="Times New Roman"/>
                <w:iCs/>
                <w:szCs w:val="24"/>
                <w:lang w:eastAsia="lv-LV"/>
              </w:rPr>
              <w:t>ņā, sertifikātus par vispārējo vidē</w:t>
            </w:r>
            <w:r w:rsidR="00243F6E">
              <w:rPr>
                <w:rFonts w:eastAsia="Times New Roman" w:cs="Times New Roman"/>
                <w:iCs/>
                <w:szCs w:val="24"/>
                <w:lang w:eastAsia="lv-LV"/>
              </w:rPr>
              <w:t>jo izglītību varēs izsniegt 2020.</w:t>
            </w:r>
            <w:r w:rsidR="002B2889">
              <w:rPr>
                <w:rFonts w:eastAsia="Times New Roman" w:cs="Times New Roman"/>
                <w:iCs/>
                <w:szCs w:val="24"/>
                <w:lang w:eastAsia="lv-LV"/>
              </w:rPr>
              <w:t> </w:t>
            </w:r>
            <w:r w:rsidR="00243F6E">
              <w:rPr>
                <w:rFonts w:eastAsia="Times New Roman" w:cs="Times New Roman"/>
                <w:iCs/>
                <w:szCs w:val="24"/>
                <w:lang w:eastAsia="lv-LV"/>
              </w:rPr>
              <w:t>gada 3</w:t>
            </w:r>
            <w:r w:rsidR="00AF4FD5" w:rsidRPr="00976869">
              <w:rPr>
                <w:rFonts w:eastAsia="Times New Roman" w:cs="Times New Roman"/>
                <w:iCs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iCs/>
                <w:szCs w:val="24"/>
                <w:lang w:eastAsia="lv-LV"/>
              </w:rPr>
              <w:t> </w:t>
            </w:r>
            <w:r w:rsidR="00AF4FD5" w:rsidRPr="00976869">
              <w:rPr>
                <w:rFonts w:eastAsia="Times New Roman" w:cs="Times New Roman"/>
                <w:iCs/>
                <w:szCs w:val="24"/>
                <w:lang w:eastAsia="lv-LV"/>
              </w:rPr>
              <w:t>jūlijā.</w:t>
            </w:r>
          </w:p>
        </w:tc>
      </w:tr>
      <w:tr w:rsidR="00080E9F" w:rsidRPr="00874215" w:rsidTr="00F85295">
        <w:tc>
          <w:tcPr>
            <w:tcW w:w="426" w:type="dxa"/>
            <w:shd w:val="clear" w:color="auto" w:fill="FFFFFF"/>
          </w:tcPr>
          <w:p w:rsidR="00080E9F" w:rsidRPr="00874215" w:rsidRDefault="00080E9F" w:rsidP="00080E9F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2693" w:type="dxa"/>
            <w:shd w:val="clear" w:color="auto" w:fill="FFFFFF"/>
          </w:tcPr>
          <w:p w:rsidR="00080E9F" w:rsidRPr="00874215" w:rsidRDefault="00080E9F" w:rsidP="00080E9F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5687" w:type="dxa"/>
            <w:shd w:val="clear" w:color="auto" w:fill="FFFFFF"/>
          </w:tcPr>
          <w:p w:rsidR="00080E9F" w:rsidRPr="00874215" w:rsidRDefault="00B3497C" w:rsidP="00080E9F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szCs w:val="24"/>
              </w:rPr>
              <w:t>C</w:t>
            </w:r>
            <w:r w:rsidRPr="00B3497C">
              <w:rPr>
                <w:szCs w:val="24"/>
              </w:rPr>
              <w:t>entr</w:t>
            </w:r>
            <w:r>
              <w:rPr>
                <w:szCs w:val="24"/>
              </w:rPr>
              <w:t>s un Izglītības un zinātnes ministrija</w:t>
            </w:r>
            <w:r w:rsidR="00080E9F" w:rsidRPr="00874215">
              <w:rPr>
                <w:rFonts w:eastAsia="Times New Roman" w:cs="Times New Roman"/>
                <w:iCs/>
                <w:szCs w:val="24"/>
                <w:lang w:eastAsia="lv-LV"/>
              </w:rPr>
              <w:t>.</w:t>
            </w:r>
          </w:p>
        </w:tc>
      </w:tr>
      <w:tr w:rsidR="00080E9F" w:rsidRPr="00874215" w:rsidTr="00F85295">
        <w:tc>
          <w:tcPr>
            <w:tcW w:w="426" w:type="dxa"/>
            <w:shd w:val="clear" w:color="auto" w:fill="FFFFFF"/>
          </w:tcPr>
          <w:p w:rsidR="00080E9F" w:rsidRPr="00874215" w:rsidRDefault="00AF4FD5" w:rsidP="00080E9F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lastRenderedPageBreak/>
              <w:t>4</w:t>
            </w:r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080E9F" w:rsidRPr="00874215" w:rsidRDefault="00080E9F" w:rsidP="00080E9F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Cita informācija</w:t>
            </w:r>
          </w:p>
        </w:tc>
        <w:tc>
          <w:tcPr>
            <w:tcW w:w="5687" w:type="dxa"/>
            <w:shd w:val="clear" w:color="auto" w:fill="FFFFFF"/>
          </w:tcPr>
          <w:p w:rsidR="00080E9F" w:rsidRPr="00874215" w:rsidRDefault="00080E9F" w:rsidP="00080E9F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iCs/>
                <w:szCs w:val="24"/>
                <w:lang w:eastAsia="lv-LV"/>
              </w:rPr>
              <w:t>Nav</w:t>
            </w:r>
            <w:r w:rsidR="00B3497C">
              <w:rPr>
                <w:rFonts w:eastAsia="Times New Roman" w:cs="Times New Roman"/>
                <w:iCs/>
                <w:szCs w:val="24"/>
                <w:lang w:eastAsia="lv-LV"/>
              </w:rPr>
              <w:t>.</w:t>
            </w:r>
          </w:p>
        </w:tc>
      </w:tr>
    </w:tbl>
    <w:p w:rsidR="00080E9F" w:rsidRDefault="00080E9F"/>
    <w:tbl>
      <w:tblPr>
        <w:tblW w:w="880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5687"/>
      </w:tblGrid>
      <w:tr w:rsidR="00080E9F" w:rsidRPr="00874215" w:rsidTr="00E93215">
        <w:tc>
          <w:tcPr>
            <w:tcW w:w="8806" w:type="dxa"/>
            <w:gridSpan w:val="3"/>
            <w:shd w:val="clear" w:color="auto" w:fill="FFFFFF"/>
          </w:tcPr>
          <w:p w:rsidR="00080E9F" w:rsidRPr="00874215" w:rsidRDefault="00080E9F" w:rsidP="00080E9F">
            <w:pPr>
              <w:jc w:val="center"/>
              <w:rPr>
                <w:rFonts w:eastAsia="Times New Roman" w:cs="Times New Roman"/>
                <w:iCs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b/>
                <w:bCs/>
                <w:szCs w:val="24"/>
                <w:lang w:eastAsia="lv-LV"/>
              </w:rPr>
              <w:t>II Tiesību akta projekta ietekme uz sabiedrību, tautsaimniecības attīstību un administratīvo slogu</w:t>
            </w:r>
          </w:p>
        </w:tc>
      </w:tr>
      <w:tr w:rsidR="00080E9F" w:rsidRPr="00874215" w:rsidTr="00F85295">
        <w:tc>
          <w:tcPr>
            <w:tcW w:w="426" w:type="dxa"/>
            <w:shd w:val="clear" w:color="auto" w:fill="FFFFFF"/>
          </w:tcPr>
          <w:p w:rsidR="00080E9F" w:rsidRPr="00874215" w:rsidRDefault="00080E9F" w:rsidP="00080E9F">
            <w:pPr>
              <w:ind w:left="181" w:hanging="181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1.</w:t>
            </w:r>
          </w:p>
        </w:tc>
        <w:tc>
          <w:tcPr>
            <w:tcW w:w="2693" w:type="dxa"/>
            <w:shd w:val="clear" w:color="auto" w:fill="FFFFFF"/>
          </w:tcPr>
          <w:p w:rsidR="00080E9F" w:rsidRPr="00874215" w:rsidRDefault="00080E9F" w:rsidP="00080E9F">
            <w:pPr>
              <w:ind w:left="17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5687" w:type="dxa"/>
            <w:shd w:val="clear" w:color="auto" w:fill="FFFFFF"/>
          </w:tcPr>
          <w:p w:rsidR="001F0384" w:rsidRDefault="001F0384" w:rsidP="00F72753">
            <w:pPr>
              <w:jc w:val="both"/>
              <w:rPr>
                <w:rFonts w:eastAsia="Times New Roman" w:cs="Times New Roman"/>
                <w:iCs/>
                <w:szCs w:val="24"/>
                <w:lang w:eastAsia="lv-LV"/>
              </w:rPr>
            </w:pPr>
            <w:r w:rsidRPr="001F0384">
              <w:rPr>
                <w:rFonts w:eastAsia="Times New Roman" w:cs="Times New Roman"/>
                <w:iCs/>
                <w:szCs w:val="24"/>
                <w:lang w:eastAsia="lv-LV"/>
              </w:rPr>
              <w:t>Izglītojamie, kuri kā</w:t>
            </w:r>
            <w:r w:rsidR="00EF6BAD">
              <w:rPr>
                <w:rFonts w:eastAsia="Times New Roman" w:cs="Times New Roman"/>
                <w:iCs/>
                <w:szCs w:val="24"/>
                <w:lang w:eastAsia="lv-LV"/>
              </w:rPr>
              <w:t>rto valsts pārbaudes darbus 2019./2020</w:t>
            </w:r>
            <w:r w:rsidR="002B2889">
              <w:rPr>
                <w:rFonts w:eastAsia="Times New Roman" w:cs="Times New Roman"/>
                <w:iCs/>
                <w:szCs w:val="24"/>
                <w:lang w:eastAsia="lv-LV"/>
              </w:rPr>
              <w:t>. </w:t>
            </w:r>
            <w:r w:rsidRPr="001F0384">
              <w:rPr>
                <w:rFonts w:eastAsia="Times New Roman" w:cs="Times New Roman"/>
                <w:iCs/>
                <w:szCs w:val="24"/>
                <w:lang w:eastAsia="lv-LV"/>
              </w:rPr>
              <w:t xml:space="preserve">mācību gadā izglītības iestādēs, kuras īsteno vispārējās pamatizglītības programmas un vispārējās vidējās izglītības programmas, prognozējams, ka tādi varētu būt </w:t>
            </w:r>
            <w:r w:rsidR="00EF6BAD">
              <w:rPr>
                <w:rFonts w:eastAsia="Times New Roman" w:cs="Times New Roman"/>
                <w:iCs/>
                <w:szCs w:val="24"/>
                <w:lang w:eastAsia="lv-LV"/>
              </w:rPr>
              <w:t>aptuveni</w:t>
            </w:r>
            <w:r w:rsidRPr="001F0384">
              <w:rPr>
                <w:rFonts w:eastAsia="Times New Roman" w:cs="Times New Roman"/>
                <w:iCs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iCs/>
                <w:szCs w:val="24"/>
                <w:lang w:eastAsia="lv-LV"/>
              </w:rPr>
              <w:t>34000 izglītojamie.</w:t>
            </w:r>
          </w:p>
          <w:p w:rsidR="00080E9F" w:rsidRPr="00874215" w:rsidRDefault="00080E9F" w:rsidP="00F72753">
            <w:pPr>
              <w:jc w:val="both"/>
              <w:rPr>
                <w:rFonts w:eastAsia="Times New Roman" w:cs="Times New Roman"/>
                <w:iCs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iCs/>
                <w:szCs w:val="24"/>
                <w:lang w:eastAsia="lv-LV"/>
              </w:rPr>
              <w:t xml:space="preserve">Izglītības iestādes (t.sk. sākumskolas, pamatskolas, vidusskolas un profesionālās izglītības iestādes) – </w:t>
            </w:r>
            <w:r w:rsidR="00C278D8">
              <w:rPr>
                <w:rFonts w:eastAsia="Times New Roman" w:cs="Times New Roman"/>
                <w:iCs/>
                <w:szCs w:val="24"/>
                <w:lang w:eastAsia="lv-LV"/>
              </w:rPr>
              <w:t>721</w:t>
            </w:r>
            <w:r w:rsidRPr="00874215">
              <w:rPr>
                <w:rFonts w:eastAsia="Times New Roman" w:cs="Times New Roman"/>
                <w:iCs/>
                <w:szCs w:val="24"/>
                <w:lang w:eastAsia="lv-LV"/>
              </w:rPr>
              <w:t>.</w:t>
            </w:r>
          </w:p>
          <w:p w:rsidR="00080E9F" w:rsidRPr="00874215" w:rsidRDefault="00080E9F" w:rsidP="00F72753">
            <w:pPr>
              <w:jc w:val="both"/>
              <w:rPr>
                <w:rFonts w:eastAsia="Times New Roman" w:cs="Times New Roman"/>
                <w:i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iCs/>
                <w:szCs w:val="24"/>
                <w:lang w:eastAsia="lv-LV"/>
              </w:rPr>
              <w:t>Augstākās izglītības iestādes – 4, p</w:t>
            </w:r>
            <w:r w:rsidRPr="00874215">
              <w:rPr>
                <w:rFonts w:eastAsia="Times New Roman" w:cs="Times New Roman"/>
                <w:szCs w:val="24"/>
                <w:lang w:eastAsia="lv-LV"/>
              </w:rPr>
              <w:t>ašvaldības izglītības speciālisti vai izglītības pārvaldes iestādes – 109.</w:t>
            </w:r>
          </w:p>
        </w:tc>
      </w:tr>
      <w:tr w:rsidR="00080E9F" w:rsidRPr="00874215" w:rsidTr="00F85295">
        <w:tc>
          <w:tcPr>
            <w:tcW w:w="426" w:type="dxa"/>
            <w:shd w:val="clear" w:color="auto" w:fill="FFFFFF"/>
          </w:tcPr>
          <w:p w:rsidR="00080E9F" w:rsidRPr="00874215" w:rsidRDefault="00080E9F" w:rsidP="00080E9F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2.</w:t>
            </w:r>
          </w:p>
        </w:tc>
        <w:tc>
          <w:tcPr>
            <w:tcW w:w="2693" w:type="dxa"/>
            <w:shd w:val="clear" w:color="auto" w:fill="FFFFFF"/>
          </w:tcPr>
          <w:p w:rsidR="00080E9F" w:rsidRPr="00874215" w:rsidRDefault="00080E9F" w:rsidP="00080E9F">
            <w:pPr>
              <w:ind w:left="17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5687" w:type="dxa"/>
            <w:shd w:val="clear" w:color="auto" w:fill="FFFFFF"/>
          </w:tcPr>
          <w:p w:rsidR="00080E9F" w:rsidRPr="00874215" w:rsidRDefault="00080E9F" w:rsidP="00080E9F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A8517D">
              <w:rPr>
                <w:rFonts w:eastAsia="Times New Roman" w:cs="Times New Roman"/>
                <w:szCs w:val="24"/>
                <w:lang w:eastAsia="lv-LV"/>
              </w:rPr>
              <w:t>Sabiedrības grupām un institūcijām projekta tiesiskais regulējums nemaina tiesības un pienākumus, kā arī veicamās darbības.</w:t>
            </w:r>
          </w:p>
        </w:tc>
      </w:tr>
      <w:tr w:rsidR="00080E9F" w:rsidRPr="00874215" w:rsidTr="00F85295">
        <w:tc>
          <w:tcPr>
            <w:tcW w:w="426" w:type="dxa"/>
            <w:shd w:val="clear" w:color="auto" w:fill="FFFFFF"/>
          </w:tcPr>
          <w:p w:rsidR="00080E9F" w:rsidRPr="00874215" w:rsidRDefault="00080E9F" w:rsidP="00080E9F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3.</w:t>
            </w:r>
          </w:p>
        </w:tc>
        <w:tc>
          <w:tcPr>
            <w:tcW w:w="2693" w:type="dxa"/>
            <w:shd w:val="clear" w:color="auto" w:fill="FFFFFF"/>
          </w:tcPr>
          <w:p w:rsidR="00080E9F" w:rsidRPr="00874215" w:rsidRDefault="00080E9F" w:rsidP="00080E9F">
            <w:pPr>
              <w:ind w:left="17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 xml:space="preserve">Administratīvo izmaksu monetārs novērtējums </w:t>
            </w:r>
          </w:p>
        </w:tc>
        <w:tc>
          <w:tcPr>
            <w:tcW w:w="5687" w:type="dxa"/>
            <w:shd w:val="clear" w:color="auto" w:fill="FFFFFF"/>
          </w:tcPr>
          <w:p w:rsidR="00080E9F" w:rsidRPr="00874215" w:rsidRDefault="00080E9F" w:rsidP="00080E9F">
            <w:pPr>
              <w:rPr>
                <w:rFonts w:eastAsia="Times New Roman" w:cs="Times New Roman"/>
                <w:i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Piešķirto budžeta līdzekļu ietvaros.</w:t>
            </w:r>
          </w:p>
        </w:tc>
      </w:tr>
      <w:tr w:rsidR="00080E9F" w:rsidRPr="00874215" w:rsidTr="00F85295">
        <w:tc>
          <w:tcPr>
            <w:tcW w:w="426" w:type="dxa"/>
            <w:shd w:val="clear" w:color="auto" w:fill="FFFFFF"/>
          </w:tcPr>
          <w:p w:rsidR="00080E9F" w:rsidRPr="00874215" w:rsidRDefault="00080E9F" w:rsidP="00080E9F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4.</w:t>
            </w:r>
          </w:p>
        </w:tc>
        <w:tc>
          <w:tcPr>
            <w:tcW w:w="2693" w:type="dxa"/>
            <w:shd w:val="clear" w:color="auto" w:fill="FFFFFF"/>
          </w:tcPr>
          <w:p w:rsidR="00080E9F" w:rsidRPr="00874215" w:rsidRDefault="00080E9F" w:rsidP="00080E9F">
            <w:pPr>
              <w:ind w:left="17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5687" w:type="dxa"/>
            <w:shd w:val="clear" w:color="auto" w:fill="FFFFFF"/>
          </w:tcPr>
          <w:p w:rsidR="00080E9F" w:rsidRPr="00874215" w:rsidRDefault="00080E9F" w:rsidP="00080E9F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A8517D">
              <w:rPr>
                <w:rFonts w:eastAsia="Times New Roman" w:cs="Times New Roman"/>
                <w:bCs/>
                <w:szCs w:val="24"/>
              </w:rPr>
              <w:t>Projekts šo jomu neskar.</w:t>
            </w:r>
          </w:p>
        </w:tc>
      </w:tr>
      <w:tr w:rsidR="00080E9F" w:rsidRPr="00874215" w:rsidTr="00F85295">
        <w:tc>
          <w:tcPr>
            <w:tcW w:w="426" w:type="dxa"/>
            <w:shd w:val="clear" w:color="auto" w:fill="FFFFFF"/>
          </w:tcPr>
          <w:p w:rsidR="00080E9F" w:rsidRPr="00874215" w:rsidRDefault="00080E9F" w:rsidP="00080E9F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5.</w:t>
            </w:r>
          </w:p>
        </w:tc>
        <w:tc>
          <w:tcPr>
            <w:tcW w:w="2693" w:type="dxa"/>
            <w:shd w:val="clear" w:color="auto" w:fill="FFFFFF"/>
          </w:tcPr>
          <w:p w:rsidR="00080E9F" w:rsidRPr="00874215" w:rsidRDefault="00080E9F" w:rsidP="00080E9F">
            <w:pPr>
              <w:ind w:left="17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Cita informācija.</w:t>
            </w:r>
          </w:p>
        </w:tc>
        <w:tc>
          <w:tcPr>
            <w:tcW w:w="5687" w:type="dxa"/>
            <w:shd w:val="clear" w:color="auto" w:fill="FFFFFF"/>
          </w:tcPr>
          <w:p w:rsidR="00080E9F" w:rsidRPr="00874215" w:rsidRDefault="00080E9F" w:rsidP="00080E9F">
            <w:pPr>
              <w:rPr>
                <w:rFonts w:eastAsia="Times New Roman" w:cs="Times New Roman"/>
                <w:i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iCs/>
                <w:szCs w:val="24"/>
                <w:lang w:eastAsia="lv-LV"/>
              </w:rPr>
              <w:t>Nav</w:t>
            </w:r>
            <w:r w:rsidR="00B3497C">
              <w:rPr>
                <w:rFonts w:eastAsia="Times New Roman" w:cs="Times New Roman"/>
                <w:iCs/>
                <w:szCs w:val="24"/>
                <w:lang w:eastAsia="lv-LV"/>
              </w:rPr>
              <w:t>.</w:t>
            </w:r>
          </w:p>
        </w:tc>
      </w:tr>
    </w:tbl>
    <w:p w:rsidR="00080E9F" w:rsidRDefault="00080E9F"/>
    <w:tbl>
      <w:tblPr>
        <w:tblW w:w="880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6"/>
      </w:tblGrid>
      <w:tr w:rsidR="00080E9F" w:rsidRPr="00874215" w:rsidTr="0055611E">
        <w:tc>
          <w:tcPr>
            <w:tcW w:w="8806" w:type="dxa"/>
            <w:shd w:val="clear" w:color="auto" w:fill="FFFFFF"/>
          </w:tcPr>
          <w:p w:rsidR="00080E9F" w:rsidRPr="00874215" w:rsidRDefault="00080E9F" w:rsidP="00080E9F">
            <w:pPr>
              <w:jc w:val="center"/>
              <w:rPr>
                <w:rFonts w:eastAsia="Times New Roman" w:cs="Times New Roman"/>
                <w:iCs/>
                <w:szCs w:val="24"/>
                <w:lang w:eastAsia="lv-LV"/>
              </w:rPr>
            </w:pPr>
            <w:r w:rsidRPr="006C47BB">
              <w:rPr>
                <w:b/>
                <w:bCs/>
              </w:rPr>
              <w:t>III. Tiesību akta projekta ietekme uz valsts budžetu un pašvaldību budžetiem</w:t>
            </w:r>
          </w:p>
        </w:tc>
      </w:tr>
      <w:tr w:rsidR="00080E9F" w:rsidRPr="00874215" w:rsidTr="00CC57DB">
        <w:tc>
          <w:tcPr>
            <w:tcW w:w="8806" w:type="dxa"/>
            <w:shd w:val="clear" w:color="auto" w:fill="FFFFFF"/>
          </w:tcPr>
          <w:p w:rsidR="00080E9F" w:rsidRPr="00874215" w:rsidRDefault="00080E9F" w:rsidP="00080E9F">
            <w:pPr>
              <w:jc w:val="center"/>
              <w:rPr>
                <w:rFonts w:eastAsia="Times New Roman" w:cs="Times New Roman"/>
                <w:iCs/>
                <w:szCs w:val="24"/>
                <w:lang w:eastAsia="lv-LV"/>
              </w:rPr>
            </w:pPr>
            <w:r>
              <w:rPr>
                <w:bCs/>
              </w:rPr>
              <w:t>Projekts šo jomu neskar.</w:t>
            </w:r>
          </w:p>
        </w:tc>
      </w:tr>
      <w:tr w:rsidR="00080E9F" w:rsidRPr="00874215" w:rsidTr="00885FE7">
        <w:tc>
          <w:tcPr>
            <w:tcW w:w="8806" w:type="dxa"/>
            <w:shd w:val="clear" w:color="auto" w:fill="FFFFFF"/>
          </w:tcPr>
          <w:p w:rsidR="00080E9F" w:rsidRPr="00874215" w:rsidRDefault="00080E9F" w:rsidP="00080E9F">
            <w:pPr>
              <w:jc w:val="center"/>
              <w:rPr>
                <w:rFonts w:eastAsia="Times New Roman" w:cs="Times New Roman"/>
                <w:iCs/>
                <w:szCs w:val="24"/>
                <w:lang w:eastAsia="lv-LV"/>
              </w:rPr>
            </w:pPr>
            <w:r w:rsidRPr="006C47BB">
              <w:rPr>
                <w:b/>
                <w:bCs/>
              </w:rPr>
              <w:t>IV. Tiesību akta projekta ietekme uz spēkā esošo tiesību normu sistēmu</w:t>
            </w:r>
          </w:p>
        </w:tc>
      </w:tr>
      <w:tr w:rsidR="00080E9F" w:rsidRPr="00874215" w:rsidTr="00D85B39">
        <w:tc>
          <w:tcPr>
            <w:tcW w:w="8806" w:type="dxa"/>
            <w:shd w:val="clear" w:color="auto" w:fill="FFFFFF"/>
          </w:tcPr>
          <w:p w:rsidR="00080E9F" w:rsidRPr="00874215" w:rsidRDefault="00080E9F" w:rsidP="00080E9F">
            <w:pPr>
              <w:jc w:val="center"/>
              <w:rPr>
                <w:rFonts w:eastAsia="Times New Roman" w:cs="Times New Roman"/>
                <w:iCs/>
                <w:szCs w:val="24"/>
                <w:lang w:eastAsia="lv-LV"/>
              </w:rPr>
            </w:pPr>
            <w:r>
              <w:rPr>
                <w:bCs/>
              </w:rPr>
              <w:t>P</w:t>
            </w:r>
            <w:r w:rsidRPr="006C47BB">
              <w:rPr>
                <w:bCs/>
              </w:rPr>
              <w:t>rojekts šo jomu neskar.</w:t>
            </w:r>
          </w:p>
        </w:tc>
      </w:tr>
      <w:tr w:rsidR="00080E9F" w:rsidRPr="00874215" w:rsidTr="002B4C17">
        <w:tc>
          <w:tcPr>
            <w:tcW w:w="8806" w:type="dxa"/>
            <w:shd w:val="clear" w:color="auto" w:fill="FFFFFF"/>
            <w:vAlign w:val="center"/>
          </w:tcPr>
          <w:p w:rsidR="00080E9F" w:rsidRPr="006C47BB" w:rsidRDefault="00080E9F" w:rsidP="00080E9F">
            <w:pPr>
              <w:jc w:val="center"/>
              <w:rPr>
                <w:b/>
                <w:bCs/>
              </w:rPr>
            </w:pPr>
            <w:r w:rsidRPr="006C47BB">
              <w:rPr>
                <w:b/>
                <w:bCs/>
              </w:rPr>
              <w:t>V. Tiesību akta projekta atbilstība Latvijas Republikas starptautiskajām saistībām</w:t>
            </w:r>
          </w:p>
        </w:tc>
      </w:tr>
      <w:tr w:rsidR="00080E9F" w:rsidRPr="00874215" w:rsidTr="002B4C17">
        <w:tc>
          <w:tcPr>
            <w:tcW w:w="8806" w:type="dxa"/>
            <w:shd w:val="clear" w:color="auto" w:fill="FFFFFF"/>
            <w:vAlign w:val="center"/>
          </w:tcPr>
          <w:p w:rsidR="00080E9F" w:rsidRPr="006C47BB" w:rsidRDefault="00080E9F" w:rsidP="00080E9F">
            <w:pPr>
              <w:jc w:val="center"/>
              <w:rPr>
                <w:bCs/>
              </w:rPr>
            </w:pPr>
            <w:r>
              <w:rPr>
                <w:bCs/>
              </w:rPr>
              <w:t>P</w:t>
            </w:r>
            <w:r w:rsidRPr="006C47BB">
              <w:rPr>
                <w:bCs/>
              </w:rPr>
              <w:t>rojekts šo jomu neskar.</w:t>
            </w:r>
          </w:p>
        </w:tc>
      </w:tr>
    </w:tbl>
    <w:p w:rsidR="00080E9F" w:rsidRDefault="00080E9F"/>
    <w:tbl>
      <w:tblPr>
        <w:tblW w:w="880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5687"/>
      </w:tblGrid>
      <w:tr w:rsidR="00080E9F" w:rsidRPr="00874215" w:rsidTr="007D0BD7">
        <w:tc>
          <w:tcPr>
            <w:tcW w:w="8806" w:type="dxa"/>
            <w:gridSpan w:val="3"/>
            <w:shd w:val="clear" w:color="auto" w:fill="FFFFFF"/>
          </w:tcPr>
          <w:p w:rsidR="00080E9F" w:rsidRPr="00874215" w:rsidRDefault="00080E9F" w:rsidP="00080E9F">
            <w:pPr>
              <w:jc w:val="center"/>
              <w:rPr>
                <w:rFonts w:eastAsia="Times New Roman" w:cs="Times New Roman"/>
                <w:iCs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b/>
                <w:bCs/>
                <w:szCs w:val="24"/>
                <w:lang w:eastAsia="lv-LV"/>
              </w:rPr>
              <w:t>VI Sabiedrības līdzdalība un komunikācijas aktivitātes</w:t>
            </w:r>
          </w:p>
        </w:tc>
      </w:tr>
      <w:tr w:rsidR="00080E9F" w:rsidRPr="00874215" w:rsidTr="00F85295">
        <w:tc>
          <w:tcPr>
            <w:tcW w:w="426" w:type="dxa"/>
            <w:shd w:val="clear" w:color="auto" w:fill="FFFFFF"/>
          </w:tcPr>
          <w:p w:rsidR="00080E9F" w:rsidRPr="00874215" w:rsidRDefault="00080E9F" w:rsidP="00080E9F">
            <w:pPr>
              <w:ind w:left="180" w:hanging="18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1.</w:t>
            </w:r>
          </w:p>
        </w:tc>
        <w:tc>
          <w:tcPr>
            <w:tcW w:w="2693" w:type="dxa"/>
            <w:shd w:val="clear" w:color="auto" w:fill="FFFFFF"/>
          </w:tcPr>
          <w:p w:rsidR="00080E9F" w:rsidRPr="00874215" w:rsidRDefault="00080E9F" w:rsidP="00080E9F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727CBD" w:rsidRPr="00DD7F0E" w:rsidRDefault="00727CBD" w:rsidP="00080E9F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DD7F0E">
              <w:rPr>
                <w:rFonts w:eastAsia="Times New Roman" w:cs="Times New Roman"/>
                <w:szCs w:val="24"/>
                <w:lang w:eastAsia="lv-LV"/>
              </w:rPr>
              <w:t>Sabiedrības līdzdalība tik</w:t>
            </w:r>
            <w:r w:rsidR="00B3497C">
              <w:rPr>
                <w:rFonts w:eastAsia="Times New Roman" w:cs="Times New Roman"/>
                <w:szCs w:val="24"/>
                <w:lang w:eastAsia="lv-LV"/>
              </w:rPr>
              <w:t>a</w:t>
            </w:r>
            <w:r w:rsidRPr="00DD7F0E">
              <w:rPr>
                <w:rFonts w:eastAsia="Times New Roman" w:cs="Times New Roman"/>
                <w:szCs w:val="24"/>
                <w:lang w:eastAsia="lv-LV"/>
              </w:rPr>
              <w:t xml:space="preserve"> nodrošināta atb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ilstoši Ministru kabineta 2009. </w:t>
            </w:r>
            <w:r w:rsidRPr="00DD7F0E">
              <w:rPr>
                <w:rFonts w:eastAsia="Times New Roman" w:cs="Times New Roman"/>
                <w:szCs w:val="24"/>
                <w:lang w:eastAsia="lv-LV"/>
              </w:rPr>
              <w:t>gada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 xml:space="preserve"> 25. 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augusta noteikumu Nr. 970 “</w:t>
            </w:r>
            <w:r w:rsidRPr="00DD7F0E">
              <w:rPr>
                <w:rFonts w:eastAsia="Times New Roman" w:cs="Times New Roman"/>
                <w:szCs w:val="24"/>
                <w:lang w:eastAsia="lv-LV"/>
              </w:rPr>
              <w:t>Sabiedrības līdzdalības kārtība attīs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tības plānošanas procesā” 7.4.1 </w:t>
            </w:r>
            <w:r w:rsidRPr="00DD7F0E">
              <w:rPr>
                <w:rFonts w:eastAsia="Times New Roman" w:cs="Times New Roman"/>
                <w:szCs w:val="24"/>
                <w:lang w:eastAsia="lv-LV"/>
              </w:rPr>
              <w:t>apakšpunktam.</w:t>
            </w:r>
          </w:p>
          <w:p w:rsidR="00080E9F" w:rsidRPr="00874215" w:rsidRDefault="00080E9F" w:rsidP="00080E9F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Sabiedrības informēšanas pasākumi:</w:t>
            </w:r>
          </w:p>
          <w:p w:rsidR="00080E9F" w:rsidRPr="00874215" w:rsidRDefault="00EF6BAD" w:rsidP="00080E9F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- 2019.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>
              <w:rPr>
                <w:rFonts w:eastAsia="Times New Roman" w:cs="Times New Roman"/>
                <w:szCs w:val="24"/>
                <w:lang w:eastAsia="lv-LV"/>
              </w:rPr>
              <w:t>gada 9</w:t>
            </w:r>
            <w:r w:rsidR="00080E9F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080E9F">
              <w:rPr>
                <w:rFonts w:eastAsia="Times New Roman" w:cs="Times New Roman"/>
                <w:szCs w:val="24"/>
                <w:lang w:eastAsia="lv-LV"/>
              </w:rPr>
              <w:t>janvārī</w:t>
            </w:r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 xml:space="preserve"> projekts nosūtīts novadu un republikas pilsētu izglītības speciālistiem;</w:t>
            </w:r>
          </w:p>
          <w:p w:rsidR="00080E9F" w:rsidRPr="00874215" w:rsidRDefault="00EF6BAD" w:rsidP="00080E9F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- 2019</w:t>
            </w:r>
            <w:r w:rsidR="00080E9F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080E9F">
              <w:rPr>
                <w:rFonts w:eastAsia="Times New Roman" w:cs="Times New Roman"/>
                <w:szCs w:val="24"/>
                <w:lang w:eastAsia="lv-LV"/>
              </w:rPr>
              <w:t xml:space="preserve">gada </w:t>
            </w:r>
            <w:r w:rsidR="00A47CAC" w:rsidRPr="00E06E60">
              <w:rPr>
                <w:rFonts w:eastAsia="Times New Roman" w:cs="Times New Roman"/>
                <w:szCs w:val="24"/>
                <w:lang w:eastAsia="lv-LV"/>
              </w:rPr>
              <w:t>4</w:t>
            </w:r>
            <w:r w:rsidR="00080E9F" w:rsidRPr="00E06E60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080E9F">
              <w:rPr>
                <w:rFonts w:eastAsia="Times New Roman" w:cs="Times New Roman"/>
                <w:szCs w:val="24"/>
                <w:lang w:eastAsia="lv-LV"/>
              </w:rPr>
              <w:t>februārī</w:t>
            </w:r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 xml:space="preserve"> p</w:t>
            </w:r>
            <w:r w:rsidR="001450E3">
              <w:rPr>
                <w:rFonts w:eastAsia="Times New Roman" w:cs="Times New Roman"/>
                <w:szCs w:val="24"/>
                <w:lang w:eastAsia="lv-LV"/>
              </w:rPr>
              <w:t>rojekts nosūtīts arodbiedrībai “</w:t>
            </w:r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>Latvijas izglītības vadītāju asociāc</w:t>
            </w:r>
            <w:r w:rsidR="00A47CAC">
              <w:rPr>
                <w:rFonts w:eastAsia="Times New Roman" w:cs="Times New Roman"/>
                <w:szCs w:val="24"/>
                <w:lang w:eastAsia="lv-LV"/>
              </w:rPr>
              <w:t>ija” (turpmāk – LIVA)</w:t>
            </w:r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:rsidR="00080E9F" w:rsidRPr="00874215" w:rsidRDefault="00EF6BAD" w:rsidP="00080E9F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- 2019</w:t>
            </w:r>
            <w:r w:rsidR="00080E9F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080E9F">
              <w:rPr>
                <w:rFonts w:eastAsia="Times New Roman" w:cs="Times New Roman"/>
                <w:szCs w:val="24"/>
                <w:lang w:eastAsia="lv-LV"/>
              </w:rPr>
              <w:t xml:space="preserve">gada </w:t>
            </w:r>
            <w:r w:rsidR="00A47CAC">
              <w:rPr>
                <w:rFonts w:eastAsia="Times New Roman" w:cs="Times New Roman"/>
                <w:szCs w:val="24"/>
                <w:lang w:eastAsia="lv-LV"/>
              </w:rPr>
              <w:t>4</w:t>
            </w:r>
            <w:r w:rsidR="00080E9F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080E9F">
              <w:rPr>
                <w:rFonts w:eastAsia="Times New Roman" w:cs="Times New Roman"/>
                <w:szCs w:val="24"/>
                <w:lang w:eastAsia="lv-LV"/>
              </w:rPr>
              <w:t>februārī</w:t>
            </w:r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 xml:space="preserve"> projekts nosūtīts Latvijas Izglītības un zinātnes darbinieku arodbiedrībai </w:t>
            </w:r>
            <w:r w:rsidR="00A47CAC">
              <w:rPr>
                <w:rFonts w:eastAsia="Times New Roman" w:cs="Times New Roman"/>
                <w:szCs w:val="24"/>
                <w:lang w:eastAsia="lv-LV"/>
              </w:rPr>
              <w:t>(turpmāk – LIZDA)</w:t>
            </w:r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>;</w:t>
            </w:r>
          </w:p>
          <w:p w:rsidR="00080E9F" w:rsidRPr="00874215" w:rsidRDefault="00EF6BAD" w:rsidP="00080E9F">
            <w:pPr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- 2019</w:t>
            </w:r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 xml:space="preserve">gada </w:t>
            </w:r>
            <w:r w:rsidR="00A47CAC">
              <w:rPr>
                <w:rFonts w:eastAsia="Times New Roman" w:cs="Times New Roman"/>
                <w:szCs w:val="24"/>
                <w:lang w:eastAsia="lv-LV"/>
              </w:rPr>
              <w:t>18</w:t>
            </w:r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81527B">
              <w:rPr>
                <w:rFonts w:eastAsia="Times New Roman" w:cs="Times New Roman"/>
                <w:szCs w:val="24"/>
                <w:lang w:eastAsia="lv-LV"/>
              </w:rPr>
              <w:t>februārī informācija ievietota c</w:t>
            </w:r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>entra mājaslapā (</w:t>
            </w:r>
            <w:proofErr w:type="spellStart"/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>http</w:t>
            </w:r>
            <w:proofErr w:type="spellEnd"/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>://</w:t>
            </w:r>
            <w:proofErr w:type="spellStart"/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>visc.gov.lv</w:t>
            </w:r>
            <w:proofErr w:type="spellEnd"/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>/</w:t>
            </w:r>
            <w:proofErr w:type="spellStart"/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>aktualitates</w:t>
            </w:r>
            <w:proofErr w:type="spellEnd"/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>/</w:t>
            </w:r>
            <w:proofErr w:type="spellStart"/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>dokapspr.shtml</w:t>
            </w:r>
            <w:proofErr w:type="spellEnd"/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>).</w:t>
            </w:r>
          </w:p>
        </w:tc>
      </w:tr>
      <w:tr w:rsidR="00080E9F" w:rsidRPr="00874215" w:rsidTr="00F85295">
        <w:tc>
          <w:tcPr>
            <w:tcW w:w="426" w:type="dxa"/>
            <w:shd w:val="clear" w:color="auto" w:fill="FFFFFF"/>
          </w:tcPr>
          <w:p w:rsidR="00080E9F" w:rsidRPr="00874215" w:rsidRDefault="00080E9F" w:rsidP="00080E9F">
            <w:pPr>
              <w:ind w:left="180" w:hanging="18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lastRenderedPageBreak/>
              <w:t>2.</w:t>
            </w:r>
          </w:p>
        </w:tc>
        <w:tc>
          <w:tcPr>
            <w:tcW w:w="2693" w:type="dxa"/>
            <w:shd w:val="clear" w:color="auto" w:fill="FFFFFF"/>
          </w:tcPr>
          <w:p w:rsidR="00080E9F" w:rsidRPr="00874215" w:rsidRDefault="00080E9F" w:rsidP="00080E9F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080E9F" w:rsidRPr="00874215" w:rsidRDefault="00EF6BAD" w:rsidP="00080E9F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Centrs 2019</w:t>
            </w:r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080E9F" w:rsidRPr="00874215">
              <w:rPr>
                <w:rFonts w:eastAsia="Times New Roman" w:cs="Times New Roman"/>
                <w:szCs w:val="24"/>
                <w:lang w:eastAsia="lv-LV"/>
              </w:rPr>
              <w:t>gada janvārī veica mērķgrupas izglītības iestāžu elektronisku aptauju par sagatavoto projektu.</w:t>
            </w:r>
          </w:p>
        </w:tc>
      </w:tr>
      <w:tr w:rsidR="00080E9F" w:rsidRPr="00874215" w:rsidTr="00F85295">
        <w:tc>
          <w:tcPr>
            <w:tcW w:w="426" w:type="dxa"/>
            <w:shd w:val="clear" w:color="auto" w:fill="FFFFFF"/>
          </w:tcPr>
          <w:p w:rsidR="00080E9F" w:rsidRPr="00874215" w:rsidRDefault="00080E9F" w:rsidP="00080E9F">
            <w:pPr>
              <w:ind w:left="180" w:hanging="18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3.</w:t>
            </w:r>
          </w:p>
        </w:tc>
        <w:tc>
          <w:tcPr>
            <w:tcW w:w="2693" w:type="dxa"/>
            <w:shd w:val="clear" w:color="auto" w:fill="FFFFFF"/>
          </w:tcPr>
          <w:p w:rsidR="00080E9F" w:rsidRPr="00874215" w:rsidRDefault="00080E9F" w:rsidP="00080E9F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5687" w:type="dxa"/>
            <w:shd w:val="clear" w:color="auto" w:fill="FFFFFF"/>
            <w:vAlign w:val="center"/>
          </w:tcPr>
          <w:p w:rsidR="00080E9F" w:rsidRPr="00A8517D" w:rsidRDefault="00080E9F" w:rsidP="001B4291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A8517D">
              <w:rPr>
                <w:rFonts w:eastAsia="Times New Roman" w:cs="Times New Roman"/>
                <w:szCs w:val="24"/>
                <w:lang w:eastAsia="lv-LV"/>
              </w:rPr>
              <w:t xml:space="preserve">Elektroniskajā aptaujā piedalījās </w:t>
            </w:r>
            <w:r w:rsidR="004900B4">
              <w:rPr>
                <w:rFonts w:eastAsia="Times New Roman" w:cs="Times New Roman"/>
                <w:szCs w:val="24"/>
                <w:lang w:eastAsia="lv-LV"/>
              </w:rPr>
              <w:t>20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 xml:space="preserve"> izglītības iestādes. No visiem aptaujas dalībniekiem </w:t>
            </w:r>
            <w:r w:rsidR="004900B4">
              <w:rPr>
                <w:rFonts w:eastAsia="Times New Roman" w:cs="Times New Roman"/>
                <w:szCs w:val="24"/>
                <w:lang w:eastAsia="lv-LV"/>
              </w:rPr>
              <w:t>17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 xml:space="preserve"> atbalsta projektu. </w:t>
            </w:r>
            <w:r w:rsidR="00E06E60" w:rsidRPr="00E06E60">
              <w:rPr>
                <w:rFonts w:eastAsia="Times New Roman" w:cs="Times New Roman"/>
                <w:szCs w:val="24"/>
                <w:lang w:eastAsia="lv-LV"/>
              </w:rPr>
              <w:t>Triju</w:t>
            </w:r>
            <w:r w:rsidRPr="00E06E60">
              <w:rPr>
                <w:rFonts w:eastAsia="Times New Roman" w:cs="Times New Roman"/>
                <w:szCs w:val="24"/>
                <w:lang w:eastAsia="lv-LV"/>
              </w:rPr>
              <w:t xml:space="preserve"> izglītības iestāžu izteiktie iebildumi (visu valsts pārbaudījumu norisi plānot jūnijā, svešvalodu centra</w:t>
            </w:r>
            <w:r w:rsidR="007E69FE">
              <w:rPr>
                <w:rFonts w:eastAsia="Times New Roman" w:cs="Times New Roman"/>
                <w:szCs w:val="24"/>
                <w:lang w:eastAsia="lv-LV"/>
              </w:rPr>
              <w:t>lizēto eksāmenu norisi organizējot</w:t>
            </w:r>
            <w:r w:rsidRPr="00E06E60">
              <w:rPr>
                <w:rFonts w:eastAsia="Times New Roman" w:cs="Times New Roman"/>
                <w:szCs w:val="24"/>
                <w:lang w:eastAsia="lv-LV"/>
              </w:rPr>
              <w:t xml:space="preserve"> pēc mācību gada nobeiguma, mainīt 9.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E06E60">
              <w:rPr>
                <w:rFonts w:eastAsia="Times New Roman" w:cs="Times New Roman"/>
                <w:szCs w:val="24"/>
                <w:lang w:eastAsia="lv-LV"/>
              </w:rPr>
              <w:t xml:space="preserve">klases eksāmenu secību) netika ņemti vērā, jo jebkurš no šiem iebildumiem būtiski ietekmētu centralizēto eksāmenu darbu vērtēšanas procesu un sertifikātu par vispārējo vidējo izglītību izsniegšanas laiku. </w:t>
            </w:r>
            <w:r w:rsidR="00E06E60" w:rsidRPr="00E06E60">
              <w:rPr>
                <w:rFonts w:eastAsia="Times New Roman" w:cs="Times New Roman"/>
                <w:szCs w:val="24"/>
                <w:lang w:eastAsia="lv-LV"/>
              </w:rPr>
              <w:t>Vienas izglītības iestādes</w:t>
            </w:r>
            <w:r w:rsidRPr="00E06E60">
              <w:rPr>
                <w:rFonts w:eastAsia="Times New Roman" w:cs="Times New Roman"/>
                <w:szCs w:val="24"/>
                <w:lang w:eastAsia="lv-LV"/>
              </w:rPr>
              <w:t xml:space="preserve"> priekšlikums – </w:t>
            </w:r>
            <w:r w:rsidR="00E06E60" w:rsidRPr="00E06E60">
              <w:rPr>
                <w:rFonts w:eastAsia="Times New Roman" w:cs="Times New Roman"/>
                <w:szCs w:val="24"/>
                <w:lang w:eastAsia="lv-LV"/>
              </w:rPr>
              <w:t>3.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E06E60" w:rsidRPr="00E06E60">
              <w:rPr>
                <w:rFonts w:eastAsia="Times New Roman" w:cs="Times New Roman"/>
                <w:szCs w:val="24"/>
                <w:lang w:eastAsia="lv-LV"/>
              </w:rPr>
              <w:t>klases diagnosticējošos darbus organizēt atšķirīgās nedēļas dienās</w:t>
            </w:r>
            <w:r w:rsidRPr="00E06E60">
              <w:rPr>
                <w:rFonts w:eastAsia="Times New Roman" w:cs="Times New Roman"/>
                <w:szCs w:val="24"/>
                <w:lang w:eastAsia="lv-LV"/>
              </w:rPr>
              <w:t xml:space="preserve"> – tika ņemts vērā.</w:t>
            </w:r>
          </w:p>
          <w:p w:rsidR="00727CBD" w:rsidRPr="00DD7F0E" w:rsidRDefault="00080E9F" w:rsidP="00080E9F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A8517D">
              <w:rPr>
                <w:rFonts w:eastAsia="Times New Roman" w:cs="Times New Roman"/>
                <w:szCs w:val="24"/>
                <w:lang w:eastAsia="lv-LV"/>
              </w:rPr>
              <w:t>Projekta vērtēša</w:t>
            </w:r>
            <w:r w:rsidR="00EF6BAD">
              <w:rPr>
                <w:rFonts w:eastAsia="Times New Roman" w:cs="Times New Roman"/>
                <w:szCs w:val="24"/>
                <w:lang w:eastAsia="lv-LV"/>
              </w:rPr>
              <w:t>nā piedalījās LIVA (saņemts 2019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 xml:space="preserve">gada </w:t>
            </w:r>
            <w:r w:rsidR="0054268B">
              <w:rPr>
                <w:rFonts w:eastAsia="Times New Roman" w:cs="Times New Roman"/>
                <w:szCs w:val="24"/>
                <w:lang w:eastAsia="lv-LV"/>
              </w:rPr>
              <w:t>18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.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februāra atzinums Nr.</w:t>
            </w:r>
            <w:r w:rsidR="0083728C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54268B">
              <w:rPr>
                <w:rFonts w:eastAsia="Times New Roman" w:cs="Times New Roman"/>
                <w:szCs w:val="24"/>
                <w:lang w:eastAsia="lv-LV"/>
              </w:rPr>
              <w:t>1-3/3</w:t>
            </w:r>
            <w:r w:rsidR="00EF6BAD">
              <w:rPr>
                <w:rFonts w:eastAsia="Times New Roman" w:cs="Times New Roman"/>
                <w:szCs w:val="24"/>
                <w:lang w:eastAsia="lv-LV"/>
              </w:rPr>
              <w:t>) un LIZDA (saņemts 2019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 xml:space="preserve">gada </w:t>
            </w:r>
            <w:r w:rsidR="0054268B">
              <w:rPr>
                <w:rFonts w:eastAsia="Times New Roman" w:cs="Times New Roman"/>
                <w:szCs w:val="24"/>
                <w:lang w:eastAsia="lv-LV"/>
              </w:rPr>
              <w:t>12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="002B2889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februāra atzinums Nr.</w:t>
            </w:r>
            <w:r w:rsidR="0083728C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="0054268B">
              <w:rPr>
                <w:rFonts w:eastAsia="Times New Roman" w:cs="Times New Roman"/>
                <w:szCs w:val="24"/>
                <w:lang w:eastAsia="lv-LV"/>
              </w:rPr>
              <w:t>29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 xml:space="preserve">). LIVA un LIZDA </w:t>
            </w:r>
            <w:r w:rsidR="0054268B">
              <w:rPr>
                <w:rFonts w:eastAsia="Times New Roman" w:cs="Times New Roman"/>
                <w:szCs w:val="24"/>
                <w:lang w:eastAsia="lv-LV"/>
              </w:rPr>
              <w:t>atbalsta projekta tālāko virzību</w:t>
            </w:r>
            <w:r w:rsidRPr="00A8517D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</w:tr>
      <w:tr w:rsidR="00080E9F" w:rsidRPr="00874215" w:rsidTr="00F85295">
        <w:tc>
          <w:tcPr>
            <w:tcW w:w="426" w:type="dxa"/>
            <w:shd w:val="clear" w:color="auto" w:fill="FFFFFF"/>
          </w:tcPr>
          <w:p w:rsidR="00080E9F" w:rsidRPr="00874215" w:rsidRDefault="00080E9F" w:rsidP="00080E9F">
            <w:pPr>
              <w:ind w:left="180" w:hanging="18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4.</w:t>
            </w:r>
          </w:p>
        </w:tc>
        <w:tc>
          <w:tcPr>
            <w:tcW w:w="2693" w:type="dxa"/>
            <w:shd w:val="clear" w:color="auto" w:fill="FFFFFF"/>
          </w:tcPr>
          <w:p w:rsidR="00080E9F" w:rsidRPr="00874215" w:rsidRDefault="00080E9F" w:rsidP="00080E9F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Cita informācija</w:t>
            </w:r>
          </w:p>
        </w:tc>
        <w:tc>
          <w:tcPr>
            <w:tcW w:w="5687" w:type="dxa"/>
            <w:shd w:val="clear" w:color="auto" w:fill="FFFFFF"/>
          </w:tcPr>
          <w:p w:rsidR="00080E9F" w:rsidRPr="00874215" w:rsidRDefault="00080E9F" w:rsidP="00080E9F">
            <w:pPr>
              <w:rPr>
                <w:rFonts w:eastAsia="Times New Roman" w:cs="Times New Roman"/>
                <w:iCs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iCs/>
                <w:szCs w:val="24"/>
                <w:lang w:eastAsia="lv-LV"/>
              </w:rPr>
              <w:t>Nav.</w:t>
            </w:r>
          </w:p>
        </w:tc>
      </w:tr>
    </w:tbl>
    <w:p w:rsidR="00080E9F" w:rsidRDefault="00080E9F"/>
    <w:tbl>
      <w:tblPr>
        <w:tblW w:w="880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5687"/>
      </w:tblGrid>
      <w:tr w:rsidR="00080E9F" w:rsidRPr="00874215" w:rsidTr="00301F83">
        <w:tc>
          <w:tcPr>
            <w:tcW w:w="8806" w:type="dxa"/>
            <w:gridSpan w:val="3"/>
            <w:shd w:val="clear" w:color="auto" w:fill="FFFFFF"/>
          </w:tcPr>
          <w:p w:rsidR="00080E9F" w:rsidRPr="00874215" w:rsidRDefault="00080E9F" w:rsidP="00080E9F">
            <w:pPr>
              <w:jc w:val="center"/>
              <w:rPr>
                <w:rFonts w:eastAsia="Times New Roman" w:cs="Times New Roman"/>
                <w:iCs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b/>
                <w:bCs/>
                <w:szCs w:val="24"/>
                <w:lang w:eastAsia="lv-LV"/>
              </w:rPr>
              <w:t>VII Tiesību akta projekta izpildes nodrošināšana un tās ietekme uz institūcijām</w:t>
            </w:r>
          </w:p>
        </w:tc>
      </w:tr>
      <w:tr w:rsidR="00080E9F" w:rsidRPr="00874215" w:rsidTr="00F85295">
        <w:tc>
          <w:tcPr>
            <w:tcW w:w="426" w:type="dxa"/>
            <w:shd w:val="clear" w:color="auto" w:fill="FFFFFF"/>
          </w:tcPr>
          <w:p w:rsidR="00080E9F" w:rsidRPr="00874215" w:rsidRDefault="00080E9F" w:rsidP="00080E9F">
            <w:pPr>
              <w:ind w:left="181" w:hanging="181"/>
              <w:jc w:val="center"/>
              <w:rPr>
                <w:rFonts w:eastAsia="Times New Roman" w:cs="Times New Roman"/>
                <w:bCs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bCs/>
                <w:szCs w:val="24"/>
                <w:lang w:eastAsia="lv-LV"/>
              </w:rPr>
              <w:t>1.</w:t>
            </w:r>
          </w:p>
        </w:tc>
        <w:tc>
          <w:tcPr>
            <w:tcW w:w="2693" w:type="dxa"/>
            <w:shd w:val="clear" w:color="auto" w:fill="FFFFFF"/>
          </w:tcPr>
          <w:p w:rsidR="00080E9F" w:rsidRPr="00874215" w:rsidRDefault="00080E9F" w:rsidP="00080E9F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 xml:space="preserve">Projekta izpildē iesaistītās institūcijas </w:t>
            </w:r>
          </w:p>
        </w:tc>
        <w:tc>
          <w:tcPr>
            <w:tcW w:w="5687" w:type="dxa"/>
            <w:shd w:val="clear" w:color="auto" w:fill="FFFFFF"/>
          </w:tcPr>
          <w:p w:rsidR="00080E9F" w:rsidRPr="00874215" w:rsidRDefault="00EE330D" w:rsidP="00080E9F">
            <w:pPr>
              <w:jc w:val="both"/>
              <w:rPr>
                <w:rFonts w:eastAsia="Times New Roman" w:cs="Times New Roman"/>
                <w:bCs/>
                <w:szCs w:val="24"/>
                <w:lang w:eastAsia="lv-LV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lv-LV"/>
              </w:rPr>
              <w:t>Centrs, i</w:t>
            </w:r>
            <w:bookmarkStart w:id="0" w:name="_GoBack"/>
            <w:bookmarkEnd w:id="0"/>
            <w:r w:rsidR="00080E9F" w:rsidRPr="00874215">
              <w:rPr>
                <w:rFonts w:eastAsia="Times New Roman" w:cs="Times New Roman"/>
                <w:bCs/>
                <w:iCs/>
                <w:szCs w:val="24"/>
                <w:lang w:eastAsia="lv-LV"/>
              </w:rPr>
              <w:t xml:space="preserve">zglītības iestādes – </w:t>
            </w:r>
            <w:r w:rsidR="00C278D8">
              <w:rPr>
                <w:rFonts w:eastAsia="Times New Roman" w:cs="Times New Roman"/>
                <w:bCs/>
                <w:iCs/>
                <w:szCs w:val="24"/>
                <w:lang w:eastAsia="lv-LV"/>
              </w:rPr>
              <w:t>721</w:t>
            </w:r>
            <w:r w:rsidR="00080E9F" w:rsidRPr="00874215">
              <w:rPr>
                <w:rFonts w:eastAsia="Times New Roman" w:cs="Times New Roman"/>
                <w:bCs/>
                <w:iCs/>
                <w:szCs w:val="24"/>
                <w:lang w:eastAsia="lv-LV"/>
              </w:rPr>
              <w:t>, kuras īsteno vispārējās pamatizglītības programmas, vispārējās vidējās izglītības programmas, profesionālās vidējās izglītības un arodizglītības programmas, p</w:t>
            </w:r>
            <w:r w:rsidR="00080E9F" w:rsidRPr="00874215">
              <w:rPr>
                <w:rFonts w:eastAsia="Times New Roman" w:cs="Times New Roman"/>
                <w:bCs/>
                <w:szCs w:val="24"/>
                <w:lang w:eastAsia="lv-LV"/>
              </w:rPr>
              <w:t>ašvaldības izglītības speciālisti vai izglītības pārvaldes iestādes – 109, augstākās izg</w:t>
            </w:r>
            <w:r w:rsidR="0081527B">
              <w:rPr>
                <w:rFonts w:eastAsia="Times New Roman" w:cs="Times New Roman"/>
                <w:bCs/>
                <w:szCs w:val="24"/>
                <w:lang w:eastAsia="lv-LV"/>
              </w:rPr>
              <w:t>lītības iestādes – 4, ar kurām c</w:t>
            </w:r>
            <w:r w:rsidR="00080E9F" w:rsidRPr="00874215">
              <w:rPr>
                <w:rFonts w:eastAsia="Times New Roman" w:cs="Times New Roman"/>
                <w:bCs/>
                <w:szCs w:val="24"/>
                <w:lang w:eastAsia="lv-LV"/>
              </w:rPr>
              <w:t>entrs ir noslēdzis līgumu par valsts pārbaudījumu norises organizēšanu.</w:t>
            </w:r>
          </w:p>
        </w:tc>
      </w:tr>
      <w:tr w:rsidR="00080E9F" w:rsidRPr="00874215" w:rsidTr="00F85295">
        <w:tc>
          <w:tcPr>
            <w:tcW w:w="426" w:type="dxa"/>
            <w:shd w:val="clear" w:color="auto" w:fill="FFFFFF"/>
          </w:tcPr>
          <w:p w:rsidR="00080E9F" w:rsidRPr="00874215" w:rsidRDefault="00080E9F" w:rsidP="00080E9F">
            <w:pPr>
              <w:jc w:val="center"/>
              <w:rPr>
                <w:rFonts w:eastAsia="Times New Roman" w:cs="Times New Roman"/>
                <w:bCs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bCs/>
                <w:szCs w:val="24"/>
                <w:lang w:eastAsia="lv-LV"/>
              </w:rPr>
              <w:t>2.</w:t>
            </w:r>
          </w:p>
        </w:tc>
        <w:tc>
          <w:tcPr>
            <w:tcW w:w="2693" w:type="dxa"/>
            <w:shd w:val="clear" w:color="auto" w:fill="FFFFFF"/>
          </w:tcPr>
          <w:p w:rsidR="00080E9F" w:rsidRPr="00874215" w:rsidRDefault="00080E9F" w:rsidP="00080E9F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Projekta izpildes ietekme uz pārvaldes funkcijām un institucionālo struktūru.</w:t>
            </w:r>
          </w:p>
          <w:p w:rsidR="00080E9F" w:rsidRPr="00874215" w:rsidRDefault="00080E9F" w:rsidP="00080E9F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Jaunu institūciju izveide, esošu institūciju likvidācija vai reorganizācija, to ietekme uz institūcijas cilvēkresursiem</w:t>
            </w:r>
          </w:p>
        </w:tc>
        <w:tc>
          <w:tcPr>
            <w:tcW w:w="5687" w:type="dxa"/>
            <w:shd w:val="clear" w:color="auto" w:fill="FFFFFF"/>
          </w:tcPr>
          <w:p w:rsidR="00080E9F" w:rsidRPr="00A8517D" w:rsidRDefault="00080E9F" w:rsidP="00080E9F">
            <w:pPr>
              <w:jc w:val="both"/>
              <w:rPr>
                <w:rFonts w:eastAsia="Times New Roman" w:cs="Times New Roman"/>
                <w:bCs/>
                <w:szCs w:val="24"/>
                <w:lang w:eastAsia="lv-LV"/>
              </w:rPr>
            </w:pPr>
            <w:r w:rsidRPr="00A8517D">
              <w:rPr>
                <w:rFonts w:eastAsia="Times New Roman" w:cs="Times New Roman"/>
                <w:bCs/>
                <w:iCs/>
                <w:szCs w:val="24"/>
                <w:lang w:eastAsia="lv-LV"/>
              </w:rPr>
              <w:t>Projekta izpilde nepaplašina un nesašaurina iesaistīto institūciju funkcijas.</w:t>
            </w:r>
          </w:p>
          <w:p w:rsidR="00080E9F" w:rsidRPr="00874215" w:rsidRDefault="00080E9F" w:rsidP="00080E9F">
            <w:pPr>
              <w:jc w:val="both"/>
              <w:rPr>
                <w:rFonts w:eastAsia="Times New Roman" w:cs="Times New Roman"/>
                <w:bCs/>
                <w:szCs w:val="24"/>
                <w:lang w:eastAsia="lv-LV"/>
              </w:rPr>
            </w:pPr>
            <w:r w:rsidRPr="00A8517D">
              <w:rPr>
                <w:rFonts w:eastAsia="Times New Roman" w:cs="Times New Roman"/>
                <w:szCs w:val="24"/>
                <w:lang w:eastAsia="lv-LV"/>
              </w:rPr>
              <w:t>Projekta izpilde tiks nodrošināta esošo institūciju ietvaros.</w:t>
            </w:r>
          </w:p>
        </w:tc>
      </w:tr>
      <w:tr w:rsidR="00080E9F" w:rsidRPr="00874215" w:rsidTr="00F85295">
        <w:tc>
          <w:tcPr>
            <w:tcW w:w="426" w:type="dxa"/>
            <w:tcBorders>
              <w:bottom w:val="single" w:sz="4" w:space="0" w:color="000000" w:themeColor="text1"/>
            </w:tcBorders>
            <w:shd w:val="clear" w:color="auto" w:fill="FFFFFF"/>
          </w:tcPr>
          <w:p w:rsidR="00080E9F" w:rsidRPr="00874215" w:rsidRDefault="00080E9F" w:rsidP="00080E9F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/>
          </w:tcPr>
          <w:p w:rsidR="00080E9F" w:rsidRPr="00874215" w:rsidRDefault="00080E9F" w:rsidP="00080E9F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Cita informācija.</w:t>
            </w:r>
          </w:p>
        </w:tc>
        <w:tc>
          <w:tcPr>
            <w:tcW w:w="5687" w:type="dxa"/>
            <w:shd w:val="clear" w:color="auto" w:fill="FFFFFF"/>
          </w:tcPr>
          <w:p w:rsidR="00080E9F" w:rsidRPr="00874215" w:rsidRDefault="00080E9F" w:rsidP="00080E9F">
            <w:pPr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874215">
              <w:rPr>
                <w:rFonts w:eastAsia="Times New Roman" w:cs="Times New Roman"/>
                <w:szCs w:val="24"/>
                <w:lang w:eastAsia="lv-LV"/>
              </w:rPr>
              <w:t>Nav</w:t>
            </w:r>
            <w:r w:rsidR="00B3497C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</w:tr>
    </w:tbl>
    <w:p w:rsidR="001B4291" w:rsidRDefault="001B4291" w:rsidP="001B4291">
      <w:pPr>
        <w:keepNext/>
        <w:tabs>
          <w:tab w:val="right" w:pos="8789"/>
        </w:tabs>
        <w:outlineLvl w:val="4"/>
        <w:rPr>
          <w:rFonts w:eastAsia="Times New Roman" w:cs="Times New Roman"/>
          <w:szCs w:val="24"/>
        </w:rPr>
      </w:pPr>
    </w:p>
    <w:p w:rsidR="00874215" w:rsidRPr="00874215" w:rsidRDefault="00874215" w:rsidP="001B4291">
      <w:pPr>
        <w:keepNext/>
        <w:tabs>
          <w:tab w:val="right" w:pos="8364"/>
        </w:tabs>
        <w:ind w:firstLine="426"/>
        <w:outlineLvl w:val="4"/>
        <w:rPr>
          <w:rFonts w:eastAsia="Times New Roman" w:cs="Times New Roman"/>
          <w:szCs w:val="24"/>
        </w:rPr>
      </w:pPr>
      <w:r w:rsidRPr="00874215">
        <w:rPr>
          <w:rFonts w:eastAsia="Times New Roman" w:cs="Times New Roman"/>
          <w:szCs w:val="24"/>
        </w:rPr>
        <w:t xml:space="preserve">Izglītības </w:t>
      </w:r>
      <w:r w:rsidR="0089112C">
        <w:rPr>
          <w:rFonts w:eastAsia="Times New Roman" w:cs="Times New Roman"/>
          <w:szCs w:val="24"/>
        </w:rPr>
        <w:t>un zinātnes ministre</w:t>
      </w:r>
      <w:r w:rsidR="00347F23">
        <w:rPr>
          <w:rFonts w:eastAsia="Times New Roman" w:cs="Times New Roman"/>
          <w:szCs w:val="24"/>
        </w:rPr>
        <w:tab/>
      </w:r>
      <w:proofErr w:type="spellStart"/>
      <w:r w:rsidR="00347F23">
        <w:rPr>
          <w:rFonts w:eastAsia="Times New Roman" w:cs="Times New Roman"/>
          <w:szCs w:val="24"/>
        </w:rPr>
        <w:t>I.Šuplinska</w:t>
      </w:r>
      <w:proofErr w:type="spellEnd"/>
    </w:p>
    <w:p w:rsidR="005D1491" w:rsidRDefault="005D1491" w:rsidP="00874215">
      <w:pPr>
        <w:tabs>
          <w:tab w:val="right" w:pos="8789"/>
        </w:tabs>
        <w:ind w:firstLine="426"/>
        <w:rPr>
          <w:rFonts w:eastAsia="Times New Roman" w:cs="Times New Roman"/>
          <w:szCs w:val="24"/>
          <w:lang w:eastAsia="lv-LV"/>
        </w:rPr>
      </w:pPr>
    </w:p>
    <w:p w:rsidR="00C871F7" w:rsidRPr="00AF4FD5" w:rsidRDefault="00874215" w:rsidP="00AF4FD5">
      <w:pPr>
        <w:tabs>
          <w:tab w:val="right" w:pos="8364"/>
        </w:tabs>
        <w:ind w:firstLine="426"/>
        <w:rPr>
          <w:rFonts w:eastAsia="Calibri" w:cs="Times New Roman"/>
          <w:szCs w:val="24"/>
        </w:rPr>
      </w:pPr>
      <w:r w:rsidRPr="001B4291">
        <w:rPr>
          <w:rFonts w:eastAsia="Times New Roman" w:cs="Times New Roman"/>
          <w:szCs w:val="24"/>
          <w:lang w:eastAsia="lv-LV"/>
        </w:rPr>
        <w:t xml:space="preserve">Vizē: </w:t>
      </w:r>
      <w:r w:rsidRPr="001B4291">
        <w:rPr>
          <w:rFonts w:eastAsia="Calibri" w:cs="Times New Roman"/>
          <w:szCs w:val="24"/>
        </w:rPr>
        <w:t>Valsts sekretāre</w:t>
      </w:r>
      <w:r w:rsidRPr="001B4291">
        <w:rPr>
          <w:rFonts w:eastAsia="Calibri" w:cs="Times New Roman"/>
          <w:szCs w:val="24"/>
        </w:rPr>
        <w:tab/>
      </w:r>
      <w:r w:rsidRPr="001B4291">
        <w:rPr>
          <w:rFonts w:eastAsia="Times New Roman" w:cs="Times New Roman"/>
          <w:bCs/>
          <w:szCs w:val="24"/>
        </w:rPr>
        <w:t>L.Lejiņa</w:t>
      </w:r>
    </w:p>
    <w:p w:rsidR="00F85295" w:rsidRDefault="00F85295" w:rsidP="00874215">
      <w:pPr>
        <w:rPr>
          <w:rFonts w:eastAsia="Times New Roman" w:cs="Times New Roman"/>
          <w:sz w:val="20"/>
          <w:szCs w:val="20"/>
          <w:lang w:eastAsia="lv-LV"/>
        </w:rPr>
      </w:pPr>
    </w:p>
    <w:p w:rsidR="00347F23" w:rsidRDefault="00347F23" w:rsidP="00874215">
      <w:pPr>
        <w:rPr>
          <w:rFonts w:eastAsia="Times New Roman" w:cs="Times New Roman"/>
          <w:sz w:val="20"/>
          <w:szCs w:val="20"/>
          <w:lang w:eastAsia="lv-LV"/>
        </w:rPr>
      </w:pPr>
    </w:p>
    <w:p w:rsidR="00F72753" w:rsidRDefault="00F72753" w:rsidP="00874215">
      <w:pPr>
        <w:rPr>
          <w:rFonts w:eastAsia="Times New Roman" w:cs="Times New Roman"/>
          <w:sz w:val="20"/>
          <w:szCs w:val="20"/>
          <w:lang w:eastAsia="lv-LV"/>
        </w:rPr>
      </w:pPr>
    </w:p>
    <w:p w:rsidR="00F72753" w:rsidRDefault="00F72753" w:rsidP="00874215">
      <w:pPr>
        <w:rPr>
          <w:rFonts w:eastAsia="Times New Roman" w:cs="Times New Roman"/>
          <w:sz w:val="20"/>
          <w:szCs w:val="20"/>
          <w:lang w:eastAsia="lv-LV"/>
        </w:rPr>
      </w:pPr>
    </w:p>
    <w:p w:rsidR="0031724F" w:rsidRDefault="0031724F" w:rsidP="00874215">
      <w:pPr>
        <w:rPr>
          <w:rFonts w:eastAsia="Times New Roman" w:cs="Times New Roman"/>
          <w:sz w:val="20"/>
          <w:szCs w:val="20"/>
          <w:lang w:eastAsia="lv-LV"/>
        </w:rPr>
      </w:pPr>
    </w:p>
    <w:p w:rsidR="0031724F" w:rsidRDefault="0031724F" w:rsidP="00874215">
      <w:pPr>
        <w:rPr>
          <w:rFonts w:eastAsia="Times New Roman" w:cs="Times New Roman"/>
          <w:sz w:val="20"/>
          <w:szCs w:val="20"/>
          <w:lang w:eastAsia="lv-LV"/>
        </w:rPr>
      </w:pPr>
    </w:p>
    <w:p w:rsidR="00874215" w:rsidRPr="00874215" w:rsidRDefault="00874215" w:rsidP="00874215">
      <w:pPr>
        <w:rPr>
          <w:rFonts w:eastAsia="Times New Roman" w:cs="Times New Roman"/>
          <w:sz w:val="20"/>
          <w:szCs w:val="24"/>
          <w:lang w:eastAsia="lv-LV"/>
        </w:rPr>
      </w:pPr>
      <w:proofErr w:type="spellStart"/>
      <w:r w:rsidRPr="00874215">
        <w:rPr>
          <w:rFonts w:eastAsia="Times New Roman" w:cs="Times New Roman"/>
          <w:sz w:val="20"/>
          <w:szCs w:val="24"/>
          <w:lang w:eastAsia="lv-LV"/>
        </w:rPr>
        <w:t>Kamarūte</w:t>
      </w:r>
      <w:proofErr w:type="spellEnd"/>
    </w:p>
    <w:p w:rsidR="00874215" w:rsidRPr="005D1491" w:rsidRDefault="00874215">
      <w:pPr>
        <w:rPr>
          <w:rFonts w:eastAsia="Times New Roman" w:cs="Times New Roman"/>
          <w:sz w:val="20"/>
          <w:szCs w:val="24"/>
          <w:lang w:eastAsia="lv-LV"/>
        </w:rPr>
      </w:pPr>
      <w:r w:rsidRPr="00874215">
        <w:rPr>
          <w:rFonts w:eastAsia="Times New Roman" w:cs="Times New Roman"/>
          <w:sz w:val="20"/>
          <w:szCs w:val="24"/>
          <w:lang w:eastAsia="lv-LV"/>
        </w:rPr>
        <w:t>67814478,ingrida.kamarute@visc.gov.lv</w:t>
      </w:r>
    </w:p>
    <w:sectPr w:rsidR="00874215" w:rsidRPr="005D1491" w:rsidSect="00C0623E">
      <w:headerReference w:type="default" r:id="rId7"/>
      <w:footerReference w:type="default" r:id="rId8"/>
      <w:footerReference w:type="first" r:id="rId9"/>
      <w:pgSz w:w="11906" w:h="16838"/>
      <w:pgMar w:top="1418" w:right="1797" w:bottom="141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91" w:rsidRDefault="00A41D91" w:rsidP="00874215">
      <w:r>
        <w:separator/>
      </w:r>
    </w:p>
  </w:endnote>
  <w:endnote w:type="continuationSeparator" w:id="0">
    <w:p w:rsidR="00A41D91" w:rsidRDefault="00A41D91" w:rsidP="0087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15" w:rsidRPr="00874215" w:rsidRDefault="00B90930" w:rsidP="00874215">
    <w:pPr>
      <w:tabs>
        <w:tab w:val="center" w:pos="4153"/>
        <w:tab w:val="right" w:pos="8306"/>
      </w:tabs>
      <w:jc w:val="both"/>
      <w:rPr>
        <w:rFonts w:eastAsia="Times New Roman" w:cs="Times New Roman"/>
        <w:szCs w:val="24"/>
        <w:lang w:eastAsia="lv-LV"/>
      </w:rPr>
    </w:pPr>
    <w:r>
      <w:rPr>
        <w:rFonts w:eastAsia="Times New Roman" w:cs="Times New Roman"/>
        <w:sz w:val="20"/>
        <w:szCs w:val="24"/>
        <w:lang w:eastAsia="lv-LV"/>
      </w:rPr>
      <w:t>I</w:t>
    </w:r>
    <w:r w:rsidR="00F85295">
      <w:rPr>
        <w:rFonts w:eastAsia="Times New Roman" w:cs="Times New Roman"/>
        <w:sz w:val="20"/>
        <w:szCs w:val="24"/>
        <w:lang w:eastAsia="lv-LV"/>
      </w:rPr>
      <w:t>ZMAnot_</w:t>
    </w:r>
    <w:r w:rsidR="001450E3">
      <w:rPr>
        <w:rFonts w:eastAsia="Times New Roman" w:cs="Times New Roman"/>
        <w:sz w:val="20"/>
        <w:szCs w:val="24"/>
        <w:lang w:eastAsia="lv-LV"/>
      </w:rPr>
      <w:t>20</w:t>
    </w:r>
    <w:r w:rsidR="00C278D8">
      <w:rPr>
        <w:rFonts w:eastAsia="Times New Roman" w:cs="Times New Roman"/>
        <w:sz w:val="20"/>
        <w:szCs w:val="24"/>
        <w:lang w:eastAsia="lv-LV"/>
      </w:rPr>
      <w:t>0219</w:t>
    </w:r>
    <w:r w:rsidR="00874215" w:rsidRPr="00874215">
      <w:rPr>
        <w:rFonts w:eastAsia="Times New Roman" w:cs="Times New Roman"/>
        <w:sz w:val="20"/>
        <w:szCs w:val="24"/>
        <w:lang w:eastAsia="lv-LV"/>
      </w:rPr>
      <w:t>_norislaik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15" w:rsidRPr="00606925" w:rsidRDefault="00B90930" w:rsidP="00606925">
    <w:pPr>
      <w:tabs>
        <w:tab w:val="center" w:pos="4153"/>
        <w:tab w:val="right" w:pos="8306"/>
      </w:tabs>
      <w:jc w:val="both"/>
      <w:rPr>
        <w:rFonts w:eastAsia="Times New Roman" w:cs="Times New Roman"/>
        <w:szCs w:val="24"/>
        <w:lang w:eastAsia="lv-LV"/>
      </w:rPr>
    </w:pPr>
    <w:r>
      <w:rPr>
        <w:rFonts w:eastAsia="Times New Roman" w:cs="Times New Roman"/>
        <w:sz w:val="20"/>
        <w:szCs w:val="24"/>
        <w:lang w:eastAsia="lv-LV"/>
      </w:rPr>
      <w:t>I</w:t>
    </w:r>
    <w:r w:rsidR="00F85295">
      <w:rPr>
        <w:rFonts w:eastAsia="Times New Roman" w:cs="Times New Roman"/>
        <w:sz w:val="20"/>
        <w:szCs w:val="24"/>
        <w:lang w:eastAsia="lv-LV"/>
      </w:rPr>
      <w:t>ZMAnot_</w:t>
    </w:r>
    <w:r w:rsidR="001450E3">
      <w:rPr>
        <w:rFonts w:eastAsia="Times New Roman" w:cs="Times New Roman"/>
        <w:sz w:val="20"/>
        <w:szCs w:val="24"/>
        <w:lang w:eastAsia="lv-LV"/>
      </w:rPr>
      <w:t>20</w:t>
    </w:r>
    <w:r w:rsidR="00C278D8">
      <w:rPr>
        <w:rFonts w:eastAsia="Times New Roman" w:cs="Times New Roman"/>
        <w:sz w:val="20"/>
        <w:szCs w:val="24"/>
        <w:lang w:eastAsia="lv-LV"/>
      </w:rPr>
      <w:t>02</w:t>
    </w:r>
    <w:r w:rsidR="00DD0157">
      <w:rPr>
        <w:rFonts w:eastAsia="Times New Roman" w:cs="Times New Roman"/>
        <w:sz w:val="20"/>
        <w:szCs w:val="24"/>
        <w:lang w:eastAsia="lv-LV"/>
      </w:rPr>
      <w:t>19</w:t>
    </w:r>
    <w:r w:rsidR="00606925" w:rsidRPr="00606925">
      <w:rPr>
        <w:rFonts w:eastAsia="Times New Roman" w:cs="Times New Roman"/>
        <w:sz w:val="20"/>
        <w:szCs w:val="24"/>
        <w:lang w:eastAsia="lv-LV"/>
      </w:rPr>
      <w:t>_norislaik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91" w:rsidRDefault="00A41D91" w:rsidP="00874215">
      <w:r>
        <w:separator/>
      </w:r>
    </w:p>
  </w:footnote>
  <w:footnote w:type="continuationSeparator" w:id="0">
    <w:p w:rsidR="00A41D91" w:rsidRDefault="00A41D91" w:rsidP="00874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6281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4215" w:rsidRDefault="008742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3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74215" w:rsidRDefault="00874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15"/>
    <w:rsid w:val="000245AE"/>
    <w:rsid w:val="00080E9F"/>
    <w:rsid w:val="00140E48"/>
    <w:rsid w:val="001450E3"/>
    <w:rsid w:val="00186024"/>
    <w:rsid w:val="001B3A15"/>
    <w:rsid w:val="001B4291"/>
    <w:rsid w:val="001F0384"/>
    <w:rsid w:val="00243F6E"/>
    <w:rsid w:val="002565E6"/>
    <w:rsid w:val="00265E37"/>
    <w:rsid w:val="0028622A"/>
    <w:rsid w:val="002B2889"/>
    <w:rsid w:val="002B2BDD"/>
    <w:rsid w:val="0031724F"/>
    <w:rsid w:val="00347F23"/>
    <w:rsid w:val="00446434"/>
    <w:rsid w:val="004900B4"/>
    <w:rsid w:val="004B398B"/>
    <w:rsid w:val="004D380E"/>
    <w:rsid w:val="0054268B"/>
    <w:rsid w:val="00576B32"/>
    <w:rsid w:val="00577E50"/>
    <w:rsid w:val="0059238B"/>
    <w:rsid w:val="005A0168"/>
    <w:rsid w:val="005D1491"/>
    <w:rsid w:val="00606925"/>
    <w:rsid w:val="006250DD"/>
    <w:rsid w:val="00626083"/>
    <w:rsid w:val="00690FD4"/>
    <w:rsid w:val="0069579D"/>
    <w:rsid w:val="006D47BE"/>
    <w:rsid w:val="006D56BA"/>
    <w:rsid w:val="006F594D"/>
    <w:rsid w:val="00727CBD"/>
    <w:rsid w:val="0077437E"/>
    <w:rsid w:val="007A1D2A"/>
    <w:rsid w:val="007B08AD"/>
    <w:rsid w:val="007E69FE"/>
    <w:rsid w:val="0081527B"/>
    <w:rsid w:val="0083728C"/>
    <w:rsid w:val="00874215"/>
    <w:rsid w:val="008744F0"/>
    <w:rsid w:val="0089112C"/>
    <w:rsid w:val="008B1388"/>
    <w:rsid w:val="008E392E"/>
    <w:rsid w:val="008E4C9B"/>
    <w:rsid w:val="008E6512"/>
    <w:rsid w:val="008F739C"/>
    <w:rsid w:val="00900C1C"/>
    <w:rsid w:val="00946AA3"/>
    <w:rsid w:val="00967EC9"/>
    <w:rsid w:val="00976869"/>
    <w:rsid w:val="009A5C02"/>
    <w:rsid w:val="009D2120"/>
    <w:rsid w:val="00A06E55"/>
    <w:rsid w:val="00A07244"/>
    <w:rsid w:val="00A30D2D"/>
    <w:rsid w:val="00A41D91"/>
    <w:rsid w:val="00A47CAC"/>
    <w:rsid w:val="00A8517D"/>
    <w:rsid w:val="00AF4FD5"/>
    <w:rsid w:val="00B3497C"/>
    <w:rsid w:val="00B85A55"/>
    <w:rsid w:val="00B90930"/>
    <w:rsid w:val="00B94BDD"/>
    <w:rsid w:val="00BA2486"/>
    <w:rsid w:val="00BF5C70"/>
    <w:rsid w:val="00C0623E"/>
    <w:rsid w:val="00C20ABF"/>
    <w:rsid w:val="00C2109C"/>
    <w:rsid w:val="00C278D8"/>
    <w:rsid w:val="00C453AC"/>
    <w:rsid w:val="00C67A84"/>
    <w:rsid w:val="00C871F7"/>
    <w:rsid w:val="00CA5F78"/>
    <w:rsid w:val="00CF71CD"/>
    <w:rsid w:val="00D04CF3"/>
    <w:rsid w:val="00D061D3"/>
    <w:rsid w:val="00D755EA"/>
    <w:rsid w:val="00D83EF0"/>
    <w:rsid w:val="00DD0157"/>
    <w:rsid w:val="00DD7F0E"/>
    <w:rsid w:val="00E057CF"/>
    <w:rsid w:val="00E06E60"/>
    <w:rsid w:val="00E1694E"/>
    <w:rsid w:val="00E372AD"/>
    <w:rsid w:val="00E7313B"/>
    <w:rsid w:val="00ED4C43"/>
    <w:rsid w:val="00EE330D"/>
    <w:rsid w:val="00EF6BAD"/>
    <w:rsid w:val="00F030F7"/>
    <w:rsid w:val="00F25610"/>
    <w:rsid w:val="00F558C4"/>
    <w:rsid w:val="00F575F3"/>
    <w:rsid w:val="00F70C3A"/>
    <w:rsid w:val="00F72753"/>
    <w:rsid w:val="00F84D30"/>
    <w:rsid w:val="00F85295"/>
    <w:rsid w:val="00F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2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215"/>
  </w:style>
  <w:style w:type="paragraph" w:styleId="Footer">
    <w:name w:val="footer"/>
    <w:basedOn w:val="Normal"/>
    <w:link w:val="FooterChar"/>
    <w:uiPriority w:val="99"/>
    <w:unhideWhenUsed/>
    <w:rsid w:val="008742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2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215"/>
  </w:style>
  <w:style w:type="paragraph" w:styleId="Footer">
    <w:name w:val="footer"/>
    <w:basedOn w:val="Normal"/>
    <w:link w:val="FooterChar"/>
    <w:uiPriority w:val="99"/>
    <w:unhideWhenUsed/>
    <w:rsid w:val="008742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7584</Words>
  <Characters>4324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projekta "Noteikumi par valsrts pārbaudes darbu norises laiku 2018./2019.mācību gadā" sākotnējās ietekmes novērtējuma ziņojums (anotācija)</vt:lpstr>
    </vt:vector>
  </TitlesOfParts>
  <Manager>Valsts izglītības satura centrs</Manager>
  <Company>Izglītības un zinātnes ministrija</Company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"Noteikumi par valsrts pārbaudes darbu norises laiku 2018./2019.mācību gadā" sākotnējās ietekmes novērtējuma ziņojums (anotācija)</dc:title>
  <dc:subject>anotācija</dc:subject>
  <dc:creator>Ingrida Kamarute</dc:creator>
  <cp:lastModifiedBy>Ingrida Kamarute</cp:lastModifiedBy>
  <cp:revision>7</cp:revision>
  <cp:lastPrinted>2018-05-03T10:17:00Z</cp:lastPrinted>
  <dcterms:created xsi:type="dcterms:W3CDTF">2019-02-20T07:31:00Z</dcterms:created>
  <dcterms:modified xsi:type="dcterms:W3CDTF">2019-02-21T12:02:00Z</dcterms:modified>
</cp:coreProperties>
</file>