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8"/>
          <w:szCs w:val="28"/>
        </w:rPr>
        <w:id w:val="363725869"/>
        <w:docPartObj>
          <w:docPartGallery w:val="Page Numbers (Bottom of Page)"/>
          <w:docPartUnique/>
        </w:docPartObj>
      </w:sdtPr>
      <w:sdtEndPr>
        <w:rPr>
          <w:b/>
        </w:rPr>
      </w:sdtEndPr>
      <w:sdtContent>
        <w:p w14:paraId="1AA523E0" w14:textId="77777777" w:rsidR="000F2B97" w:rsidRPr="00B95C6B" w:rsidRDefault="000F2B97" w:rsidP="000F2B97">
          <w:pPr>
            <w:shd w:val="clear" w:color="auto" w:fill="FFFFFF"/>
            <w:jc w:val="center"/>
            <w:rPr>
              <w:b/>
              <w:sz w:val="28"/>
              <w:szCs w:val="28"/>
            </w:rPr>
          </w:pPr>
          <w:r w:rsidRPr="00B95C6B">
            <w:rPr>
              <w:b/>
              <w:sz w:val="28"/>
              <w:szCs w:val="28"/>
            </w:rPr>
            <w:t>Likumprojekta „Grozījumi Izglītības likumā”</w:t>
          </w:r>
        </w:p>
        <w:p w14:paraId="4C5DFD59" w14:textId="77777777" w:rsidR="000F2B97" w:rsidRPr="00B95C6B" w:rsidRDefault="000F2B97" w:rsidP="000F2B97">
          <w:pPr>
            <w:shd w:val="clear" w:color="auto" w:fill="FFFFFF"/>
            <w:jc w:val="center"/>
            <w:rPr>
              <w:b/>
              <w:bCs/>
              <w:sz w:val="28"/>
              <w:szCs w:val="28"/>
            </w:rPr>
          </w:pPr>
          <w:r w:rsidRPr="00B95C6B">
            <w:rPr>
              <w:b/>
              <w:bCs/>
              <w:sz w:val="28"/>
              <w:szCs w:val="28"/>
            </w:rPr>
            <w:t>sākotnējās ietekmes novērtējuma ziņojums (anotācija)</w:t>
          </w:r>
          <w:r w:rsidRPr="00B95C6B">
            <w:rPr>
              <w:b/>
              <w:sz w:val="28"/>
              <w:szCs w:val="28"/>
            </w:rPr>
            <w:t xml:space="preserve"> </w:t>
          </w:r>
        </w:p>
      </w:sdtContent>
    </w:sdt>
    <w:p w14:paraId="4CCD2948" w14:textId="77777777" w:rsidR="000F2B97" w:rsidRPr="00B95C6B" w:rsidRDefault="000F2B97" w:rsidP="000F2B97">
      <w:pPr>
        <w:pStyle w:val="Title"/>
        <w:spacing w:before="130" w:line="260" w:lineRule="exact"/>
        <w:jc w:val="both"/>
        <w:rPr>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2"/>
        <w:gridCol w:w="6094"/>
      </w:tblGrid>
      <w:tr w:rsidR="000F2B97" w:rsidRPr="00B95C6B" w14:paraId="4F69BAEA" w14:textId="77777777" w:rsidTr="00C239FD">
        <w:trPr>
          <w:cantSplit/>
        </w:trPr>
        <w:tc>
          <w:tcPr>
            <w:tcW w:w="9066" w:type="dxa"/>
            <w:gridSpan w:val="2"/>
            <w:shd w:val="clear" w:color="auto" w:fill="FFFFFF"/>
            <w:vAlign w:val="center"/>
            <w:hideMark/>
          </w:tcPr>
          <w:p w14:paraId="75B582D9" w14:textId="77777777" w:rsidR="000F2B97" w:rsidRPr="00B95C6B" w:rsidRDefault="000F2B97" w:rsidP="00C239FD">
            <w:pPr>
              <w:jc w:val="center"/>
              <w:rPr>
                <w:b/>
                <w:iCs/>
                <w:sz w:val="28"/>
                <w:szCs w:val="28"/>
                <w:lang w:eastAsia="en-US"/>
              </w:rPr>
            </w:pPr>
            <w:r w:rsidRPr="00B95C6B">
              <w:rPr>
                <w:b/>
                <w:iCs/>
                <w:sz w:val="28"/>
                <w:szCs w:val="28"/>
                <w:lang w:eastAsia="en-US"/>
              </w:rPr>
              <w:t>Tiesību akta projekta anotācijas kopsavilkums</w:t>
            </w:r>
          </w:p>
        </w:tc>
      </w:tr>
      <w:tr w:rsidR="004C4D98" w:rsidRPr="00B95C6B" w14:paraId="52979EC0" w14:textId="77777777" w:rsidTr="00C239FD">
        <w:trPr>
          <w:cantSplit/>
        </w:trPr>
        <w:tc>
          <w:tcPr>
            <w:tcW w:w="2972" w:type="dxa"/>
            <w:shd w:val="clear" w:color="auto" w:fill="FFFFFF"/>
            <w:hideMark/>
          </w:tcPr>
          <w:p w14:paraId="2634750E" w14:textId="77777777" w:rsidR="000F2B97" w:rsidRPr="00B95C6B" w:rsidRDefault="000F2B97" w:rsidP="00C239FD">
            <w:pPr>
              <w:rPr>
                <w:iCs/>
                <w:sz w:val="28"/>
                <w:szCs w:val="28"/>
                <w:lang w:eastAsia="en-US"/>
              </w:rPr>
            </w:pPr>
            <w:r w:rsidRPr="00B95C6B">
              <w:rPr>
                <w:iCs/>
                <w:sz w:val="28"/>
                <w:szCs w:val="28"/>
                <w:lang w:eastAsia="en-US"/>
              </w:rPr>
              <w:t>Mērķis, risinājums un projekta spēkā stāšanās laiks (500 zīmes bez atstarpēm)</w:t>
            </w:r>
          </w:p>
        </w:tc>
        <w:tc>
          <w:tcPr>
            <w:tcW w:w="6094" w:type="dxa"/>
            <w:shd w:val="clear" w:color="auto" w:fill="FFFFFF"/>
            <w:hideMark/>
          </w:tcPr>
          <w:p w14:paraId="5204DB62" w14:textId="20334DDF" w:rsidR="00FE2C76" w:rsidRPr="00B95C6B" w:rsidRDefault="00FE2C76" w:rsidP="00051E1D">
            <w:pPr>
              <w:jc w:val="both"/>
              <w:rPr>
                <w:sz w:val="28"/>
                <w:szCs w:val="28"/>
              </w:rPr>
            </w:pPr>
            <w:r w:rsidRPr="00B95C6B">
              <w:rPr>
                <w:sz w:val="28"/>
                <w:szCs w:val="28"/>
              </w:rPr>
              <w:t xml:space="preserve">Mērķis: piešķirt tiesības augstskolām veikt ārvalstīs izsniegto izglītības dokumentu un ārvalstīs iegūto akadēmisko grādu apliecinošu dokumentu ekspertīzi, izsniegt izziņu </w:t>
            </w:r>
            <w:r w:rsidRPr="00B95C6B">
              <w:rPr>
                <w:sz w:val="28"/>
                <w:szCs w:val="28"/>
                <w:shd w:val="clear" w:color="auto" w:fill="FFFFFF"/>
              </w:rPr>
              <w:t>par to, kādam Latvijā izsniedzamam izglītības dokumentam vai Latvijā piešķiramam akadēmiskajam grādam atbilst vai ir pielīdzināms ārvalstī izsniegtais izglītības dokuments vai piešķirtais akadēmiskais grāds, veikt ierakstus Ārvalstīs izsniegto izglītības dokumentu reģistrā</w:t>
            </w:r>
            <w:r w:rsidRPr="00B95C6B">
              <w:rPr>
                <w:sz w:val="28"/>
                <w:szCs w:val="28"/>
              </w:rPr>
              <w:t xml:space="preserve">. </w:t>
            </w:r>
          </w:p>
          <w:p w14:paraId="2010A368" w14:textId="7E3F0D8F" w:rsidR="00FE2C76" w:rsidRPr="00B95C6B" w:rsidRDefault="00FE2C76" w:rsidP="00051E1D">
            <w:pPr>
              <w:jc w:val="both"/>
              <w:rPr>
                <w:sz w:val="28"/>
                <w:szCs w:val="28"/>
              </w:rPr>
            </w:pPr>
            <w:r w:rsidRPr="00B95C6B">
              <w:rPr>
                <w:sz w:val="28"/>
                <w:szCs w:val="28"/>
              </w:rPr>
              <w:t xml:space="preserve">Risinājums: augstskolām, kurās </w:t>
            </w:r>
            <w:r w:rsidR="006C69E5" w:rsidRPr="00B95C6B">
              <w:rPr>
                <w:sz w:val="28"/>
                <w:szCs w:val="28"/>
              </w:rPr>
              <w:t xml:space="preserve">iesniedzis iesniegumu studiju uzsākšanai vai turpināšanai Latvijā, būs tiesības kā Akadēmiskās informācijas centram veikt iesniegot dokumentu ekspertīzi. </w:t>
            </w:r>
          </w:p>
          <w:p w14:paraId="2B82C3A0" w14:textId="6B3F378E" w:rsidR="00051E1D" w:rsidRPr="00B95C6B" w:rsidRDefault="00FE2C76" w:rsidP="000E352A">
            <w:pPr>
              <w:jc w:val="both"/>
              <w:rPr>
                <w:rFonts w:eastAsiaTheme="minorHAnsi"/>
                <w:sz w:val="28"/>
                <w:szCs w:val="28"/>
                <w:lang w:eastAsia="en-US"/>
              </w:rPr>
            </w:pPr>
            <w:r w:rsidRPr="00B95C6B">
              <w:rPr>
                <w:sz w:val="28"/>
                <w:szCs w:val="28"/>
              </w:rPr>
              <w:t>S</w:t>
            </w:r>
            <w:r w:rsidR="00051E1D" w:rsidRPr="00B95C6B">
              <w:rPr>
                <w:sz w:val="28"/>
                <w:szCs w:val="28"/>
              </w:rPr>
              <w:t>pēkā</w:t>
            </w:r>
            <w:r w:rsidRPr="00B95C6B">
              <w:rPr>
                <w:rFonts w:eastAsiaTheme="minorHAnsi"/>
                <w:sz w:val="28"/>
                <w:szCs w:val="28"/>
                <w:lang w:eastAsia="en-US"/>
              </w:rPr>
              <w:t xml:space="preserve"> stāšanās vienlaikus ar grozījumiem Augstskolu likuma 85.pantā, kas paredz, ka arī </w:t>
            </w:r>
            <w:r w:rsidRPr="00B95C6B">
              <w:rPr>
                <w:sz w:val="28"/>
                <w:szCs w:val="28"/>
              </w:rPr>
              <w:t>augstskolai ir tiesības veikt ārvalstīs izsniegto izglītības dokumentu un ārvalstīs iegūto akadēmisko grādu apliecinošu dokumentu ekspertīzi</w:t>
            </w:r>
            <w:r w:rsidR="000E352A" w:rsidRPr="00B95C6B">
              <w:rPr>
                <w:sz w:val="28"/>
                <w:szCs w:val="28"/>
              </w:rPr>
              <w:t xml:space="preserve"> un</w:t>
            </w:r>
            <w:r w:rsidRPr="00B95C6B">
              <w:rPr>
                <w:sz w:val="28"/>
                <w:szCs w:val="28"/>
              </w:rPr>
              <w:t xml:space="preserve"> izsniegt izziņu</w:t>
            </w:r>
            <w:r w:rsidR="000E352A" w:rsidRPr="00B95C6B">
              <w:rPr>
                <w:sz w:val="28"/>
                <w:szCs w:val="28"/>
                <w:shd w:val="clear" w:color="auto" w:fill="FFFFFF"/>
              </w:rPr>
              <w:t>, ja šo dokumentu īpašnieks ir augstskolā iesniedzis pieteikumu par studiju uzsākšanu vai turpināšanu Latvijā.</w:t>
            </w:r>
          </w:p>
        </w:tc>
      </w:tr>
    </w:tbl>
    <w:p w14:paraId="1DB20C7C" w14:textId="77777777" w:rsidR="000F2B97" w:rsidRPr="00B95C6B" w:rsidRDefault="000F2B97" w:rsidP="000F2B97">
      <w:pPr>
        <w:pStyle w:val="Title"/>
        <w:spacing w:before="130" w:line="260" w:lineRule="exact"/>
        <w:jc w:val="both"/>
        <w:rPr>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4"/>
        <w:gridCol w:w="2408"/>
        <w:gridCol w:w="6094"/>
      </w:tblGrid>
      <w:tr w:rsidR="000F2B97" w:rsidRPr="00B95C6B" w14:paraId="54B2795F" w14:textId="77777777" w:rsidTr="00C239FD">
        <w:tc>
          <w:tcPr>
            <w:tcW w:w="5000" w:type="pct"/>
            <w:gridSpan w:val="3"/>
            <w:vAlign w:val="center"/>
            <w:hideMark/>
          </w:tcPr>
          <w:p w14:paraId="5295B7A1" w14:textId="77777777" w:rsidR="000F2B97" w:rsidRPr="00B95C6B" w:rsidRDefault="000F2B97" w:rsidP="00C239FD">
            <w:pPr>
              <w:widowControl w:val="0"/>
              <w:jc w:val="center"/>
              <w:rPr>
                <w:b/>
                <w:bCs/>
                <w:sz w:val="28"/>
                <w:szCs w:val="28"/>
              </w:rPr>
            </w:pPr>
            <w:r w:rsidRPr="00B95C6B">
              <w:rPr>
                <w:b/>
                <w:bCs/>
                <w:sz w:val="28"/>
                <w:szCs w:val="28"/>
              </w:rPr>
              <w:t>I. Tiesību akta projekta izstrādes nepieciešamība</w:t>
            </w:r>
          </w:p>
        </w:tc>
      </w:tr>
      <w:tr w:rsidR="000F2B97" w:rsidRPr="00B95C6B" w14:paraId="2DA85234" w14:textId="77777777" w:rsidTr="00C239FD">
        <w:tc>
          <w:tcPr>
            <w:tcW w:w="311" w:type="pct"/>
            <w:hideMark/>
          </w:tcPr>
          <w:p w14:paraId="5DE72234" w14:textId="77777777" w:rsidR="000F2B97" w:rsidRPr="00B95C6B" w:rsidRDefault="000F2B97" w:rsidP="00C239FD">
            <w:pPr>
              <w:widowControl w:val="0"/>
              <w:jc w:val="both"/>
              <w:rPr>
                <w:sz w:val="28"/>
                <w:szCs w:val="28"/>
              </w:rPr>
            </w:pPr>
            <w:r w:rsidRPr="00B95C6B">
              <w:rPr>
                <w:sz w:val="28"/>
                <w:szCs w:val="28"/>
              </w:rPr>
              <w:t>1.</w:t>
            </w:r>
          </w:p>
        </w:tc>
        <w:tc>
          <w:tcPr>
            <w:tcW w:w="1328" w:type="pct"/>
            <w:hideMark/>
          </w:tcPr>
          <w:p w14:paraId="071805ED" w14:textId="77777777" w:rsidR="000F2B97" w:rsidRPr="00B95C6B" w:rsidRDefault="000F2B97" w:rsidP="00C239FD">
            <w:pPr>
              <w:widowControl w:val="0"/>
              <w:jc w:val="both"/>
              <w:rPr>
                <w:sz w:val="28"/>
                <w:szCs w:val="28"/>
              </w:rPr>
            </w:pPr>
            <w:r w:rsidRPr="00B95C6B">
              <w:rPr>
                <w:sz w:val="28"/>
                <w:szCs w:val="28"/>
              </w:rPr>
              <w:t>Pamatojums</w:t>
            </w:r>
          </w:p>
        </w:tc>
        <w:tc>
          <w:tcPr>
            <w:tcW w:w="3361" w:type="pct"/>
          </w:tcPr>
          <w:p w14:paraId="3FA81131" w14:textId="66FFF925" w:rsidR="000F2B97" w:rsidRPr="00B95C6B" w:rsidRDefault="006C69E5" w:rsidP="00CE0695">
            <w:pPr>
              <w:shd w:val="clear" w:color="auto" w:fill="FFFFFF"/>
              <w:jc w:val="both"/>
              <w:rPr>
                <w:sz w:val="28"/>
                <w:szCs w:val="28"/>
              </w:rPr>
            </w:pPr>
            <w:r w:rsidRPr="00B95C6B">
              <w:rPr>
                <w:sz w:val="28"/>
                <w:szCs w:val="28"/>
              </w:rPr>
              <w:t xml:space="preserve">Izglītības un zinātnes ministrija (turpmāk – ministrija) ir sagatavojusi </w:t>
            </w:r>
            <w:r w:rsidRPr="00B95C6B">
              <w:rPr>
                <w:bCs/>
                <w:sz w:val="28"/>
                <w:szCs w:val="28"/>
              </w:rPr>
              <w:t>likumprojektu</w:t>
            </w:r>
            <w:r w:rsidR="000F2B97" w:rsidRPr="00B95C6B">
              <w:rPr>
                <w:bCs/>
                <w:sz w:val="28"/>
                <w:szCs w:val="28"/>
              </w:rPr>
              <w:t xml:space="preserve"> </w:t>
            </w:r>
            <w:r w:rsidR="000F2B97" w:rsidRPr="00B95C6B">
              <w:rPr>
                <w:sz w:val="28"/>
                <w:szCs w:val="28"/>
              </w:rPr>
              <w:t>„Grozījumi Izglītības likumā” (turp</w:t>
            </w:r>
            <w:r w:rsidR="004C4D98" w:rsidRPr="00B95C6B">
              <w:rPr>
                <w:sz w:val="28"/>
                <w:szCs w:val="28"/>
              </w:rPr>
              <w:t>māk – likumprojekts)</w:t>
            </w:r>
            <w:r w:rsidR="000F2B97" w:rsidRPr="00B95C6B">
              <w:rPr>
                <w:sz w:val="28"/>
                <w:szCs w:val="28"/>
              </w:rPr>
              <w:t xml:space="preserve">, </w:t>
            </w:r>
            <w:r w:rsidR="00CE0695" w:rsidRPr="00B95C6B">
              <w:rPr>
                <w:sz w:val="28"/>
                <w:szCs w:val="28"/>
              </w:rPr>
              <w:t xml:space="preserve">lai sasniegtu </w:t>
            </w:r>
            <w:r w:rsidR="000F2B97" w:rsidRPr="00B95C6B">
              <w:rPr>
                <w:sz w:val="28"/>
                <w:szCs w:val="28"/>
              </w:rPr>
              <w:t>Valdības rīcībā plānā</w:t>
            </w:r>
            <w:r w:rsidR="00BC7979" w:rsidRPr="00B95C6B">
              <w:rPr>
                <w:sz w:val="28"/>
                <w:szCs w:val="28"/>
              </w:rPr>
              <w:t xml:space="preserve"> Deklarācijas par Artura Krišjāņa Kariņa vadītā Ministru kabineta iecerēto darbību īstenošanai</w:t>
            </w:r>
            <w:r w:rsidR="000F2B97" w:rsidRPr="00B95C6B">
              <w:rPr>
                <w:sz w:val="28"/>
                <w:szCs w:val="28"/>
              </w:rPr>
              <w:t xml:space="preserve"> 125.4. </w:t>
            </w:r>
            <w:r w:rsidR="00FE7DA0" w:rsidRPr="00B95C6B">
              <w:rPr>
                <w:sz w:val="28"/>
                <w:szCs w:val="28"/>
              </w:rPr>
              <w:t>pasākuma 2.</w:t>
            </w:r>
            <w:r w:rsidR="00BC7979" w:rsidRPr="00B95C6B">
              <w:rPr>
                <w:sz w:val="28"/>
                <w:szCs w:val="28"/>
              </w:rPr>
              <w:t xml:space="preserve"> </w:t>
            </w:r>
            <w:r w:rsidR="00FE7DA0" w:rsidRPr="00B95C6B">
              <w:rPr>
                <w:sz w:val="28"/>
                <w:szCs w:val="28"/>
              </w:rPr>
              <w:t>darbības rezultāt</w:t>
            </w:r>
            <w:r w:rsidR="00CE0695" w:rsidRPr="00B95C6B">
              <w:rPr>
                <w:sz w:val="28"/>
                <w:szCs w:val="28"/>
              </w:rPr>
              <w:t>u</w:t>
            </w:r>
            <w:r w:rsidR="00CE0695" w:rsidRPr="00B95C6B">
              <w:rPr>
                <w:rStyle w:val="FootnoteReference"/>
                <w:sz w:val="28"/>
                <w:szCs w:val="28"/>
              </w:rPr>
              <w:footnoteReference w:id="1"/>
            </w:r>
            <w:r w:rsidR="00FE7DA0" w:rsidRPr="00B95C6B">
              <w:rPr>
                <w:sz w:val="28"/>
                <w:szCs w:val="28"/>
              </w:rPr>
              <w:t>.</w:t>
            </w:r>
            <w:r w:rsidR="00CE0695" w:rsidRPr="00B95C6B">
              <w:rPr>
                <w:sz w:val="28"/>
                <w:szCs w:val="28"/>
                <w:shd w:val="clear" w:color="auto" w:fill="FFFFFF"/>
              </w:rPr>
              <w:t xml:space="preserve"> - Izstrādāti priekšnoteikumi un kritēriji augstskolu lomas paplašināšanai potenciālo studentu no ārvalstīm iepriekšējās izglītības atzīšanā un Akadēmiskās informācijas centra kapacitātes celšanai.</w:t>
            </w:r>
          </w:p>
        </w:tc>
      </w:tr>
      <w:tr w:rsidR="000F2B97" w:rsidRPr="00B95C6B" w14:paraId="6EB50685" w14:textId="77777777" w:rsidTr="00C239FD">
        <w:tc>
          <w:tcPr>
            <w:tcW w:w="311" w:type="pct"/>
            <w:hideMark/>
          </w:tcPr>
          <w:p w14:paraId="2D6660B8" w14:textId="77777777" w:rsidR="000F2B97" w:rsidRPr="00B95C6B" w:rsidRDefault="000F2B97" w:rsidP="00C239FD">
            <w:pPr>
              <w:widowControl w:val="0"/>
              <w:rPr>
                <w:sz w:val="28"/>
                <w:szCs w:val="28"/>
              </w:rPr>
            </w:pPr>
            <w:r w:rsidRPr="00B95C6B">
              <w:rPr>
                <w:sz w:val="28"/>
                <w:szCs w:val="28"/>
              </w:rPr>
              <w:t>2.</w:t>
            </w:r>
          </w:p>
        </w:tc>
        <w:tc>
          <w:tcPr>
            <w:tcW w:w="1328" w:type="pct"/>
            <w:hideMark/>
          </w:tcPr>
          <w:p w14:paraId="4B9945CA" w14:textId="77777777" w:rsidR="000F2B97" w:rsidRPr="00B95C6B" w:rsidRDefault="000F2B97" w:rsidP="00C239FD">
            <w:pPr>
              <w:widowControl w:val="0"/>
              <w:rPr>
                <w:sz w:val="28"/>
                <w:szCs w:val="28"/>
              </w:rPr>
            </w:pPr>
            <w:r w:rsidRPr="00B95C6B">
              <w:rPr>
                <w:sz w:val="28"/>
                <w:szCs w:val="28"/>
              </w:rPr>
              <w:t xml:space="preserve">Pašreizējā situācija un problēmas, kuru risināšanai tiesību </w:t>
            </w:r>
            <w:r w:rsidRPr="00B95C6B">
              <w:rPr>
                <w:sz w:val="28"/>
                <w:szCs w:val="28"/>
              </w:rPr>
              <w:lastRenderedPageBreak/>
              <w:t>akta projekts izstrādāts, tiesiskā regulējuma mērķis un būtība</w:t>
            </w:r>
          </w:p>
          <w:p w14:paraId="52173325" w14:textId="77777777" w:rsidR="000F2B97" w:rsidRPr="00B95C6B" w:rsidRDefault="000F2B97" w:rsidP="00C239FD">
            <w:pPr>
              <w:rPr>
                <w:sz w:val="28"/>
                <w:szCs w:val="28"/>
              </w:rPr>
            </w:pPr>
          </w:p>
          <w:p w14:paraId="5F11E755" w14:textId="77777777" w:rsidR="000F2B97" w:rsidRPr="00B95C6B" w:rsidRDefault="000F2B97" w:rsidP="00C239FD">
            <w:pPr>
              <w:jc w:val="right"/>
              <w:rPr>
                <w:sz w:val="28"/>
                <w:szCs w:val="28"/>
              </w:rPr>
            </w:pPr>
          </w:p>
          <w:p w14:paraId="4CE4A05D" w14:textId="77777777" w:rsidR="000F2B97" w:rsidRPr="00B95C6B" w:rsidRDefault="000F2B97" w:rsidP="00C239FD">
            <w:pPr>
              <w:rPr>
                <w:sz w:val="28"/>
                <w:szCs w:val="28"/>
              </w:rPr>
            </w:pPr>
          </w:p>
          <w:p w14:paraId="79E8EC9E" w14:textId="77777777" w:rsidR="000F2B97" w:rsidRPr="00B95C6B" w:rsidRDefault="000F2B97" w:rsidP="00C239FD">
            <w:pPr>
              <w:rPr>
                <w:sz w:val="28"/>
                <w:szCs w:val="28"/>
              </w:rPr>
            </w:pPr>
          </w:p>
          <w:p w14:paraId="77CA6B9F" w14:textId="77777777" w:rsidR="000F2B97" w:rsidRPr="00B95C6B" w:rsidRDefault="000F2B97" w:rsidP="00C239FD">
            <w:pPr>
              <w:rPr>
                <w:sz w:val="28"/>
                <w:szCs w:val="28"/>
              </w:rPr>
            </w:pPr>
          </w:p>
          <w:p w14:paraId="2B8FA747" w14:textId="77777777" w:rsidR="000F2B97" w:rsidRPr="00B95C6B" w:rsidRDefault="000F2B97" w:rsidP="00C239FD">
            <w:pPr>
              <w:rPr>
                <w:sz w:val="28"/>
                <w:szCs w:val="28"/>
              </w:rPr>
            </w:pPr>
          </w:p>
          <w:p w14:paraId="411113A7" w14:textId="77777777" w:rsidR="000F2B97" w:rsidRPr="00B95C6B" w:rsidRDefault="000F2B97" w:rsidP="00C239FD">
            <w:pPr>
              <w:rPr>
                <w:sz w:val="28"/>
                <w:szCs w:val="28"/>
              </w:rPr>
            </w:pPr>
          </w:p>
          <w:p w14:paraId="472BC4BC" w14:textId="77777777" w:rsidR="000F2B97" w:rsidRPr="00B95C6B" w:rsidRDefault="000F2B97" w:rsidP="00C239FD">
            <w:pPr>
              <w:rPr>
                <w:sz w:val="28"/>
                <w:szCs w:val="28"/>
              </w:rPr>
            </w:pPr>
          </w:p>
          <w:p w14:paraId="75273CAE" w14:textId="77777777" w:rsidR="000F2B97" w:rsidRPr="00B95C6B" w:rsidRDefault="000F2B97" w:rsidP="00C239FD">
            <w:pPr>
              <w:rPr>
                <w:sz w:val="28"/>
                <w:szCs w:val="28"/>
              </w:rPr>
            </w:pPr>
          </w:p>
          <w:p w14:paraId="7D4FDDFC" w14:textId="77777777" w:rsidR="000F2B97" w:rsidRPr="00B95C6B" w:rsidRDefault="000F2B97" w:rsidP="00C239FD">
            <w:pPr>
              <w:rPr>
                <w:sz w:val="28"/>
                <w:szCs w:val="28"/>
              </w:rPr>
            </w:pPr>
          </w:p>
          <w:p w14:paraId="7C0419A2" w14:textId="77777777" w:rsidR="000F2B97" w:rsidRPr="00B95C6B" w:rsidRDefault="000F2B97" w:rsidP="00C239FD">
            <w:pPr>
              <w:rPr>
                <w:sz w:val="28"/>
                <w:szCs w:val="28"/>
              </w:rPr>
            </w:pPr>
          </w:p>
          <w:p w14:paraId="44585D41" w14:textId="77777777" w:rsidR="000F2B97" w:rsidRPr="00B95C6B" w:rsidRDefault="000F2B97" w:rsidP="00C239FD">
            <w:pPr>
              <w:rPr>
                <w:sz w:val="28"/>
                <w:szCs w:val="28"/>
              </w:rPr>
            </w:pPr>
          </w:p>
          <w:p w14:paraId="0CFE54C4" w14:textId="77777777" w:rsidR="000F2B97" w:rsidRPr="00B95C6B" w:rsidRDefault="000F2B97" w:rsidP="00C239FD">
            <w:pPr>
              <w:rPr>
                <w:sz w:val="28"/>
                <w:szCs w:val="28"/>
              </w:rPr>
            </w:pPr>
          </w:p>
          <w:p w14:paraId="1406A7FE" w14:textId="77777777" w:rsidR="000F2B97" w:rsidRPr="00B95C6B" w:rsidRDefault="000F2B97" w:rsidP="00C239FD">
            <w:pPr>
              <w:rPr>
                <w:sz w:val="28"/>
                <w:szCs w:val="28"/>
              </w:rPr>
            </w:pPr>
          </w:p>
          <w:p w14:paraId="5E676502" w14:textId="77777777" w:rsidR="000F2B97" w:rsidRPr="00B95C6B" w:rsidRDefault="000F2B97" w:rsidP="00C239FD">
            <w:pPr>
              <w:rPr>
                <w:sz w:val="28"/>
                <w:szCs w:val="28"/>
              </w:rPr>
            </w:pPr>
          </w:p>
          <w:p w14:paraId="3F9ADE3C" w14:textId="77777777" w:rsidR="000F2B97" w:rsidRPr="00B95C6B" w:rsidRDefault="000F2B97" w:rsidP="00C239FD">
            <w:pPr>
              <w:rPr>
                <w:sz w:val="28"/>
                <w:szCs w:val="28"/>
              </w:rPr>
            </w:pPr>
          </w:p>
          <w:p w14:paraId="334C7BD7" w14:textId="77777777" w:rsidR="000F2B97" w:rsidRPr="00B95C6B" w:rsidRDefault="000F2B97" w:rsidP="00C239FD">
            <w:pPr>
              <w:rPr>
                <w:sz w:val="28"/>
                <w:szCs w:val="28"/>
              </w:rPr>
            </w:pPr>
          </w:p>
          <w:p w14:paraId="1837AAFE" w14:textId="77777777" w:rsidR="000F2B97" w:rsidRPr="00B95C6B" w:rsidRDefault="000F2B97" w:rsidP="00C239FD">
            <w:pPr>
              <w:rPr>
                <w:sz w:val="28"/>
                <w:szCs w:val="28"/>
              </w:rPr>
            </w:pPr>
          </w:p>
          <w:p w14:paraId="2AA79B7B" w14:textId="77777777" w:rsidR="000F2B97" w:rsidRPr="00B95C6B" w:rsidRDefault="000F2B97" w:rsidP="00C239FD">
            <w:pPr>
              <w:jc w:val="center"/>
              <w:rPr>
                <w:sz w:val="28"/>
                <w:szCs w:val="28"/>
              </w:rPr>
            </w:pPr>
          </w:p>
        </w:tc>
        <w:tc>
          <w:tcPr>
            <w:tcW w:w="3361" w:type="pct"/>
          </w:tcPr>
          <w:p w14:paraId="554AAFCD" w14:textId="69C1733B" w:rsidR="00CE0695" w:rsidRPr="00B95C6B" w:rsidRDefault="00CE0695" w:rsidP="00F02C3E">
            <w:pPr>
              <w:jc w:val="both"/>
              <w:rPr>
                <w:sz w:val="28"/>
                <w:szCs w:val="28"/>
              </w:rPr>
            </w:pPr>
            <w:r w:rsidRPr="00B95C6B">
              <w:rPr>
                <w:sz w:val="28"/>
                <w:szCs w:val="28"/>
              </w:rPr>
              <w:lastRenderedPageBreak/>
              <w:t xml:space="preserve">Pašreizējā situācijā Izglītības likuma </w:t>
            </w:r>
            <w:r w:rsidRPr="00CE0695">
              <w:rPr>
                <w:bCs/>
                <w:sz w:val="28"/>
                <w:szCs w:val="28"/>
              </w:rPr>
              <w:t>11.</w:t>
            </w:r>
            <w:r w:rsidRPr="00CE0695">
              <w:rPr>
                <w:bCs/>
                <w:sz w:val="28"/>
                <w:szCs w:val="28"/>
                <w:vertAlign w:val="superscript"/>
              </w:rPr>
              <w:t>1</w:t>
            </w:r>
            <w:r w:rsidRPr="00CE0695">
              <w:rPr>
                <w:bCs/>
                <w:sz w:val="28"/>
                <w:szCs w:val="28"/>
              </w:rPr>
              <w:t> </w:t>
            </w:r>
            <w:r w:rsidRPr="00B95C6B">
              <w:rPr>
                <w:bCs/>
                <w:sz w:val="28"/>
                <w:szCs w:val="28"/>
              </w:rPr>
              <w:t xml:space="preserve"> un </w:t>
            </w:r>
            <w:r w:rsidRPr="00CE0695">
              <w:rPr>
                <w:bCs/>
                <w:sz w:val="28"/>
                <w:szCs w:val="28"/>
              </w:rPr>
              <w:t>11.</w:t>
            </w:r>
            <w:r w:rsidRPr="00CE0695">
              <w:rPr>
                <w:bCs/>
                <w:sz w:val="28"/>
                <w:szCs w:val="28"/>
                <w:vertAlign w:val="superscript"/>
              </w:rPr>
              <w:t>2</w:t>
            </w:r>
            <w:r w:rsidRPr="00CE0695">
              <w:rPr>
                <w:bCs/>
                <w:sz w:val="28"/>
                <w:szCs w:val="28"/>
              </w:rPr>
              <w:t> pants</w:t>
            </w:r>
            <w:r w:rsidRPr="00B95C6B">
              <w:rPr>
                <w:bCs/>
                <w:sz w:val="28"/>
                <w:szCs w:val="28"/>
              </w:rPr>
              <w:t xml:space="preserve"> paredz, ka </w:t>
            </w:r>
            <w:r w:rsidRPr="00B95C6B">
              <w:rPr>
                <w:sz w:val="28"/>
                <w:szCs w:val="28"/>
              </w:rPr>
              <w:t>ā</w:t>
            </w:r>
            <w:r w:rsidRPr="00CE0695">
              <w:rPr>
                <w:sz w:val="28"/>
                <w:szCs w:val="28"/>
              </w:rPr>
              <w:t>rvalstīs izsniegto izglītības dokumentu</w:t>
            </w:r>
            <w:r w:rsidRPr="00B95C6B">
              <w:rPr>
                <w:sz w:val="28"/>
                <w:szCs w:val="28"/>
              </w:rPr>
              <w:t xml:space="preserve"> (to kopiju)</w:t>
            </w:r>
            <w:r w:rsidRPr="00CE0695">
              <w:rPr>
                <w:sz w:val="28"/>
                <w:szCs w:val="28"/>
              </w:rPr>
              <w:t xml:space="preserve">, kā arī ārvalstīs iegūtos </w:t>
            </w:r>
            <w:r w:rsidRPr="00CE0695">
              <w:rPr>
                <w:sz w:val="28"/>
                <w:szCs w:val="28"/>
              </w:rPr>
              <w:lastRenderedPageBreak/>
              <w:t xml:space="preserve">akadēmiskos grādus </w:t>
            </w:r>
            <w:r w:rsidRPr="00B95C6B">
              <w:rPr>
                <w:sz w:val="28"/>
                <w:szCs w:val="28"/>
              </w:rPr>
              <w:t xml:space="preserve">apliecinošu dokumentu (to kopiju) ekspertīzi </w:t>
            </w:r>
            <w:r w:rsidR="008523BB" w:rsidRPr="00B95C6B">
              <w:rPr>
                <w:sz w:val="28"/>
                <w:szCs w:val="28"/>
              </w:rPr>
              <w:t xml:space="preserve">(turpmāk – ekspertīze) </w:t>
            </w:r>
            <w:r w:rsidRPr="00B95C6B">
              <w:rPr>
                <w:sz w:val="28"/>
                <w:szCs w:val="28"/>
              </w:rPr>
              <w:t xml:space="preserve">par maksu </w:t>
            </w:r>
            <w:r w:rsidRPr="00CE0695">
              <w:rPr>
                <w:sz w:val="28"/>
                <w:szCs w:val="28"/>
              </w:rPr>
              <w:t xml:space="preserve">veic </w:t>
            </w:r>
            <w:r w:rsidRPr="00B95C6B">
              <w:rPr>
                <w:sz w:val="28"/>
                <w:szCs w:val="28"/>
              </w:rPr>
              <w:t xml:space="preserve">Akadēmiskās informācijas centrs (turpmāk – AIC) atbilstoši Ministru kabineta noteiktajam cenrādim. AIC ekspertīzes rezultātā nosaka iesniegto dokumentu </w:t>
            </w:r>
            <w:r w:rsidR="008523BB" w:rsidRPr="00B95C6B">
              <w:rPr>
                <w:sz w:val="28"/>
                <w:szCs w:val="28"/>
              </w:rPr>
              <w:t>atbilstību</w:t>
            </w:r>
            <w:r w:rsidRPr="00B95C6B">
              <w:rPr>
                <w:sz w:val="28"/>
                <w:szCs w:val="28"/>
              </w:rPr>
              <w:t xml:space="preserve">  </w:t>
            </w:r>
            <w:r w:rsidRPr="00CE0695">
              <w:rPr>
                <w:sz w:val="28"/>
                <w:szCs w:val="28"/>
              </w:rPr>
              <w:t>kādam Latvijā izsniedzamam izglītības dokumentam vai Latvijā piešķiramam akadēmiskajam grādam</w:t>
            </w:r>
            <w:r w:rsidRPr="00B95C6B">
              <w:rPr>
                <w:sz w:val="28"/>
                <w:szCs w:val="28"/>
              </w:rPr>
              <w:t>, izsniedzot par to izziņu</w:t>
            </w:r>
            <w:r w:rsidR="008523BB" w:rsidRPr="00B95C6B">
              <w:rPr>
                <w:sz w:val="28"/>
                <w:szCs w:val="28"/>
              </w:rPr>
              <w:t xml:space="preserve"> (turpmāk – izziņa)</w:t>
            </w:r>
            <w:r w:rsidRPr="00B95C6B">
              <w:rPr>
                <w:sz w:val="28"/>
                <w:szCs w:val="28"/>
              </w:rPr>
              <w:t xml:space="preserve"> un veicot ierakstu</w:t>
            </w:r>
            <w:r w:rsidR="002E34FC" w:rsidRPr="00B95C6B">
              <w:rPr>
                <w:sz w:val="28"/>
                <w:szCs w:val="28"/>
              </w:rPr>
              <w:t xml:space="preserve"> par dokumentiem </w:t>
            </w:r>
            <w:r w:rsidR="002E34FC" w:rsidRPr="00CE0695">
              <w:rPr>
                <w:sz w:val="28"/>
                <w:szCs w:val="28"/>
              </w:rPr>
              <w:t>Ārvalstīs izsniegto izglītības dokumentu reģistrā</w:t>
            </w:r>
            <w:r w:rsidR="002E34FC" w:rsidRPr="00B95C6B">
              <w:rPr>
                <w:sz w:val="28"/>
                <w:szCs w:val="28"/>
              </w:rPr>
              <w:t>.</w:t>
            </w:r>
            <w:r w:rsidR="002E34FC" w:rsidRPr="00B95C6B">
              <w:rPr>
                <w:rStyle w:val="FootnoteReference"/>
                <w:sz w:val="28"/>
                <w:szCs w:val="28"/>
              </w:rPr>
              <w:footnoteReference w:id="2"/>
            </w:r>
          </w:p>
          <w:p w14:paraId="3EFCDBC9" w14:textId="4DCB0A52" w:rsidR="002E34FC" w:rsidRPr="00B95C6B" w:rsidRDefault="008523BB" w:rsidP="002E34FC">
            <w:pPr>
              <w:jc w:val="both"/>
              <w:rPr>
                <w:sz w:val="28"/>
                <w:szCs w:val="28"/>
              </w:rPr>
            </w:pPr>
            <w:r w:rsidRPr="00B95C6B">
              <w:rPr>
                <w:sz w:val="28"/>
                <w:szCs w:val="28"/>
              </w:rPr>
              <w:t xml:space="preserve">Minēto </w:t>
            </w:r>
            <w:r w:rsidR="002E34FC" w:rsidRPr="00B95C6B">
              <w:rPr>
                <w:sz w:val="28"/>
                <w:szCs w:val="28"/>
              </w:rPr>
              <w:t>dokumentu ekspertīzi Latvijā veic tikai AIC un šādas ekspertīzes veic</w:t>
            </w:r>
            <w:r w:rsidRPr="00B95C6B">
              <w:rPr>
                <w:sz w:val="28"/>
                <w:szCs w:val="28"/>
              </w:rPr>
              <w:t xml:space="preserve"> un izziņas izsniedz</w:t>
            </w:r>
            <w:r w:rsidR="002E34FC" w:rsidRPr="00B95C6B">
              <w:rPr>
                <w:sz w:val="28"/>
                <w:szCs w:val="28"/>
              </w:rPr>
              <w:t xml:space="preserve"> ne tikai tad</w:t>
            </w:r>
            <w:r w:rsidRPr="00B95C6B">
              <w:rPr>
                <w:sz w:val="28"/>
                <w:szCs w:val="28"/>
              </w:rPr>
              <w:t>,</w:t>
            </w:r>
            <w:r w:rsidR="002E34FC" w:rsidRPr="00B95C6B">
              <w:rPr>
                <w:sz w:val="28"/>
                <w:szCs w:val="28"/>
              </w:rPr>
              <w:t xml:space="preserve"> kad ārvalsts persona sāk vai turpina studijas, bet arī </w:t>
            </w:r>
            <w:r w:rsidRPr="00B95C6B">
              <w:rPr>
                <w:sz w:val="28"/>
                <w:szCs w:val="28"/>
              </w:rPr>
              <w:t>gadījumos, kad</w:t>
            </w:r>
            <w:r w:rsidR="002E34FC" w:rsidRPr="00B95C6B">
              <w:rPr>
                <w:sz w:val="28"/>
                <w:szCs w:val="28"/>
              </w:rPr>
              <w:t xml:space="preserve"> a)ārvalsts personas pieņemšanai darbā profesijās, kurās profesionālā darbība vai tai nepieciešamā izglītība nav reglamentēta likumos, kā arī citos normatīvajos aktos, b) ārvalsts personas profesionālās darbības veikšanai profesijās, kurās profesionālā darbība vai tai nepieciešamā izglītība ir reglamentēta likumos, kā arī citos normatīvajos aktos, c) ārvalsts personas izglītības turpināšanai pamatizglītība</w:t>
            </w:r>
            <w:r w:rsidRPr="00B95C6B">
              <w:rPr>
                <w:sz w:val="28"/>
                <w:szCs w:val="28"/>
              </w:rPr>
              <w:t>s vai vidējās izglītības pakāpē.</w:t>
            </w:r>
          </w:p>
          <w:p w14:paraId="2966FCBD" w14:textId="1AC8EAC8" w:rsidR="008523BB" w:rsidRPr="00B95C6B" w:rsidRDefault="008523BB" w:rsidP="002E34FC">
            <w:pPr>
              <w:jc w:val="both"/>
              <w:rPr>
                <w:sz w:val="28"/>
                <w:szCs w:val="28"/>
              </w:rPr>
            </w:pPr>
            <w:r w:rsidRPr="00B95C6B">
              <w:rPr>
                <w:sz w:val="28"/>
                <w:szCs w:val="28"/>
              </w:rPr>
              <w:t xml:space="preserve">Likumprojekta </w:t>
            </w:r>
            <w:r w:rsidR="000E014D" w:rsidRPr="00B95C6B">
              <w:rPr>
                <w:sz w:val="28"/>
                <w:szCs w:val="28"/>
              </w:rPr>
              <w:t xml:space="preserve">mērķis un būtība </w:t>
            </w:r>
            <w:r w:rsidRPr="00B95C6B">
              <w:rPr>
                <w:sz w:val="28"/>
                <w:szCs w:val="28"/>
              </w:rPr>
              <w:t xml:space="preserve">ir, ka ievērojot minēto AIC kompetenču loku, lielo ārvalstu personu pieprasījumu pēc ekspertīzes un izziņas, kā arī </w:t>
            </w:r>
            <w:r w:rsidR="000E014D" w:rsidRPr="00B95C6B">
              <w:rPr>
                <w:sz w:val="28"/>
                <w:szCs w:val="28"/>
              </w:rPr>
              <w:t>nepieciešamību</w:t>
            </w:r>
            <w:r w:rsidR="000E014D" w:rsidRPr="00B95C6B">
              <w:rPr>
                <w:sz w:val="28"/>
                <w:szCs w:val="28"/>
                <w:shd w:val="clear" w:color="auto" w:fill="FFFFFF"/>
              </w:rPr>
              <w:t xml:space="preserve"> </w:t>
            </w:r>
            <w:r w:rsidRPr="00B95C6B">
              <w:rPr>
                <w:sz w:val="28"/>
                <w:szCs w:val="28"/>
                <w:shd w:val="clear" w:color="auto" w:fill="FFFFFF"/>
              </w:rPr>
              <w:t>augstskolu lomas paplašināšanai potenciālo studentu no ārvalstīm iepriekšējās izglītības atzīšanā, kas vienlaikus arī atslogo AIC</w:t>
            </w:r>
            <w:r w:rsidR="000E352A" w:rsidRPr="00B95C6B">
              <w:rPr>
                <w:sz w:val="28"/>
                <w:szCs w:val="28"/>
                <w:shd w:val="clear" w:color="auto" w:fill="FFFFFF"/>
              </w:rPr>
              <w:t xml:space="preserve"> un paātrina ekspertīzes procesu, ceļot savu kapacitāti</w:t>
            </w:r>
            <w:r w:rsidRPr="00B95C6B">
              <w:rPr>
                <w:sz w:val="28"/>
                <w:szCs w:val="28"/>
                <w:shd w:val="clear" w:color="auto" w:fill="FFFFFF"/>
              </w:rPr>
              <w:t xml:space="preserve"> t</w:t>
            </w:r>
            <w:r w:rsidR="000E352A" w:rsidRPr="00B95C6B">
              <w:rPr>
                <w:sz w:val="28"/>
                <w:szCs w:val="28"/>
                <w:shd w:val="clear" w:color="auto" w:fill="FFFFFF"/>
              </w:rPr>
              <w:t>ā</w:t>
            </w:r>
            <w:r w:rsidRPr="00B95C6B">
              <w:rPr>
                <w:sz w:val="28"/>
                <w:szCs w:val="28"/>
                <w:shd w:val="clear" w:color="auto" w:fill="FFFFFF"/>
              </w:rPr>
              <w:t xml:space="preserve">m ārvalstu personām, kuru nolūks nav uzsākt vai turpināt studijas Latvijā, piešķirt tiesības arī augstskolām veikt ekspertīzi un izsniegt izziņu un veikt </w:t>
            </w:r>
            <w:r w:rsidRPr="00B95C6B">
              <w:rPr>
                <w:sz w:val="28"/>
                <w:szCs w:val="28"/>
              </w:rPr>
              <w:t xml:space="preserve">ierakstu par dokumentiem </w:t>
            </w:r>
            <w:r w:rsidRPr="00CE0695">
              <w:rPr>
                <w:sz w:val="28"/>
                <w:szCs w:val="28"/>
              </w:rPr>
              <w:t>Ārvalstīs izsniegto izglītības dokumentu reģistrā</w:t>
            </w:r>
            <w:r w:rsidR="000E352A" w:rsidRPr="00B95C6B">
              <w:rPr>
                <w:sz w:val="28"/>
                <w:szCs w:val="28"/>
              </w:rPr>
              <w:t xml:space="preserve">, ja </w:t>
            </w:r>
            <w:r w:rsidR="000E352A" w:rsidRPr="00B95C6B">
              <w:rPr>
                <w:sz w:val="28"/>
                <w:szCs w:val="28"/>
                <w:shd w:val="clear" w:color="auto" w:fill="FFFFFF"/>
              </w:rPr>
              <w:t>dokumentu īpašnieks ir augstskolā iesniedzis pieteikumu par studiju uzsākšanu vai turpināšanu Latvijā</w:t>
            </w:r>
            <w:r w:rsidRPr="00B95C6B">
              <w:rPr>
                <w:sz w:val="28"/>
                <w:szCs w:val="28"/>
              </w:rPr>
              <w:t>.</w:t>
            </w:r>
          </w:p>
          <w:p w14:paraId="391261F1" w14:textId="36752B98" w:rsidR="000E014D" w:rsidRPr="00B95C6B" w:rsidRDefault="008523BB" w:rsidP="000E014D">
            <w:pPr>
              <w:jc w:val="both"/>
              <w:rPr>
                <w:rFonts w:eastAsiaTheme="minorHAnsi"/>
                <w:sz w:val="28"/>
                <w:szCs w:val="28"/>
                <w:lang w:eastAsia="en-US"/>
              </w:rPr>
            </w:pPr>
            <w:r w:rsidRPr="00B95C6B">
              <w:rPr>
                <w:sz w:val="28"/>
                <w:szCs w:val="28"/>
              </w:rPr>
              <w:t>Ja augstskola vēlēsies šis tiesības izmantot</w:t>
            </w:r>
            <w:r w:rsidR="000E014D" w:rsidRPr="00B95C6B">
              <w:rPr>
                <w:sz w:val="28"/>
                <w:szCs w:val="28"/>
              </w:rPr>
              <w:t xml:space="preserve">, tad tām </w:t>
            </w:r>
            <w:r w:rsidRPr="00B95C6B">
              <w:rPr>
                <w:sz w:val="28"/>
                <w:szCs w:val="28"/>
              </w:rPr>
              <w:t xml:space="preserve"> </w:t>
            </w:r>
            <w:r w:rsidR="000E014D" w:rsidRPr="00B95C6B">
              <w:rPr>
                <w:sz w:val="28"/>
                <w:szCs w:val="28"/>
              </w:rPr>
              <w:t>būs vispirms</w:t>
            </w:r>
            <w:r w:rsidRPr="00B95C6B">
              <w:rPr>
                <w:sz w:val="28"/>
                <w:szCs w:val="28"/>
              </w:rPr>
              <w:t xml:space="preserve"> jāizpilda </w:t>
            </w:r>
            <w:r w:rsidR="000E014D" w:rsidRPr="00B95C6B">
              <w:rPr>
                <w:rFonts w:eastAsiaTheme="minorHAnsi"/>
                <w:sz w:val="28"/>
                <w:szCs w:val="28"/>
                <w:lang w:eastAsia="en-US"/>
              </w:rPr>
              <w:t xml:space="preserve">Ministru kabineta noteiktās prasības, lai kvalificētos </w:t>
            </w:r>
            <w:r w:rsidR="000E014D" w:rsidRPr="00B95C6B">
              <w:rPr>
                <w:sz w:val="28"/>
                <w:szCs w:val="28"/>
              </w:rPr>
              <w:t xml:space="preserve">ekspertīzes veikšanai un </w:t>
            </w:r>
            <w:r w:rsidR="000E014D" w:rsidRPr="00B95C6B">
              <w:rPr>
                <w:sz w:val="28"/>
                <w:szCs w:val="28"/>
              </w:rPr>
              <w:lastRenderedPageBreak/>
              <w:t>iegūtu</w:t>
            </w:r>
            <w:r w:rsidR="000E014D" w:rsidRPr="00B95C6B">
              <w:rPr>
                <w:rFonts w:eastAsiaTheme="minorHAnsi"/>
                <w:sz w:val="28"/>
                <w:szCs w:val="28"/>
                <w:lang w:eastAsia="en-US"/>
              </w:rPr>
              <w:t xml:space="preserve"> tiesības veikt ekspertīzi un izsniegt</w:t>
            </w:r>
            <w:r w:rsidR="000E014D" w:rsidRPr="00B95C6B">
              <w:rPr>
                <w:rFonts w:eastAsiaTheme="minorHAnsi"/>
                <w:sz w:val="28"/>
                <w:szCs w:val="28"/>
                <w:shd w:val="clear" w:color="auto" w:fill="FFFFFF"/>
                <w:lang w:eastAsia="en-US"/>
              </w:rPr>
              <w:t xml:space="preserve"> </w:t>
            </w:r>
            <w:r w:rsidR="000E014D" w:rsidRPr="00B95C6B">
              <w:rPr>
                <w:rFonts w:eastAsiaTheme="minorHAnsi"/>
                <w:sz w:val="28"/>
                <w:szCs w:val="28"/>
                <w:lang w:eastAsia="en-US"/>
              </w:rPr>
              <w:t>izziņu Minētais deleģējums ir ietverts likumprojektā “Grozījumi Augstskolu likumā”</w:t>
            </w:r>
            <w:r w:rsidR="000E014D" w:rsidRPr="00B95C6B">
              <w:rPr>
                <w:rStyle w:val="FootnoteReference"/>
                <w:rFonts w:eastAsiaTheme="minorHAnsi"/>
                <w:sz w:val="28"/>
                <w:szCs w:val="28"/>
                <w:lang w:eastAsia="en-US"/>
              </w:rPr>
              <w:footnoteReference w:id="3"/>
            </w:r>
            <w:r w:rsidR="000E014D" w:rsidRPr="00B95C6B">
              <w:rPr>
                <w:rFonts w:eastAsiaTheme="minorHAnsi"/>
                <w:sz w:val="28"/>
                <w:szCs w:val="28"/>
                <w:lang w:eastAsia="en-US"/>
              </w:rPr>
              <w:t xml:space="preserve">, paredzot grozījumus   Augstskolu likuma 85.pantā, ka arī </w:t>
            </w:r>
            <w:r w:rsidR="000E014D" w:rsidRPr="00B95C6B">
              <w:rPr>
                <w:sz w:val="28"/>
                <w:szCs w:val="28"/>
              </w:rPr>
              <w:t xml:space="preserve">Ministru kabineta noteiktām prasībām atbilstoša augstskolai ir tiesības Ministru kabineta noteiktajā kārtībā veikt par pēdējo trīs gadu laikā Eiropas Savienības valstīs, Eiropas Ekonomikas zonas valstīs, Šveices Konfederācijā un Ministru kabineta noteiktās ārvalstīs izsniegto izglītības dokumentu un ārvalstīs iegūto akadēmisko grādu apliecinošu dokumentu ekspertīzi, izsniegt izziņu </w:t>
            </w:r>
            <w:r w:rsidR="000E014D" w:rsidRPr="00B95C6B">
              <w:rPr>
                <w:sz w:val="28"/>
                <w:szCs w:val="28"/>
                <w:shd w:val="clear" w:color="auto" w:fill="FFFFFF"/>
              </w:rPr>
              <w:t>par to, kādam Latvijā izsniedzamam izglītības dokumentam vai Latvijā piešķiramam akadēmiskajam grādam atbilst vai ir pielīdzināms ārvalstī izsniegtais izglītības dokuments vai piešķirtais akadēmiskais grāds</w:t>
            </w:r>
            <w:r w:rsidR="000E014D" w:rsidRPr="00B95C6B">
              <w:rPr>
                <w:rFonts w:eastAsiaTheme="minorHAnsi"/>
                <w:sz w:val="28"/>
                <w:szCs w:val="28"/>
                <w:lang w:eastAsia="en-US"/>
              </w:rPr>
              <w:t>.</w:t>
            </w:r>
          </w:p>
          <w:p w14:paraId="771F44EA" w14:textId="7352C12C" w:rsidR="00F02C3E" w:rsidRPr="00B95C6B" w:rsidRDefault="000E352A" w:rsidP="00C239FD">
            <w:pPr>
              <w:shd w:val="clear" w:color="auto" w:fill="FFFFFF"/>
              <w:jc w:val="both"/>
              <w:outlineLvl w:val="3"/>
              <w:rPr>
                <w:sz w:val="28"/>
                <w:szCs w:val="28"/>
              </w:rPr>
            </w:pPr>
            <w:r w:rsidRPr="00B95C6B">
              <w:rPr>
                <w:sz w:val="28"/>
                <w:szCs w:val="28"/>
              </w:rPr>
              <w:t>Likumprojekts paredz:</w:t>
            </w:r>
          </w:p>
          <w:p w14:paraId="48C9BA22" w14:textId="772EBB5F" w:rsidR="000E352A" w:rsidRPr="00B95C6B" w:rsidRDefault="00AB0A71" w:rsidP="00AB0A71">
            <w:pPr>
              <w:pStyle w:val="ListParagraph"/>
              <w:numPr>
                <w:ilvl w:val="0"/>
                <w:numId w:val="1"/>
              </w:numPr>
              <w:shd w:val="clear" w:color="auto" w:fill="FFFFFF"/>
              <w:ind w:left="-30" w:firstLine="390"/>
              <w:jc w:val="both"/>
              <w:outlineLvl w:val="3"/>
              <w:rPr>
                <w:sz w:val="28"/>
                <w:szCs w:val="28"/>
              </w:rPr>
            </w:pPr>
            <w:r w:rsidRPr="00B95C6B">
              <w:rPr>
                <w:sz w:val="28"/>
                <w:szCs w:val="28"/>
              </w:rPr>
              <w:t>p</w:t>
            </w:r>
            <w:r w:rsidR="000E352A" w:rsidRPr="00B95C6B">
              <w:rPr>
                <w:sz w:val="28"/>
                <w:szCs w:val="28"/>
              </w:rPr>
              <w:t xml:space="preserve">apildināt Izglītības likuma 11.¹ panta pirmo daļu, nosakot, ka arī augstskolas ir tiesīgas veikt </w:t>
            </w:r>
            <w:r w:rsidR="000E352A" w:rsidRPr="00B95C6B">
              <w:rPr>
                <w:sz w:val="28"/>
                <w:szCs w:val="28"/>
                <w:shd w:val="clear" w:color="auto" w:fill="FFFFFF"/>
              </w:rPr>
              <w:t> ārvalstīs izsniegto izglītības dokumentu, kā arī ārvalstīs iegūtos akadēmiskos grādus apliecinošu dokumentu ekspertīzi;</w:t>
            </w:r>
          </w:p>
          <w:p w14:paraId="628BEC91" w14:textId="08A1ABBA" w:rsidR="000E352A" w:rsidRPr="00B95C6B" w:rsidRDefault="00AB0A71" w:rsidP="00AB0A71">
            <w:pPr>
              <w:pStyle w:val="ListParagraph"/>
              <w:numPr>
                <w:ilvl w:val="0"/>
                <w:numId w:val="1"/>
              </w:numPr>
              <w:shd w:val="clear" w:color="auto" w:fill="FFFFFF"/>
              <w:ind w:left="-30" w:firstLine="390"/>
              <w:jc w:val="both"/>
              <w:outlineLvl w:val="3"/>
              <w:rPr>
                <w:sz w:val="28"/>
                <w:szCs w:val="28"/>
              </w:rPr>
            </w:pPr>
            <w:r w:rsidRPr="00B95C6B">
              <w:rPr>
                <w:sz w:val="28"/>
                <w:szCs w:val="28"/>
              </w:rPr>
              <w:t>papildināt Izglītības likuma 11.¹ panta ceturto daļu, nosakot, ka ekspertīze veicama ne tikai studiju turpināšanai, bet arī studiju uzsākšanai Latvijā;</w:t>
            </w:r>
          </w:p>
          <w:p w14:paraId="51DECA1F" w14:textId="77E5171A" w:rsidR="00AB0A71" w:rsidRPr="00B95C6B" w:rsidRDefault="00AB0A71" w:rsidP="00AB0A71">
            <w:pPr>
              <w:pStyle w:val="ListParagraph"/>
              <w:numPr>
                <w:ilvl w:val="0"/>
                <w:numId w:val="1"/>
              </w:numPr>
              <w:shd w:val="clear" w:color="auto" w:fill="FFFFFF"/>
              <w:ind w:left="-30" w:firstLine="390"/>
              <w:jc w:val="both"/>
              <w:outlineLvl w:val="3"/>
              <w:rPr>
                <w:sz w:val="28"/>
                <w:szCs w:val="28"/>
              </w:rPr>
            </w:pPr>
            <w:r w:rsidRPr="00B95C6B">
              <w:rPr>
                <w:sz w:val="28"/>
                <w:szCs w:val="28"/>
              </w:rPr>
              <w:t>papildināt Izglītības likuma 11.¹ pantu ar sesto, septīto, astoto un devīto daļu atrunājot:</w:t>
            </w:r>
          </w:p>
          <w:p w14:paraId="63A9F46C" w14:textId="0E51EC5B" w:rsidR="00AB0A71" w:rsidRPr="00B95C6B" w:rsidRDefault="00AB0A71" w:rsidP="00AB0A71">
            <w:pPr>
              <w:pStyle w:val="ListParagraph"/>
              <w:numPr>
                <w:ilvl w:val="0"/>
                <w:numId w:val="2"/>
              </w:numPr>
              <w:shd w:val="clear" w:color="auto" w:fill="FFFFFF"/>
              <w:ind w:left="0" w:firstLine="360"/>
              <w:jc w:val="both"/>
              <w:outlineLvl w:val="3"/>
              <w:rPr>
                <w:sz w:val="28"/>
                <w:szCs w:val="28"/>
              </w:rPr>
            </w:pPr>
            <w:r w:rsidRPr="00B95C6B">
              <w:rPr>
                <w:sz w:val="28"/>
                <w:szCs w:val="28"/>
              </w:rPr>
              <w:t xml:space="preserve">ka AIC neveic ekspertīzi, </w:t>
            </w:r>
            <w:r w:rsidRPr="00B95C6B">
              <w:rPr>
                <w:sz w:val="28"/>
                <w:szCs w:val="28"/>
                <w:shd w:val="clear" w:color="auto" w:fill="FFFFFF"/>
              </w:rPr>
              <w:t>ja</w:t>
            </w:r>
            <w:r w:rsidRPr="00B95C6B">
              <w:rPr>
                <w:sz w:val="28"/>
                <w:szCs w:val="28"/>
              </w:rPr>
              <w:t xml:space="preserve"> atbilstoši Augstskolu likuma noteikumiem Eiropas Savienības valstī, Eiropas Ekonomikas zonas valstī,</w:t>
            </w:r>
            <w:r w:rsidRPr="00B95C6B">
              <w:rPr>
                <w:sz w:val="28"/>
                <w:szCs w:val="28"/>
                <w:shd w:val="clear" w:color="auto" w:fill="FFFFFF"/>
              </w:rPr>
              <w:t xml:space="preserve"> Šveices Konfederācijā vai</w:t>
            </w:r>
            <w:r w:rsidRPr="00B95C6B">
              <w:rPr>
                <w:sz w:val="28"/>
                <w:szCs w:val="28"/>
              </w:rPr>
              <w:t xml:space="preserve"> Ministru kabineta noteiktā ārvalstī pēdējo trīs gadu laikā izsniegtā izglītības dokumenta un ārvalstī iegūtā akadēmiska grāda apliecinoša dokumenta ekspertīzi Ministru kabineta noteiktajā kārtībā  veic Ministru kabineta noteiktām prasībām atbilstoša augstskola, kurā šo dokumentu īpašnieks ir iesniedzis iesniegumu studiju uzsākšanai vai turpināšanai Latvijā un izsniedz šā panta trešajā daļā minēto izziņu</w:t>
            </w:r>
            <w:r w:rsidRPr="00B95C6B">
              <w:rPr>
                <w:sz w:val="28"/>
                <w:szCs w:val="28"/>
                <w:shd w:val="clear" w:color="auto" w:fill="FFFFFF"/>
              </w:rPr>
              <w:t>;</w:t>
            </w:r>
          </w:p>
          <w:p w14:paraId="69FDF020" w14:textId="77777777" w:rsidR="00AB0A71" w:rsidRPr="00B95C6B" w:rsidRDefault="00AB0A71" w:rsidP="00AB0A71">
            <w:pPr>
              <w:pStyle w:val="ListParagraph"/>
              <w:numPr>
                <w:ilvl w:val="0"/>
                <w:numId w:val="2"/>
              </w:numPr>
              <w:shd w:val="clear" w:color="auto" w:fill="FFFFFF"/>
              <w:ind w:left="0" w:firstLine="360"/>
              <w:jc w:val="both"/>
              <w:outlineLvl w:val="3"/>
              <w:rPr>
                <w:sz w:val="28"/>
                <w:szCs w:val="28"/>
              </w:rPr>
            </w:pPr>
            <w:r w:rsidRPr="00B95C6B">
              <w:rPr>
                <w:sz w:val="28"/>
                <w:szCs w:val="28"/>
                <w:shd w:val="clear" w:color="auto" w:fill="FFFFFF"/>
              </w:rPr>
              <w:lastRenderedPageBreak/>
              <w:t>kādi dokumenti ir iesniedzami augstskolai ekspertīzes veikšanai;</w:t>
            </w:r>
          </w:p>
          <w:p w14:paraId="0B09ECCD" w14:textId="77777777" w:rsidR="00AB0A71" w:rsidRPr="00B95C6B" w:rsidRDefault="00AB0A71" w:rsidP="00AB0A71">
            <w:pPr>
              <w:pStyle w:val="ListParagraph"/>
              <w:numPr>
                <w:ilvl w:val="0"/>
                <w:numId w:val="2"/>
              </w:numPr>
              <w:shd w:val="clear" w:color="auto" w:fill="FFFFFF"/>
              <w:ind w:left="0" w:firstLine="360"/>
              <w:jc w:val="both"/>
              <w:outlineLvl w:val="3"/>
              <w:rPr>
                <w:sz w:val="28"/>
                <w:szCs w:val="28"/>
              </w:rPr>
            </w:pPr>
            <w:r w:rsidRPr="00B95C6B">
              <w:rPr>
                <w:sz w:val="28"/>
                <w:szCs w:val="28"/>
              </w:rPr>
              <w:t>ja augstskola neizmanto tiesības  veikt dokumentu ekspertīzi, tad to izpilda AIC;</w:t>
            </w:r>
          </w:p>
          <w:p w14:paraId="2CECE9E7" w14:textId="1F13C8BD" w:rsidR="00AB0A71" w:rsidRPr="00B95C6B" w:rsidRDefault="00AB0A71" w:rsidP="00AB0A71">
            <w:pPr>
              <w:pStyle w:val="ListParagraph"/>
              <w:numPr>
                <w:ilvl w:val="0"/>
                <w:numId w:val="2"/>
              </w:numPr>
              <w:shd w:val="clear" w:color="auto" w:fill="FFFFFF"/>
              <w:ind w:left="0" w:firstLine="360"/>
              <w:jc w:val="both"/>
              <w:outlineLvl w:val="3"/>
              <w:rPr>
                <w:sz w:val="28"/>
                <w:szCs w:val="28"/>
              </w:rPr>
            </w:pPr>
            <w:r w:rsidRPr="00B95C6B">
              <w:rPr>
                <w:sz w:val="28"/>
                <w:szCs w:val="28"/>
              </w:rPr>
              <w:t xml:space="preserve">dokumenta īpašnieks, iesniedzot iesniegumu studiju uzsākšanai vai turpināšanai Latvijā divās vai vairākās augstskolās, šajā iesniegumā norāda institūciju, kurā veiks ekspertīzi un izsniegs izziņu; </w:t>
            </w:r>
          </w:p>
          <w:p w14:paraId="3064A496" w14:textId="0C27A8D8" w:rsidR="00156AD6" w:rsidRPr="00B95C6B" w:rsidRDefault="00156AD6" w:rsidP="00156AD6">
            <w:pPr>
              <w:pStyle w:val="ListParagraph"/>
              <w:numPr>
                <w:ilvl w:val="0"/>
                <w:numId w:val="1"/>
              </w:numPr>
              <w:shd w:val="clear" w:color="auto" w:fill="FFFFFF"/>
              <w:ind w:left="0" w:firstLine="360"/>
              <w:jc w:val="both"/>
              <w:outlineLvl w:val="3"/>
              <w:rPr>
                <w:sz w:val="28"/>
                <w:szCs w:val="28"/>
              </w:rPr>
            </w:pPr>
            <w:r w:rsidRPr="00B95C6B">
              <w:rPr>
                <w:sz w:val="28"/>
                <w:szCs w:val="28"/>
              </w:rPr>
              <w:t>papildināt Izglītības likuma 11.² pantu ar 1.</w:t>
            </w:r>
            <w:r w:rsidRPr="00B95C6B">
              <w:rPr>
                <w:sz w:val="28"/>
                <w:szCs w:val="28"/>
                <w:vertAlign w:val="superscript"/>
              </w:rPr>
              <w:t xml:space="preserve">1 </w:t>
            </w:r>
            <w:r w:rsidRPr="00B95C6B">
              <w:rPr>
                <w:sz w:val="28"/>
                <w:szCs w:val="28"/>
              </w:rPr>
              <w:t>un</w:t>
            </w:r>
            <w:r w:rsidRPr="00B95C6B">
              <w:rPr>
                <w:color w:val="414142"/>
                <w:sz w:val="28"/>
                <w:szCs w:val="28"/>
              </w:rPr>
              <w:t xml:space="preserve"> 1.² </w:t>
            </w:r>
            <w:r w:rsidRPr="00B95C6B">
              <w:rPr>
                <w:sz w:val="28"/>
                <w:szCs w:val="28"/>
              </w:rPr>
              <w:t>daļu, ar ko paredz:</w:t>
            </w:r>
          </w:p>
          <w:p w14:paraId="58564361" w14:textId="77777777" w:rsidR="004E1AB7" w:rsidRPr="00B95C6B" w:rsidRDefault="00156AD6" w:rsidP="004E1AB7">
            <w:pPr>
              <w:pStyle w:val="ListParagraph"/>
              <w:numPr>
                <w:ilvl w:val="0"/>
                <w:numId w:val="4"/>
              </w:numPr>
              <w:shd w:val="clear" w:color="auto" w:fill="FFFFFF"/>
              <w:ind w:left="-30" w:firstLine="390"/>
              <w:jc w:val="both"/>
              <w:rPr>
                <w:sz w:val="28"/>
                <w:szCs w:val="28"/>
              </w:rPr>
            </w:pPr>
            <w:r w:rsidRPr="00B95C6B">
              <w:rPr>
                <w:sz w:val="28"/>
                <w:szCs w:val="28"/>
              </w:rPr>
              <w:t xml:space="preserve">ka, ja </w:t>
            </w:r>
            <w:r w:rsidRPr="00B95C6B">
              <w:rPr>
                <w:sz w:val="28"/>
                <w:szCs w:val="28"/>
                <w:shd w:val="clear" w:color="auto" w:fill="FFFFFF"/>
              </w:rPr>
              <w:t xml:space="preserve">augstskola ir veikusi  </w:t>
            </w:r>
            <w:r w:rsidRPr="00B95C6B">
              <w:rPr>
                <w:sz w:val="28"/>
                <w:szCs w:val="28"/>
              </w:rPr>
              <w:t xml:space="preserve">ekspertīzi un </w:t>
            </w:r>
            <w:r w:rsidRPr="00B95C6B">
              <w:rPr>
                <w:sz w:val="28"/>
                <w:szCs w:val="28"/>
                <w:shd w:val="clear" w:color="auto" w:fill="FFFFFF"/>
              </w:rPr>
              <w:t xml:space="preserve">izsniegusi izziņu, tā ieraksta ziņas Ārvalstīs izsniegto izglītības dokumentu reģistrā </w:t>
            </w:r>
            <w:r w:rsidRPr="00B95C6B">
              <w:rPr>
                <w:sz w:val="28"/>
                <w:szCs w:val="28"/>
              </w:rPr>
              <w:t xml:space="preserve">par katru </w:t>
            </w:r>
            <w:r w:rsidR="004E1AB7" w:rsidRPr="00B95C6B">
              <w:rPr>
                <w:sz w:val="28"/>
                <w:szCs w:val="28"/>
              </w:rPr>
              <w:t xml:space="preserve"> ekspertīzē izskatīto </w:t>
            </w:r>
            <w:r w:rsidRPr="00B95C6B">
              <w:rPr>
                <w:sz w:val="28"/>
                <w:szCs w:val="28"/>
              </w:rPr>
              <w:t>Eiropas Savienības valstī, Eiropas Ekonomikas zonas valstī,</w:t>
            </w:r>
            <w:r w:rsidRPr="00B95C6B">
              <w:rPr>
                <w:sz w:val="28"/>
                <w:szCs w:val="28"/>
                <w:shd w:val="clear" w:color="auto" w:fill="FFFFFF"/>
              </w:rPr>
              <w:t xml:space="preserve"> Šveices Konfederācijā un</w:t>
            </w:r>
            <w:r w:rsidRPr="00B95C6B">
              <w:rPr>
                <w:sz w:val="28"/>
                <w:szCs w:val="28"/>
              </w:rPr>
              <w:t xml:space="preserve"> Ministru kabineta noteiktā ārvalstī izsniegto</w:t>
            </w:r>
            <w:r w:rsidRPr="00B95C6B" w:rsidDel="00E65FB5">
              <w:rPr>
                <w:sz w:val="28"/>
                <w:szCs w:val="28"/>
              </w:rPr>
              <w:t xml:space="preserve"> </w:t>
            </w:r>
            <w:r w:rsidRPr="00B95C6B">
              <w:rPr>
                <w:sz w:val="28"/>
                <w:szCs w:val="28"/>
              </w:rPr>
              <w:t>izglītības dokumentu un ārvalstī iegūto akadēmisko grādu apliecinošu dokumentu</w:t>
            </w:r>
            <w:r w:rsidR="004E1AB7" w:rsidRPr="00B95C6B">
              <w:rPr>
                <w:sz w:val="28"/>
                <w:szCs w:val="28"/>
              </w:rPr>
              <w:t>;</w:t>
            </w:r>
          </w:p>
          <w:p w14:paraId="36360242" w14:textId="379AEABA" w:rsidR="00156AD6" w:rsidRPr="00B95C6B" w:rsidRDefault="004E1AB7" w:rsidP="004E1AB7">
            <w:pPr>
              <w:pStyle w:val="ListParagraph"/>
              <w:numPr>
                <w:ilvl w:val="0"/>
                <w:numId w:val="4"/>
              </w:numPr>
              <w:shd w:val="clear" w:color="auto" w:fill="FFFFFF"/>
              <w:ind w:left="-30" w:firstLine="390"/>
              <w:jc w:val="both"/>
              <w:rPr>
                <w:sz w:val="28"/>
                <w:szCs w:val="28"/>
              </w:rPr>
            </w:pPr>
            <w:r w:rsidRPr="00B95C6B">
              <w:rPr>
                <w:color w:val="414142"/>
                <w:sz w:val="28"/>
                <w:szCs w:val="28"/>
              </w:rPr>
              <w:t xml:space="preserve">ka AIC </w:t>
            </w:r>
            <w:r w:rsidR="00156AD6" w:rsidRPr="00B95C6B">
              <w:rPr>
                <w:color w:val="414142"/>
                <w:sz w:val="28"/>
                <w:szCs w:val="28"/>
              </w:rPr>
              <w:t xml:space="preserve"> un cita augstskola </w:t>
            </w:r>
            <w:r w:rsidR="00156AD6" w:rsidRPr="00B95C6B">
              <w:rPr>
                <w:sz w:val="28"/>
                <w:szCs w:val="28"/>
              </w:rPr>
              <w:t>neveic ierakstu</w:t>
            </w:r>
            <w:r w:rsidRPr="00B95C6B">
              <w:rPr>
                <w:sz w:val="28"/>
                <w:szCs w:val="28"/>
              </w:rPr>
              <w:t>s</w:t>
            </w:r>
            <w:r w:rsidR="00156AD6" w:rsidRPr="00B95C6B">
              <w:rPr>
                <w:sz w:val="28"/>
                <w:szCs w:val="28"/>
                <w:shd w:val="clear" w:color="auto" w:fill="FFFFFF"/>
              </w:rPr>
              <w:t xml:space="preserve"> Ārvalstīs izsniegto izglītības dokumentu reģistrā</w:t>
            </w:r>
            <w:r w:rsidRPr="00B95C6B">
              <w:rPr>
                <w:sz w:val="28"/>
                <w:szCs w:val="28"/>
                <w:shd w:val="clear" w:color="auto" w:fill="FFFFFF"/>
              </w:rPr>
              <w:t xml:space="preserve"> par vienu un to pasu dokumentu, ja attiecīga </w:t>
            </w:r>
            <w:r w:rsidR="00156AD6" w:rsidRPr="00B95C6B">
              <w:rPr>
                <w:sz w:val="28"/>
                <w:szCs w:val="28"/>
              </w:rPr>
              <w:t xml:space="preserve">augstskola ir </w:t>
            </w:r>
            <w:r w:rsidRPr="00B95C6B">
              <w:rPr>
                <w:sz w:val="28"/>
                <w:szCs w:val="28"/>
              </w:rPr>
              <w:t>jau veikusi</w:t>
            </w:r>
            <w:r w:rsidR="00156AD6" w:rsidRPr="00B95C6B">
              <w:rPr>
                <w:sz w:val="28"/>
                <w:szCs w:val="28"/>
              </w:rPr>
              <w:t xml:space="preserve"> ierakstu </w:t>
            </w:r>
            <w:r w:rsidR="00156AD6" w:rsidRPr="00B95C6B">
              <w:rPr>
                <w:sz w:val="28"/>
                <w:szCs w:val="28"/>
                <w:shd w:val="clear" w:color="auto" w:fill="FFFFFF"/>
              </w:rPr>
              <w:t>Ārvalstīs izsniegto izglītības dokumentu reģistrā</w:t>
            </w:r>
            <w:r w:rsidRPr="00B95C6B">
              <w:rPr>
                <w:sz w:val="28"/>
                <w:szCs w:val="28"/>
                <w:shd w:val="clear" w:color="auto" w:fill="FFFFFF"/>
              </w:rPr>
              <w:t>;</w:t>
            </w:r>
          </w:p>
          <w:p w14:paraId="002D83FD" w14:textId="52A307BF" w:rsidR="00156AD6" w:rsidRPr="00B95C6B" w:rsidRDefault="004E1AB7" w:rsidP="004E1AB7">
            <w:pPr>
              <w:pStyle w:val="ListParagraph"/>
              <w:numPr>
                <w:ilvl w:val="0"/>
                <w:numId w:val="1"/>
              </w:numPr>
              <w:shd w:val="clear" w:color="auto" w:fill="FFFFFF"/>
              <w:ind w:left="-30" w:firstLine="390"/>
              <w:jc w:val="both"/>
              <w:rPr>
                <w:sz w:val="28"/>
                <w:szCs w:val="28"/>
                <w:shd w:val="clear" w:color="auto" w:fill="FFFFFF"/>
              </w:rPr>
            </w:pPr>
            <w:r w:rsidRPr="00B95C6B">
              <w:rPr>
                <w:sz w:val="28"/>
                <w:szCs w:val="28"/>
              </w:rPr>
              <w:t xml:space="preserve">papildināt Izglītības likuma 11.² panta </w:t>
            </w:r>
            <w:r w:rsidR="00156AD6" w:rsidRPr="00156AD6">
              <w:rPr>
                <w:sz w:val="28"/>
                <w:szCs w:val="28"/>
              </w:rPr>
              <w:t>ceturto daļu</w:t>
            </w:r>
            <w:r w:rsidRPr="00B95C6B">
              <w:rPr>
                <w:sz w:val="28"/>
                <w:szCs w:val="28"/>
              </w:rPr>
              <w:t xml:space="preserve">, ka ne tikai AIC, bet arī </w:t>
            </w:r>
            <w:r w:rsidR="00156AD6" w:rsidRPr="00156AD6">
              <w:rPr>
                <w:sz w:val="28"/>
                <w:szCs w:val="28"/>
              </w:rPr>
              <w:t xml:space="preserve"> un augstskola, </w:t>
            </w:r>
            <w:r w:rsidR="00156AD6" w:rsidRPr="00156AD6">
              <w:rPr>
                <w:sz w:val="28"/>
                <w:szCs w:val="28"/>
                <w:shd w:val="clear" w:color="auto" w:fill="FFFFFF"/>
              </w:rPr>
              <w:t xml:space="preserve">kura </w:t>
            </w:r>
            <w:r w:rsidR="00156AD6" w:rsidRPr="00156AD6">
              <w:rPr>
                <w:sz w:val="28"/>
                <w:szCs w:val="28"/>
              </w:rPr>
              <w:t>ekspertīzi</w:t>
            </w:r>
            <w:r w:rsidRPr="00B95C6B">
              <w:rPr>
                <w:sz w:val="28"/>
                <w:szCs w:val="28"/>
              </w:rPr>
              <w:t xml:space="preserve">, konstatē, ka, </w:t>
            </w:r>
            <w:r w:rsidRPr="00B95C6B">
              <w:rPr>
                <w:sz w:val="28"/>
                <w:szCs w:val="28"/>
                <w:shd w:val="clear" w:color="auto" w:fill="FFFFFF"/>
              </w:rPr>
              <w:t>ja ārvalstī izsniegtais izglītības dokuments vai iegūtais akadēmiskais grāds neatbilst neviena Latvijā izsniedzama izglītības dokumenta vai Latvijā piešķirama akadēmiskā grāda prasībām, tad Ārvalstīs izsniegto izglītības dokumentu reģistrā papildus esošajām ziņām iekļauj ziņas par to, kādi papildu nosacījumi izpildāmi, lai ārvalstī izsniegto izglītības dokumentu vai ārvalstī iegūto akadēmisko grādu varētu pielīdzināt kādam no Latvijā izsniedzamajiem izglītības dokumentiem vai Latvijā piešķiramajiem akadēmiskajiem grādiem;</w:t>
            </w:r>
          </w:p>
          <w:p w14:paraId="44116FC2" w14:textId="1D6407E8" w:rsidR="004E1AB7" w:rsidRPr="00B95C6B" w:rsidRDefault="004E1AB7" w:rsidP="00FE14C9">
            <w:pPr>
              <w:ind w:firstLine="395"/>
              <w:jc w:val="both"/>
              <w:rPr>
                <w:sz w:val="28"/>
                <w:szCs w:val="28"/>
              </w:rPr>
            </w:pPr>
            <w:r w:rsidRPr="00B95C6B">
              <w:rPr>
                <w:rFonts w:eastAsiaTheme="minorHAnsi"/>
                <w:sz w:val="28"/>
                <w:szCs w:val="28"/>
                <w:lang w:eastAsia="en-US"/>
              </w:rPr>
              <w:t>6) papildināt Izglītības likuma pārejas noteikumus ar 91. punktu, nosakot, ka likumprojektā ietvertie Izglītības likuma grozījumi stājas spēkā vienlaikus ar grozījumiem Augstskolu likuma 85.pantā, jo abi šie likumi ir savstarpēji  saistīti diplom</w:t>
            </w:r>
            <w:r w:rsidR="00FE14C9" w:rsidRPr="00B95C6B">
              <w:rPr>
                <w:rFonts w:eastAsiaTheme="minorHAnsi"/>
                <w:sz w:val="28"/>
                <w:szCs w:val="28"/>
                <w:lang w:eastAsia="en-US"/>
              </w:rPr>
              <w:t>atdzī</w:t>
            </w:r>
            <w:r w:rsidRPr="00B95C6B">
              <w:rPr>
                <w:rFonts w:eastAsiaTheme="minorHAnsi"/>
                <w:sz w:val="28"/>
                <w:szCs w:val="28"/>
                <w:lang w:eastAsia="en-US"/>
              </w:rPr>
              <w:t xml:space="preserve">šanas jautājumā. </w:t>
            </w:r>
          </w:p>
          <w:p w14:paraId="1763E781" w14:textId="20DF6EC3" w:rsidR="000F2B97" w:rsidRPr="00B95C6B" w:rsidRDefault="000F2B97" w:rsidP="000A2883">
            <w:pPr>
              <w:jc w:val="both"/>
              <w:rPr>
                <w:sz w:val="28"/>
                <w:szCs w:val="28"/>
                <w:shd w:val="clear" w:color="auto" w:fill="FFFFFF"/>
              </w:rPr>
            </w:pPr>
          </w:p>
        </w:tc>
      </w:tr>
      <w:tr w:rsidR="000F2B97" w:rsidRPr="00B95C6B" w14:paraId="0BBB2BF9" w14:textId="77777777" w:rsidTr="00C239FD">
        <w:tc>
          <w:tcPr>
            <w:tcW w:w="311" w:type="pct"/>
            <w:hideMark/>
          </w:tcPr>
          <w:p w14:paraId="31C8012C" w14:textId="6BF9363F" w:rsidR="000F2B97" w:rsidRPr="00B95C6B" w:rsidRDefault="000F2B97" w:rsidP="00C239FD">
            <w:pPr>
              <w:widowControl w:val="0"/>
              <w:jc w:val="center"/>
              <w:rPr>
                <w:sz w:val="28"/>
                <w:szCs w:val="28"/>
              </w:rPr>
            </w:pPr>
            <w:r w:rsidRPr="00B95C6B">
              <w:rPr>
                <w:sz w:val="28"/>
                <w:szCs w:val="28"/>
              </w:rPr>
              <w:lastRenderedPageBreak/>
              <w:t>3.</w:t>
            </w:r>
          </w:p>
        </w:tc>
        <w:tc>
          <w:tcPr>
            <w:tcW w:w="1328" w:type="pct"/>
            <w:hideMark/>
          </w:tcPr>
          <w:p w14:paraId="60E1BB57" w14:textId="77777777" w:rsidR="000F2B97" w:rsidRPr="00B95C6B" w:rsidRDefault="000F2B97" w:rsidP="00C239FD">
            <w:pPr>
              <w:widowControl w:val="0"/>
              <w:rPr>
                <w:sz w:val="28"/>
                <w:szCs w:val="28"/>
              </w:rPr>
            </w:pPr>
            <w:r w:rsidRPr="00B95C6B">
              <w:rPr>
                <w:sz w:val="28"/>
                <w:szCs w:val="28"/>
              </w:rPr>
              <w:t>Projekta izstrādē iesaistītās institūcijas un publiskas personas kapitālsabiedrības</w:t>
            </w:r>
          </w:p>
        </w:tc>
        <w:tc>
          <w:tcPr>
            <w:tcW w:w="3361" w:type="pct"/>
          </w:tcPr>
          <w:p w14:paraId="4EDCE7F3" w14:textId="77777777" w:rsidR="000F2B97" w:rsidRPr="00B95C6B" w:rsidRDefault="000F2B97" w:rsidP="00C239FD">
            <w:pPr>
              <w:jc w:val="both"/>
              <w:rPr>
                <w:bCs/>
                <w:sz w:val="28"/>
                <w:szCs w:val="28"/>
              </w:rPr>
            </w:pPr>
            <w:r w:rsidRPr="00B95C6B">
              <w:rPr>
                <w:bCs/>
                <w:sz w:val="28"/>
                <w:szCs w:val="28"/>
              </w:rPr>
              <w:t xml:space="preserve">Izglītības un zinātnes ministrija un </w:t>
            </w:r>
            <w:r w:rsidRPr="00B95C6B">
              <w:rPr>
                <w:sz w:val="28"/>
                <w:szCs w:val="28"/>
                <w:shd w:val="clear" w:color="auto" w:fill="FFFFFF"/>
              </w:rPr>
              <w:t>Akadēmiskās informācijas centrs.</w:t>
            </w:r>
          </w:p>
        </w:tc>
      </w:tr>
      <w:tr w:rsidR="000F2B97" w:rsidRPr="00B95C6B" w14:paraId="307782B2" w14:textId="77777777" w:rsidTr="00C239FD">
        <w:tc>
          <w:tcPr>
            <w:tcW w:w="311" w:type="pct"/>
            <w:hideMark/>
          </w:tcPr>
          <w:p w14:paraId="2692A901" w14:textId="77777777" w:rsidR="000F2B97" w:rsidRPr="00B95C6B" w:rsidRDefault="000F2B97" w:rsidP="00C239FD">
            <w:pPr>
              <w:widowControl w:val="0"/>
              <w:jc w:val="center"/>
              <w:rPr>
                <w:sz w:val="28"/>
                <w:szCs w:val="28"/>
              </w:rPr>
            </w:pPr>
            <w:r w:rsidRPr="00B95C6B">
              <w:rPr>
                <w:sz w:val="28"/>
                <w:szCs w:val="28"/>
              </w:rPr>
              <w:t>4.</w:t>
            </w:r>
          </w:p>
        </w:tc>
        <w:tc>
          <w:tcPr>
            <w:tcW w:w="1328" w:type="pct"/>
            <w:hideMark/>
          </w:tcPr>
          <w:p w14:paraId="636A5205" w14:textId="77777777" w:rsidR="000F2B97" w:rsidRPr="00B95C6B" w:rsidRDefault="000F2B97" w:rsidP="00C239FD">
            <w:pPr>
              <w:widowControl w:val="0"/>
              <w:rPr>
                <w:sz w:val="28"/>
                <w:szCs w:val="28"/>
              </w:rPr>
            </w:pPr>
            <w:r w:rsidRPr="00B95C6B">
              <w:rPr>
                <w:sz w:val="28"/>
                <w:szCs w:val="28"/>
              </w:rPr>
              <w:t>Cita informācija</w:t>
            </w:r>
          </w:p>
        </w:tc>
        <w:tc>
          <w:tcPr>
            <w:tcW w:w="3361" w:type="pct"/>
            <w:hideMark/>
          </w:tcPr>
          <w:p w14:paraId="00D96EAD" w14:textId="77777777" w:rsidR="000F2B97" w:rsidRPr="00B95C6B" w:rsidRDefault="000F2B97" w:rsidP="00C239FD">
            <w:pPr>
              <w:widowControl w:val="0"/>
              <w:ind w:firstLine="108"/>
              <w:rPr>
                <w:sz w:val="28"/>
                <w:szCs w:val="28"/>
              </w:rPr>
            </w:pPr>
            <w:r w:rsidRPr="00B95C6B">
              <w:rPr>
                <w:sz w:val="28"/>
                <w:szCs w:val="28"/>
              </w:rPr>
              <w:t>Nav.</w:t>
            </w:r>
          </w:p>
        </w:tc>
      </w:tr>
    </w:tbl>
    <w:p w14:paraId="73DDA1B5" w14:textId="77777777" w:rsidR="000F2B97" w:rsidRPr="00B95C6B" w:rsidRDefault="000F2B97" w:rsidP="000F2B97">
      <w:pPr>
        <w:pStyle w:val="Title"/>
        <w:spacing w:before="130" w:line="260" w:lineRule="exact"/>
        <w:jc w:val="both"/>
        <w:rPr>
          <w:szCs w:val="28"/>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0F2B97" w:rsidRPr="00B95C6B" w14:paraId="21FC2A5C" w14:textId="77777777" w:rsidTr="00C239FD">
        <w:tc>
          <w:tcPr>
            <w:tcW w:w="9244" w:type="dxa"/>
            <w:gridSpan w:val="3"/>
            <w:vAlign w:val="center"/>
            <w:hideMark/>
          </w:tcPr>
          <w:p w14:paraId="18918731" w14:textId="77777777" w:rsidR="000F2B97" w:rsidRPr="00B95C6B" w:rsidRDefault="000F2B97" w:rsidP="00C239FD">
            <w:pPr>
              <w:jc w:val="center"/>
              <w:rPr>
                <w:b/>
                <w:bCs/>
                <w:sz w:val="28"/>
                <w:szCs w:val="28"/>
              </w:rPr>
            </w:pPr>
            <w:r w:rsidRPr="00B95C6B">
              <w:rPr>
                <w:b/>
                <w:bCs/>
                <w:sz w:val="28"/>
                <w:szCs w:val="28"/>
              </w:rPr>
              <w:t>II. Tiesību akta projekta ietekme uz sabiedrību, tautsaimniecības attīstību un administratīvo slogu</w:t>
            </w:r>
          </w:p>
        </w:tc>
      </w:tr>
      <w:tr w:rsidR="000F2B97" w:rsidRPr="00B95C6B" w14:paraId="50270E93" w14:textId="77777777" w:rsidTr="00C239FD">
        <w:tc>
          <w:tcPr>
            <w:tcW w:w="516" w:type="dxa"/>
            <w:hideMark/>
          </w:tcPr>
          <w:p w14:paraId="61F1D0CE" w14:textId="77777777" w:rsidR="000F2B97" w:rsidRPr="00B95C6B" w:rsidRDefault="000F2B97" w:rsidP="00C239FD">
            <w:pPr>
              <w:jc w:val="center"/>
              <w:rPr>
                <w:sz w:val="28"/>
                <w:szCs w:val="28"/>
              </w:rPr>
            </w:pPr>
            <w:r w:rsidRPr="00B95C6B">
              <w:rPr>
                <w:sz w:val="28"/>
                <w:szCs w:val="28"/>
              </w:rPr>
              <w:t>1.</w:t>
            </w:r>
          </w:p>
        </w:tc>
        <w:tc>
          <w:tcPr>
            <w:tcW w:w="2454" w:type="dxa"/>
            <w:hideMark/>
          </w:tcPr>
          <w:p w14:paraId="14E45052" w14:textId="77777777" w:rsidR="000F2B97" w:rsidRPr="00B95C6B" w:rsidRDefault="000F2B97" w:rsidP="00C239FD">
            <w:pPr>
              <w:rPr>
                <w:sz w:val="28"/>
                <w:szCs w:val="28"/>
              </w:rPr>
            </w:pPr>
            <w:r w:rsidRPr="00B95C6B">
              <w:rPr>
                <w:sz w:val="28"/>
                <w:szCs w:val="28"/>
              </w:rPr>
              <w:t>Sabiedrības mērķgrupas, kuras tiesiskais regulējums ietekmē vai varētu ietekmēt</w:t>
            </w:r>
          </w:p>
        </w:tc>
        <w:tc>
          <w:tcPr>
            <w:tcW w:w="6274" w:type="dxa"/>
          </w:tcPr>
          <w:p w14:paraId="6A68C3A9" w14:textId="1306B6EB" w:rsidR="000F2B97" w:rsidRPr="00B95C6B" w:rsidRDefault="008807F8" w:rsidP="008807F8">
            <w:pPr>
              <w:pStyle w:val="naiskr"/>
              <w:spacing w:before="0" w:after="0"/>
              <w:jc w:val="both"/>
              <w:rPr>
                <w:sz w:val="28"/>
                <w:szCs w:val="28"/>
              </w:rPr>
            </w:pPr>
            <w:r w:rsidRPr="00B95C6B">
              <w:rPr>
                <w:sz w:val="28"/>
                <w:szCs w:val="28"/>
              </w:rPr>
              <w:t>AIC, augstskolas un tajā nodarbinātie, potenciālie studētgribošie ārvalstnieki un studējošie ārvalstnieki.</w:t>
            </w:r>
          </w:p>
        </w:tc>
      </w:tr>
      <w:tr w:rsidR="000F2B97" w:rsidRPr="00B95C6B" w14:paraId="1B17009B" w14:textId="77777777" w:rsidTr="00C239FD">
        <w:tc>
          <w:tcPr>
            <w:tcW w:w="516" w:type="dxa"/>
            <w:hideMark/>
          </w:tcPr>
          <w:p w14:paraId="0566F1A0" w14:textId="77777777" w:rsidR="000F2B97" w:rsidRPr="00B95C6B" w:rsidRDefault="000F2B97" w:rsidP="00C239FD">
            <w:pPr>
              <w:jc w:val="center"/>
              <w:rPr>
                <w:sz w:val="28"/>
                <w:szCs w:val="28"/>
              </w:rPr>
            </w:pPr>
            <w:r w:rsidRPr="00B95C6B">
              <w:rPr>
                <w:sz w:val="28"/>
                <w:szCs w:val="28"/>
              </w:rPr>
              <w:t>2.</w:t>
            </w:r>
          </w:p>
        </w:tc>
        <w:tc>
          <w:tcPr>
            <w:tcW w:w="2454" w:type="dxa"/>
            <w:hideMark/>
          </w:tcPr>
          <w:p w14:paraId="595040E5" w14:textId="77777777" w:rsidR="000F2B97" w:rsidRPr="00B95C6B" w:rsidRDefault="000F2B97" w:rsidP="00C239FD">
            <w:pPr>
              <w:rPr>
                <w:sz w:val="28"/>
                <w:szCs w:val="28"/>
              </w:rPr>
            </w:pPr>
            <w:r w:rsidRPr="00B95C6B">
              <w:rPr>
                <w:sz w:val="28"/>
                <w:szCs w:val="28"/>
              </w:rPr>
              <w:t>Tiesiskā regulējuma ietekme uz tautsaimniecību un administratīvo slogu</w:t>
            </w:r>
          </w:p>
        </w:tc>
        <w:tc>
          <w:tcPr>
            <w:tcW w:w="6274" w:type="dxa"/>
            <w:hideMark/>
          </w:tcPr>
          <w:p w14:paraId="5EAE5D96" w14:textId="421BA7C8" w:rsidR="00FE14C9" w:rsidRPr="00B95C6B" w:rsidRDefault="000F2B97" w:rsidP="00C239FD">
            <w:pPr>
              <w:tabs>
                <w:tab w:val="left" w:pos="7371"/>
              </w:tabs>
              <w:jc w:val="both"/>
              <w:rPr>
                <w:sz w:val="28"/>
                <w:szCs w:val="28"/>
              </w:rPr>
            </w:pPr>
            <w:r w:rsidRPr="00B95C6B">
              <w:rPr>
                <w:sz w:val="28"/>
                <w:szCs w:val="28"/>
              </w:rPr>
              <w:t>Likumprojekts ir neitrāls attiecībā uz tautsaimniecību</w:t>
            </w:r>
            <w:r w:rsidR="008807F8" w:rsidRPr="00B95C6B">
              <w:rPr>
                <w:sz w:val="28"/>
                <w:szCs w:val="28"/>
              </w:rPr>
              <w:t xml:space="preserve"> un tās administratīvo slogu kopumā</w:t>
            </w:r>
            <w:r w:rsidR="00FE14C9" w:rsidRPr="00B95C6B">
              <w:rPr>
                <w:sz w:val="28"/>
                <w:szCs w:val="28"/>
              </w:rPr>
              <w:t>.</w:t>
            </w:r>
            <w:r w:rsidR="008807F8" w:rsidRPr="00B95C6B">
              <w:rPr>
                <w:sz w:val="28"/>
                <w:szCs w:val="28"/>
              </w:rPr>
              <w:t xml:space="preserve"> Tomēr pieaugs noteiktu augstskolu administratīvais slogs ekspertīzes tiesību īstenošanai.</w:t>
            </w:r>
          </w:p>
          <w:p w14:paraId="3F09E283" w14:textId="1CB574F4" w:rsidR="00FE14C9" w:rsidRPr="00B95C6B" w:rsidRDefault="00FE14C9" w:rsidP="00FE14C9">
            <w:pPr>
              <w:pStyle w:val="naiskr"/>
              <w:spacing w:before="0" w:after="0"/>
              <w:jc w:val="both"/>
              <w:rPr>
                <w:sz w:val="28"/>
                <w:szCs w:val="28"/>
                <w:shd w:val="clear" w:color="auto" w:fill="FFFFFF"/>
              </w:rPr>
            </w:pPr>
            <w:r w:rsidRPr="00B95C6B">
              <w:rPr>
                <w:sz w:val="28"/>
                <w:szCs w:val="28"/>
              </w:rPr>
              <w:t>Administratīvais slogs mazināsies</w:t>
            </w:r>
            <w:r w:rsidRPr="00B95C6B">
              <w:rPr>
                <w:sz w:val="28"/>
                <w:szCs w:val="28"/>
                <w:shd w:val="clear" w:color="auto" w:fill="FFFFFF"/>
              </w:rPr>
              <w:t xml:space="preserve"> AIC, bet pieaugs noteiktām augstskolām, taču tā būs augstskolu izvēle veikt ekspertīzi pašām vai turpināt līdzšinējo kārtību, ka ekspertīzi veic AIC. </w:t>
            </w:r>
          </w:p>
          <w:p w14:paraId="76D66CC0" w14:textId="3A007E52" w:rsidR="008807F8" w:rsidRPr="00B95C6B" w:rsidRDefault="00FE14C9" w:rsidP="008807F8">
            <w:pPr>
              <w:tabs>
                <w:tab w:val="left" w:pos="7371"/>
              </w:tabs>
              <w:jc w:val="both"/>
              <w:rPr>
                <w:sz w:val="28"/>
                <w:szCs w:val="28"/>
                <w:shd w:val="clear" w:color="auto" w:fill="FFFFFF"/>
              </w:rPr>
            </w:pPr>
            <w:r w:rsidRPr="00B95C6B">
              <w:rPr>
                <w:sz w:val="28"/>
                <w:szCs w:val="28"/>
                <w:shd w:val="clear" w:color="auto" w:fill="FFFFFF"/>
              </w:rPr>
              <w:t xml:space="preserve">Kopumā var uzskatīt, ka izglītības dokumentu un akadēmisko grādu atzīšanas procedūra tiek vienkāršota, tādējādi </w:t>
            </w:r>
            <w:r w:rsidRPr="00B95C6B">
              <w:rPr>
                <w:sz w:val="28"/>
                <w:szCs w:val="28"/>
              </w:rPr>
              <w:t xml:space="preserve"> </w:t>
            </w:r>
            <w:r w:rsidRPr="00B95C6B">
              <w:rPr>
                <w:sz w:val="28"/>
                <w:szCs w:val="28"/>
                <w:shd w:val="clear" w:color="auto" w:fill="FFFFFF"/>
              </w:rPr>
              <w:t>ilgtermiņā</w:t>
            </w:r>
            <w:r w:rsidRPr="00B95C6B">
              <w:rPr>
                <w:sz w:val="28"/>
                <w:szCs w:val="28"/>
              </w:rPr>
              <w:t xml:space="preserve"> gan augstskolas, gan potenciālie ārvalstu studenti no Eiropas Savienības, Eiropas Ekonomikas zonas valstīm un</w:t>
            </w:r>
            <w:r w:rsidRPr="00B95C6B">
              <w:rPr>
                <w:sz w:val="28"/>
                <w:szCs w:val="28"/>
                <w:shd w:val="clear" w:color="auto" w:fill="FFFFFF"/>
              </w:rPr>
              <w:t xml:space="preserve"> Šveices Konfederācijas un Ministru kabineta </w:t>
            </w:r>
            <w:r w:rsidRPr="00B95C6B">
              <w:rPr>
                <w:sz w:val="28"/>
                <w:szCs w:val="28"/>
              </w:rPr>
              <w:t xml:space="preserve">noteiktajām valstīm būs ieguvēji. </w:t>
            </w:r>
            <w:r w:rsidRPr="00B95C6B">
              <w:rPr>
                <w:sz w:val="28"/>
                <w:szCs w:val="28"/>
                <w:shd w:val="clear" w:color="auto" w:fill="FFFFFF"/>
              </w:rPr>
              <w:t>Tāpat, ja ārvalstnieks, saņemot augstskolas izdotu izziņu, nolemj neiestāties attiecīgajā augstskolā, izdotā izziņa būs ievadīta Ārvalstīs izsniegto izglītības dokumentu reģistrā. Atbilstoši pretendenta iesniegumam un normatīvajiem aktiem par datu aizsardzību izziņa būs derīga, un nebūs jāveic atkārtota izglītības dokumenta vai  akadēmiskā grāda ekspertīze, ja ārvalstnieks lems iesniegt studiju pieteikumu citā Latvijas augstskolā.</w:t>
            </w:r>
          </w:p>
        </w:tc>
      </w:tr>
      <w:tr w:rsidR="000F2B97" w:rsidRPr="00B95C6B" w14:paraId="24633E77" w14:textId="77777777" w:rsidTr="00C239FD">
        <w:tc>
          <w:tcPr>
            <w:tcW w:w="516" w:type="dxa"/>
            <w:hideMark/>
          </w:tcPr>
          <w:p w14:paraId="5C7F01B7" w14:textId="77777777" w:rsidR="000F2B97" w:rsidRPr="00B95C6B" w:rsidRDefault="000F2B97" w:rsidP="00C239FD">
            <w:pPr>
              <w:jc w:val="center"/>
              <w:rPr>
                <w:sz w:val="28"/>
                <w:szCs w:val="28"/>
              </w:rPr>
            </w:pPr>
            <w:r w:rsidRPr="00B95C6B">
              <w:rPr>
                <w:sz w:val="28"/>
                <w:szCs w:val="28"/>
              </w:rPr>
              <w:t>3.</w:t>
            </w:r>
          </w:p>
        </w:tc>
        <w:tc>
          <w:tcPr>
            <w:tcW w:w="2454" w:type="dxa"/>
            <w:hideMark/>
          </w:tcPr>
          <w:p w14:paraId="0F71A74B" w14:textId="77777777" w:rsidR="000F2B97" w:rsidRPr="00B95C6B" w:rsidRDefault="000F2B97" w:rsidP="00C239FD">
            <w:pPr>
              <w:rPr>
                <w:sz w:val="28"/>
                <w:szCs w:val="28"/>
              </w:rPr>
            </w:pPr>
            <w:r w:rsidRPr="00B95C6B">
              <w:rPr>
                <w:sz w:val="28"/>
                <w:szCs w:val="28"/>
              </w:rPr>
              <w:t>Administratīvo izmaksu monetārs novērtējums</w:t>
            </w:r>
          </w:p>
        </w:tc>
        <w:tc>
          <w:tcPr>
            <w:tcW w:w="6274" w:type="dxa"/>
            <w:hideMark/>
          </w:tcPr>
          <w:p w14:paraId="162BAB9C" w14:textId="77777777" w:rsidR="000F2B97" w:rsidRPr="00B95C6B" w:rsidRDefault="000F2B97" w:rsidP="00C239FD">
            <w:pPr>
              <w:ind w:firstLine="108"/>
              <w:jc w:val="both"/>
              <w:rPr>
                <w:sz w:val="28"/>
                <w:szCs w:val="28"/>
              </w:rPr>
            </w:pPr>
            <w:r w:rsidRPr="00B95C6B">
              <w:rPr>
                <w:sz w:val="28"/>
                <w:szCs w:val="28"/>
              </w:rPr>
              <w:t>Likumprojekts šo jomu neskar.</w:t>
            </w:r>
          </w:p>
        </w:tc>
      </w:tr>
      <w:tr w:rsidR="000F2B97" w:rsidRPr="00B95C6B" w14:paraId="2F846371" w14:textId="77777777" w:rsidTr="00C239FD">
        <w:tc>
          <w:tcPr>
            <w:tcW w:w="516" w:type="dxa"/>
            <w:hideMark/>
          </w:tcPr>
          <w:p w14:paraId="0E6016F4" w14:textId="77777777" w:rsidR="000F2B97" w:rsidRPr="00B95C6B" w:rsidRDefault="000F2B97" w:rsidP="00C239FD">
            <w:pPr>
              <w:jc w:val="center"/>
              <w:rPr>
                <w:sz w:val="28"/>
                <w:szCs w:val="28"/>
              </w:rPr>
            </w:pPr>
            <w:r w:rsidRPr="00B95C6B">
              <w:rPr>
                <w:sz w:val="28"/>
                <w:szCs w:val="28"/>
              </w:rPr>
              <w:lastRenderedPageBreak/>
              <w:t>4.</w:t>
            </w:r>
          </w:p>
        </w:tc>
        <w:tc>
          <w:tcPr>
            <w:tcW w:w="2454" w:type="dxa"/>
            <w:hideMark/>
          </w:tcPr>
          <w:p w14:paraId="175D3934" w14:textId="77777777" w:rsidR="000F2B97" w:rsidRPr="00B95C6B" w:rsidRDefault="000F2B97" w:rsidP="00C239FD">
            <w:pPr>
              <w:rPr>
                <w:sz w:val="28"/>
                <w:szCs w:val="28"/>
              </w:rPr>
            </w:pPr>
            <w:r w:rsidRPr="00B95C6B">
              <w:rPr>
                <w:sz w:val="28"/>
                <w:szCs w:val="28"/>
              </w:rPr>
              <w:t>Atbilstības izmaksu monetārs novērtējums</w:t>
            </w:r>
          </w:p>
        </w:tc>
        <w:tc>
          <w:tcPr>
            <w:tcW w:w="6274" w:type="dxa"/>
            <w:hideMark/>
          </w:tcPr>
          <w:p w14:paraId="6E6839F5" w14:textId="77777777" w:rsidR="000F2B97" w:rsidRPr="00B95C6B" w:rsidRDefault="000F2B97" w:rsidP="00C239FD">
            <w:pPr>
              <w:ind w:firstLine="108"/>
              <w:rPr>
                <w:sz w:val="28"/>
                <w:szCs w:val="28"/>
              </w:rPr>
            </w:pPr>
            <w:r w:rsidRPr="00B95C6B">
              <w:rPr>
                <w:sz w:val="28"/>
                <w:szCs w:val="28"/>
              </w:rPr>
              <w:t>Likumprojekts šo jomu neskar.</w:t>
            </w:r>
          </w:p>
        </w:tc>
      </w:tr>
      <w:tr w:rsidR="000F2B97" w:rsidRPr="00B95C6B" w14:paraId="11F628C2" w14:textId="77777777" w:rsidTr="00C239FD">
        <w:tc>
          <w:tcPr>
            <w:tcW w:w="516" w:type="dxa"/>
            <w:hideMark/>
          </w:tcPr>
          <w:p w14:paraId="04E7AE36" w14:textId="77777777" w:rsidR="000F2B97" w:rsidRPr="00B95C6B" w:rsidRDefault="000F2B97" w:rsidP="00C239FD">
            <w:pPr>
              <w:jc w:val="center"/>
              <w:rPr>
                <w:sz w:val="28"/>
                <w:szCs w:val="28"/>
              </w:rPr>
            </w:pPr>
            <w:r w:rsidRPr="00B95C6B">
              <w:rPr>
                <w:sz w:val="28"/>
                <w:szCs w:val="28"/>
              </w:rPr>
              <w:t>5.</w:t>
            </w:r>
          </w:p>
        </w:tc>
        <w:tc>
          <w:tcPr>
            <w:tcW w:w="2454" w:type="dxa"/>
            <w:hideMark/>
          </w:tcPr>
          <w:p w14:paraId="4712FE05" w14:textId="77777777" w:rsidR="000F2B97" w:rsidRPr="00B95C6B" w:rsidRDefault="000F2B97" w:rsidP="00C239FD">
            <w:pPr>
              <w:rPr>
                <w:sz w:val="28"/>
                <w:szCs w:val="28"/>
              </w:rPr>
            </w:pPr>
            <w:r w:rsidRPr="00B95C6B">
              <w:rPr>
                <w:sz w:val="28"/>
                <w:szCs w:val="28"/>
              </w:rPr>
              <w:t>Cita informācija</w:t>
            </w:r>
          </w:p>
        </w:tc>
        <w:tc>
          <w:tcPr>
            <w:tcW w:w="6274" w:type="dxa"/>
            <w:hideMark/>
          </w:tcPr>
          <w:p w14:paraId="3EA7ECB1" w14:textId="77777777" w:rsidR="000F2B97" w:rsidRPr="00B95C6B" w:rsidRDefault="000F2B97" w:rsidP="00C239FD">
            <w:pPr>
              <w:ind w:firstLine="108"/>
              <w:rPr>
                <w:sz w:val="28"/>
                <w:szCs w:val="28"/>
              </w:rPr>
            </w:pPr>
            <w:r w:rsidRPr="00B95C6B">
              <w:rPr>
                <w:sz w:val="28"/>
                <w:szCs w:val="28"/>
              </w:rPr>
              <w:t>Nav.</w:t>
            </w:r>
          </w:p>
          <w:p w14:paraId="4B302B33" w14:textId="77777777" w:rsidR="000F2B97" w:rsidRPr="00B95C6B" w:rsidRDefault="000F2B97" w:rsidP="00C239FD">
            <w:pPr>
              <w:ind w:firstLine="108"/>
              <w:rPr>
                <w:sz w:val="28"/>
                <w:szCs w:val="28"/>
              </w:rPr>
            </w:pPr>
          </w:p>
        </w:tc>
      </w:tr>
    </w:tbl>
    <w:p w14:paraId="2B865D2A" w14:textId="77777777" w:rsidR="000F2B97" w:rsidRPr="00B95C6B" w:rsidRDefault="000F2B97" w:rsidP="000F2B97">
      <w:pPr>
        <w:rPr>
          <w:sz w:val="28"/>
          <w:szCs w:val="28"/>
        </w:rPr>
      </w:pPr>
    </w:p>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0F2B97" w:rsidRPr="00B95C6B" w14:paraId="08B6DD43"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0E10F" w14:textId="77777777" w:rsidR="000F2B97" w:rsidRPr="00B95C6B" w:rsidRDefault="000F2B97" w:rsidP="00C239FD">
            <w:pPr>
              <w:ind w:right="-34"/>
              <w:jc w:val="center"/>
              <w:rPr>
                <w:b/>
                <w:sz w:val="28"/>
                <w:szCs w:val="28"/>
              </w:rPr>
            </w:pPr>
            <w:r w:rsidRPr="00B95C6B">
              <w:rPr>
                <w:b/>
                <w:sz w:val="28"/>
                <w:szCs w:val="28"/>
              </w:rPr>
              <w:t>III. Tiesību akta projekta ietekme uz valsts budžetu un pašvaldību budžetiem</w:t>
            </w:r>
          </w:p>
        </w:tc>
      </w:tr>
      <w:tr w:rsidR="000F2B97" w:rsidRPr="00B95C6B" w14:paraId="0C61E6CF"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52FA86" w14:textId="47BFED86" w:rsidR="000F2B97" w:rsidRPr="00B95C6B" w:rsidRDefault="00B95C6B" w:rsidP="00C239FD">
            <w:pPr>
              <w:ind w:right="-34"/>
              <w:jc w:val="center"/>
              <w:rPr>
                <w:sz w:val="28"/>
                <w:szCs w:val="28"/>
              </w:rPr>
            </w:pPr>
            <w:r w:rsidRPr="00B95C6B">
              <w:rPr>
                <w:sz w:val="28"/>
                <w:szCs w:val="28"/>
              </w:rPr>
              <w:t>Likump</w:t>
            </w:r>
            <w:r w:rsidR="000F2B97" w:rsidRPr="00B95C6B">
              <w:rPr>
                <w:sz w:val="28"/>
                <w:szCs w:val="28"/>
              </w:rPr>
              <w:t>rojekts šo jomu neskar</w:t>
            </w:r>
          </w:p>
        </w:tc>
      </w:tr>
    </w:tbl>
    <w:p w14:paraId="22E05DE8" w14:textId="77777777" w:rsidR="000F2B97" w:rsidRPr="00B95C6B" w:rsidRDefault="000F2B97" w:rsidP="000F2B97">
      <w:pPr>
        <w:pStyle w:val="Title"/>
        <w:spacing w:before="130" w:line="260" w:lineRule="exact"/>
        <w:jc w:val="both"/>
        <w:rPr>
          <w:szCs w:val="28"/>
        </w:rPr>
      </w:pPr>
    </w:p>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0F2B97" w:rsidRPr="00B95C6B" w14:paraId="7170FDCF"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F446E" w14:textId="77777777" w:rsidR="000F2B97" w:rsidRPr="00B95C6B" w:rsidRDefault="000F2B97" w:rsidP="00C239FD">
            <w:pPr>
              <w:ind w:right="-34"/>
              <w:jc w:val="center"/>
              <w:rPr>
                <w:b/>
                <w:sz w:val="28"/>
                <w:szCs w:val="28"/>
              </w:rPr>
            </w:pPr>
            <w:r w:rsidRPr="00B95C6B">
              <w:rPr>
                <w:b/>
                <w:bCs/>
                <w:sz w:val="28"/>
                <w:szCs w:val="28"/>
              </w:rPr>
              <w:t>IV. Tiesību akta projekta ietekme uz spēkā esošo tiesību normu sistēmu</w:t>
            </w:r>
          </w:p>
        </w:tc>
      </w:tr>
      <w:tr w:rsidR="000F2B97" w:rsidRPr="00B95C6B" w14:paraId="7D5533E6"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F24C4F2" w14:textId="67BF9086" w:rsidR="008807F8" w:rsidRPr="00B95C6B" w:rsidRDefault="008807F8" w:rsidP="008807F8">
            <w:pPr>
              <w:pStyle w:val="ListParagraph"/>
              <w:numPr>
                <w:ilvl w:val="0"/>
                <w:numId w:val="6"/>
              </w:numPr>
              <w:shd w:val="clear" w:color="auto" w:fill="FFFFFF"/>
              <w:ind w:left="-108" w:firstLine="468"/>
              <w:jc w:val="both"/>
              <w:rPr>
                <w:sz w:val="28"/>
                <w:szCs w:val="28"/>
              </w:rPr>
            </w:pPr>
            <w:r w:rsidRPr="00B95C6B">
              <w:rPr>
                <w:sz w:val="28"/>
                <w:szCs w:val="28"/>
              </w:rPr>
              <w:t>Ir sagatavots likumprojekts “Grozījumi Augstskolu likumā”, lai grozītu 85.pantu, kas ir savstarpēji saistīts ar likumprojektu.</w:t>
            </w:r>
          </w:p>
          <w:p w14:paraId="2D309607" w14:textId="36714176" w:rsidR="008807F8" w:rsidRPr="00B95C6B" w:rsidRDefault="008807F8" w:rsidP="008807F8">
            <w:pPr>
              <w:pStyle w:val="ListParagraph"/>
              <w:numPr>
                <w:ilvl w:val="0"/>
                <w:numId w:val="6"/>
              </w:numPr>
              <w:shd w:val="clear" w:color="auto" w:fill="FFFFFF"/>
              <w:ind w:left="0" w:firstLine="360"/>
              <w:jc w:val="both"/>
              <w:rPr>
                <w:sz w:val="28"/>
                <w:szCs w:val="28"/>
                <w:shd w:val="clear" w:color="auto" w:fill="FFFFFF"/>
              </w:rPr>
            </w:pPr>
            <w:r w:rsidRPr="00B95C6B">
              <w:rPr>
                <w:sz w:val="28"/>
                <w:szCs w:val="28"/>
              </w:rPr>
              <w:t>No likumprojekta “Grozījumi Augstskolu likumā” izriet uzdevums sagatavot  Ministru kabineta noteikumus par 1) kārtību, kādā augstskolās veicama ekspertīze un izsniedzama izziņa par izglītības dokumentiem un akadēmiskiem grādiem, kas izdoti pēdējos trīs gados Eiropas Savienības, Eiropas Ekonomikas zonas valstī un</w:t>
            </w:r>
            <w:r w:rsidRPr="00B95C6B">
              <w:rPr>
                <w:sz w:val="28"/>
                <w:szCs w:val="28"/>
                <w:shd w:val="clear" w:color="auto" w:fill="FFFFFF"/>
              </w:rPr>
              <w:t xml:space="preserve"> Šveices Konfederācijā un citās noteiktajās ārvalstīs; 2) </w:t>
            </w:r>
            <w:r w:rsidRPr="00B95C6B">
              <w:rPr>
                <w:sz w:val="28"/>
                <w:szCs w:val="28"/>
              </w:rPr>
              <w:t xml:space="preserve">prasības augstskolām, kurām varēs deleģēt tiesības veikt šo ekspertīzi un izsniegt izziņu; 3) citu ārvalstu </w:t>
            </w:r>
            <w:r w:rsidRPr="00B95C6B">
              <w:rPr>
                <w:sz w:val="28"/>
                <w:szCs w:val="28"/>
                <w:shd w:val="clear" w:color="auto" w:fill="FFFFFF"/>
              </w:rPr>
              <w:t xml:space="preserve">sarakstu, kurās </w:t>
            </w:r>
            <w:r w:rsidRPr="00B95C6B">
              <w:rPr>
                <w:sz w:val="28"/>
                <w:szCs w:val="28"/>
              </w:rPr>
              <w:t>izdoti pēdējos trīs gados izglītības dokumenti un akadēmiskie grādi varēs tikt atzīti noteiktajās augstskolās.</w:t>
            </w:r>
          </w:p>
          <w:p w14:paraId="3E481ED8" w14:textId="77777777" w:rsidR="00B95C6B" w:rsidRPr="00B95C6B" w:rsidRDefault="008807F8" w:rsidP="008807F8">
            <w:pPr>
              <w:pStyle w:val="ListParagraph"/>
              <w:numPr>
                <w:ilvl w:val="0"/>
                <w:numId w:val="6"/>
              </w:numPr>
              <w:shd w:val="clear" w:color="auto" w:fill="FFFFFF"/>
              <w:ind w:left="-108" w:firstLine="468"/>
              <w:jc w:val="both"/>
              <w:rPr>
                <w:sz w:val="28"/>
                <w:szCs w:val="28"/>
              </w:rPr>
            </w:pPr>
            <w:r w:rsidRPr="00B95C6B">
              <w:rPr>
                <w:sz w:val="28"/>
                <w:szCs w:val="28"/>
              </w:rPr>
              <w:t>Veikt grozījumus Ministru kabineta 25.06.2019. noteikumos Nr. 276 “Valsts izglītības informācijas sistēmas noteikumi”, nosakot augstskolai tādus pašus ka AIC  veicot ierakstu Ārvalstu izglītība dokumentu reģistrā.</w:t>
            </w:r>
          </w:p>
          <w:p w14:paraId="5D917194" w14:textId="77777777" w:rsidR="000F2B97" w:rsidRPr="00023134" w:rsidRDefault="008807F8" w:rsidP="00BC7979">
            <w:pPr>
              <w:pStyle w:val="ListParagraph"/>
              <w:numPr>
                <w:ilvl w:val="0"/>
                <w:numId w:val="6"/>
              </w:numPr>
              <w:shd w:val="clear" w:color="auto" w:fill="FFFFFF"/>
              <w:ind w:left="-108" w:firstLine="468"/>
              <w:jc w:val="both"/>
              <w:rPr>
                <w:sz w:val="28"/>
                <w:szCs w:val="28"/>
              </w:rPr>
            </w:pPr>
            <w:r w:rsidRPr="00B95C6B">
              <w:rPr>
                <w:sz w:val="28"/>
                <w:szCs w:val="28"/>
                <w:lang w:eastAsia="en-US"/>
              </w:rPr>
              <w:t xml:space="preserve">2006.gada 10.oktobra </w:t>
            </w:r>
            <w:r w:rsidR="00B95C6B" w:rsidRPr="00B95C6B">
              <w:rPr>
                <w:bCs/>
                <w:sz w:val="28"/>
                <w:szCs w:val="28"/>
                <w:lang w:eastAsia="en-US"/>
              </w:rPr>
              <w:t>Ministru kabineta noteikumos</w:t>
            </w:r>
            <w:r w:rsidRPr="00B95C6B">
              <w:rPr>
                <w:bCs/>
                <w:sz w:val="28"/>
                <w:szCs w:val="28"/>
                <w:lang w:eastAsia="en-US"/>
              </w:rPr>
              <w:t xml:space="preserve"> Nr.846</w:t>
            </w:r>
            <w:r w:rsidRPr="00B95C6B">
              <w:rPr>
                <w:sz w:val="28"/>
                <w:szCs w:val="28"/>
                <w:lang w:eastAsia="en-US"/>
              </w:rPr>
              <w:t xml:space="preserve"> “</w:t>
            </w:r>
            <w:r w:rsidRPr="00B95C6B">
              <w:rPr>
                <w:bCs/>
                <w:sz w:val="28"/>
                <w:szCs w:val="28"/>
                <w:lang w:eastAsia="en-US"/>
              </w:rPr>
              <w:t>Noteikumi par prasībām, kritērijiem un kārtību uzņemšanai studiju programmās”</w:t>
            </w:r>
            <w:r w:rsidR="00B95C6B" w:rsidRPr="00B95C6B">
              <w:rPr>
                <w:bCs/>
                <w:sz w:val="28"/>
                <w:szCs w:val="28"/>
                <w:lang w:eastAsia="en-US"/>
              </w:rPr>
              <w:t>, atrunājot regulējumu par augstskolu tiesībām izsniegt izziņu</w:t>
            </w:r>
            <w:r w:rsidRPr="00B95C6B">
              <w:rPr>
                <w:bCs/>
                <w:sz w:val="28"/>
                <w:szCs w:val="28"/>
                <w:lang w:eastAsia="en-US"/>
              </w:rPr>
              <w:t>.</w:t>
            </w:r>
            <w:r w:rsidR="00AE6FB5" w:rsidRPr="00B95C6B">
              <w:rPr>
                <w:sz w:val="28"/>
                <w:szCs w:val="28"/>
                <w:shd w:val="clear" w:color="auto" w:fill="FFFFFF"/>
              </w:rPr>
              <w:t xml:space="preserve"> </w:t>
            </w:r>
          </w:p>
          <w:p w14:paraId="40C2697A" w14:textId="6B249A29" w:rsidR="00023134" w:rsidRPr="00B95C6B" w:rsidRDefault="00023134" w:rsidP="00023134">
            <w:pPr>
              <w:pStyle w:val="ListParagraph"/>
              <w:numPr>
                <w:ilvl w:val="0"/>
                <w:numId w:val="6"/>
              </w:numPr>
              <w:shd w:val="clear" w:color="auto" w:fill="FFFFFF"/>
              <w:ind w:left="-108" w:firstLine="468"/>
              <w:jc w:val="both"/>
              <w:rPr>
                <w:sz w:val="28"/>
                <w:szCs w:val="28"/>
              </w:rPr>
            </w:pPr>
            <w:r>
              <w:rPr>
                <w:sz w:val="28"/>
                <w:szCs w:val="28"/>
              </w:rPr>
              <w:t xml:space="preserve">Veikt grozījumus vai izdot no jauna </w:t>
            </w:r>
            <w:r w:rsidRPr="00023134">
              <w:rPr>
                <w:sz w:val="28"/>
                <w:szCs w:val="28"/>
              </w:rPr>
              <w:t>Mi</w:t>
            </w:r>
            <w:r>
              <w:rPr>
                <w:sz w:val="28"/>
                <w:szCs w:val="28"/>
              </w:rPr>
              <w:t>nistru kabineta noteikumus Nr.778 “</w:t>
            </w:r>
            <w:r w:rsidRPr="00023134">
              <w:rPr>
                <w:sz w:val="28"/>
                <w:szCs w:val="28"/>
              </w:rPr>
              <w:t>Nodibinājuma "Akadēmiskās informācijas cent</w:t>
            </w:r>
            <w:r>
              <w:rPr>
                <w:sz w:val="28"/>
                <w:szCs w:val="28"/>
              </w:rPr>
              <w:t>rs" maksas pakalpojumu cenrādis”, ņemot vērā, ka ā</w:t>
            </w:r>
            <w:r w:rsidRPr="00023134">
              <w:rPr>
                <w:sz w:val="28"/>
                <w:szCs w:val="28"/>
              </w:rPr>
              <w:t>rvalstīs iegūtā akadēmiskā grāda vai</w:t>
            </w:r>
            <w:r>
              <w:rPr>
                <w:sz w:val="28"/>
                <w:szCs w:val="28"/>
              </w:rPr>
              <w:t xml:space="preserve"> izglītības dokumenta ekspertīzi veic augstskola.</w:t>
            </w:r>
            <w:bookmarkStart w:id="0" w:name="_GoBack"/>
            <w:bookmarkEnd w:id="0"/>
          </w:p>
        </w:tc>
      </w:tr>
      <w:tr w:rsidR="008807F8" w:rsidRPr="00B95C6B" w14:paraId="6418E41E"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EF33A85" w14:textId="77777777" w:rsidR="008807F8" w:rsidRPr="00B95C6B" w:rsidRDefault="008807F8" w:rsidP="00023134">
            <w:pPr>
              <w:pStyle w:val="ListParagraph"/>
              <w:shd w:val="clear" w:color="auto" w:fill="FFFFFF"/>
              <w:ind w:left="360"/>
              <w:jc w:val="both"/>
              <w:rPr>
                <w:sz w:val="28"/>
                <w:szCs w:val="28"/>
              </w:rPr>
            </w:pPr>
          </w:p>
        </w:tc>
      </w:tr>
    </w:tbl>
    <w:p w14:paraId="48B502CE" w14:textId="77777777" w:rsidR="000F2B97" w:rsidRPr="00B95C6B" w:rsidRDefault="000F2B97" w:rsidP="000F2B97">
      <w:pPr>
        <w:pStyle w:val="Title"/>
        <w:spacing w:before="130" w:line="260" w:lineRule="exact"/>
        <w:jc w:val="both"/>
        <w:rPr>
          <w:szCs w:val="28"/>
        </w:rPr>
      </w:pPr>
    </w:p>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0F2B97" w:rsidRPr="00B95C6B" w14:paraId="2BA1032A"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9633D" w14:textId="77777777" w:rsidR="000F2B97" w:rsidRPr="00B95C6B" w:rsidRDefault="000F2B97" w:rsidP="00C239FD">
            <w:pPr>
              <w:ind w:right="-34"/>
              <w:jc w:val="center"/>
              <w:rPr>
                <w:b/>
                <w:sz w:val="28"/>
                <w:szCs w:val="28"/>
              </w:rPr>
            </w:pPr>
            <w:r w:rsidRPr="00B95C6B">
              <w:rPr>
                <w:b/>
                <w:bCs/>
                <w:sz w:val="28"/>
                <w:szCs w:val="28"/>
              </w:rPr>
              <w:t>V. Tiesību akta projekta atbilstība Latvijas Republikas starptautiskajām saistībām</w:t>
            </w:r>
          </w:p>
        </w:tc>
      </w:tr>
      <w:tr w:rsidR="000F2B97" w:rsidRPr="00B95C6B" w14:paraId="21121736"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B031A3A" w14:textId="75818315" w:rsidR="000F2B97" w:rsidRPr="00B95C6B" w:rsidRDefault="00B95C6B" w:rsidP="00CF1C02">
            <w:pPr>
              <w:ind w:right="-34"/>
              <w:jc w:val="center"/>
              <w:rPr>
                <w:sz w:val="28"/>
                <w:szCs w:val="28"/>
              </w:rPr>
            </w:pPr>
            <w:r w:rsidRPr="00B95C6B">
              <w:rPr>
                <w:sz w:val="28"/>
                <w:szCs w:val="28"/>
              </w:rPr>
              <w:t>Likump</w:t>
            </w:r>
            <w:r w:rsidR="00CF1C02" w:rsidRPr="00B95C6B">
              <w:rPr>
                <w:sz w:val="28"/>
                <w:szCs w:val="28"/>
              </w:rPr>
              <w:t>rojekts šo jomu neskar</w:t>
            </w:r>
          </w:p>
        </w:tc>
      </w:tr>
    </w:tbl>
    <w:p w14:paraId="4E113AEC" w14:textId="77777777" w:rsidR="000F2B97" w:rsidRPr="00B95C6B" w:rsidRDefault="000F2B97" w:rsidP="000F2B97">
      <w:pPr>
        <w:pStyle w:val="Title"/>
        <w:spacing w:before="130" w:line="260" w:lineRule="exact"/>
        <w:jc w:val="both"/>
        <w:rPr>
          <w:szCs w:val="28"/>
        </w:rPr>
      </w:pPr>
    </w:p>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0F2B97" w:rsidRPr="00B95C6B" w14:paraId="6ECA2B52"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E5471" w14:textId="77777777" w:rsidR="000F2B97" w:rsidRPr="00B95C6B" w:rsidRDefault="000F2B97" w:rsidP="00C239FD">
            <w:pPr>
              <w:ind w:right="-34"/>
              <w:jc w:val="center"/>
              <w:rPr>
                <w:b/>
                <w:sz w:val="28"/>
                <w:szCs w:val="28"/>
              </w:rPr>
            </w:pPr>
            <w:r w:rsidRPr="00B95C6B">
              <w:rPr>
                <w:b/>
                <w:bCs/>
                <w:sz w:val="28"/>
                <w:szCs w:val="28"/>
              </w:rPr>
              <w:t>VI. Sabiedrības līdzdalība un komunikācijas aktivitātes</w:t>
            </w:r>
          </w:p>
        </w:tc>
      </w:tr>
      <w:tr w:rsidR="000F2B97" w:rsidRPr="00B95C6B" w14:paraId="569840F4" w14:textId="77777777" w:rsidTr="00C239F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451F107" w14:textId="6896E2A8" w:rsidR="000F2B97" w:rsidRPr="00B95C6B" w:rsidRDefault="00CF1C02" w:rsidP="00C239FD">
            <w:pPr>
              <w:ind w:right="-34"/>
              <w:jc w:val="both"/>
              <w:rPr>
                <w:sz w:val="28"/>
                <w:szCs w:val="28"/>
              </w:rPr>
            </w:pPr>
            <w:r w:rsidRPr="00B95C6B">
              <w:rPr>
                <w:sz w:val="28"/>
                <w:szCs w:val="28"/>
              </w:rPr>
              <w:t>Likumprojekts ir pieejams sabiedrības izskatīšanai un komunikācijai ministrijas mājas lapā.</w:t>
            </w:r>
          </w:p>
        </w:tc>
      </w:tr>
    </w:tbl>
    <w:p w14:paraId="2A00BF50" w14:textId="77777777" w:rsidR="000F2B97" w:rsidRPr="00B95C6B" w:rsidRDefault="000F2B97" w:rsidP="000F2B97">
      <w:pPr>
        <w:pStyle w:val="Title"/>
        <w:spacing w:before="130" w:line="260" w:lineRule="exact"/>
        <w:jc w:val="both"/>
        <w:rPr>
          <w:szCs w:val="28"/>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3258"/>
        <w:gridCol w:w="5388"/>
      </w:tblGrid>
      <w:tr w:rsidR="000F2B97" w:rsidRPr="00B95C6B" w14:paraId="09A0C073" w14:textId="77777777" w:rsidTr="00C239FD">
        <w:trPr>
          <w:cantSplit/>
          <w:trHeight w:val="669"/>
        </w:trPr>
        <w:tc>
          <w:tcPr>
            <w:tcW w:w="5000" w:type="pct"/>
            <w:gridSpan w:val="3"/>
            <w:vAlign w:val="center"/>
            <w:hideMark/>
          </w:tcPr>
          <w:p w14:paraId="79B81E66" w14:textId="77777777" w:rsidR="000F2B97" w:rsidRPr="00B95C6B" w:rsidRDefault="000F2B97" w:rsidP="00C239FD">
            <w:pPr>
              <w:jc w:val="center"/>
              <w:rPr>
                <w:b/>
                <w:bCs/>
                <w:sz w:val="28"/>
                <w:szCs w:val="28"/>
              </w:rPr>
            </w:pPr>
            <w:r w:rsidRPr="00B95C6B">
              <w:rPr>
                <w:b/>
                <w:bCs/>
                <w:sz w:val="28"/>
                <w:szCs w:val="28"/>
              </w:rPr>
              <w:lastRenderedPageBreak/>
              <w:t>VII. Tiesību akta projekta izpildes nodrošināšana un tās ietekme uz institūcijām</w:t>
            </w:r>
          </w:p>
          <w:p w14:paraId="2773340E" w14:textId="77777777" w:rsidR="000F2B97" w:rsidRPr="00B95C6B" w:rsidRDefault="000F2B97" w:rsidP="00C239FD">
            <w:pPr>
              <w:rPr>
                <w:sz w:val="28"/>
                <w:szCs w:val="28"/>
              </w:rPr>
            </w:pPr>
          </w:p>
        </w:tc>
      </w:tr>
      <w:tr w:rsidR="000F2B97" w:rsidRPr="00B95C6B" w14:paraId="7AC39E5B" w14:textId="77777777" w:rsidTr="00C239FD">
        <w:trPr>
          <w:cantSplit/>
        </w:trPr>
        <w:tc>
          <w:tcPr>
            <w:tcW w:w="306" w:type="pct"/>
            <w:hideMark/>
          </w:tcPr>
          <w:p w14:paraId="7703BA90" w14:textId="77777777" w:rsidR="000F2B97" w:rsidRPr="00B95C6B" w:rsidRDefault="000F2B97" w:rsidP="00C239FD">
            <w:pPr>
              <w:jc w:val="center"/>
              <w:rPr>
                <w:sz w:val="28"/>
                <w:szCs w:val="28"/>
              </w:rPr>
            </w:pPr>
            <w:r w:rsidRPr="00B95C6B">
              <w:rPr>
                <w:sz w:val="28"/>
                <w:szCs w:val="28"/>
              </w:rPr>
              <w:t>1.</w:t>
            </w:r>
          </w:p>
        </w:tc>
        <w:tc>
          <w:tcPr>
            <w:tcW w:w="1769" w:type="pct"/>
            <w:hideMark/>
          </w:tcPr>
          <w:p w14:paraId="65192EC1" w14:textId="77777777" w:rsidR="000F2B97" w:rsidRPr="00B95C6B" w:rsidRDefault="000F2B97" w:rsidP="00C239FD">
            <w:pPr>
              <w:rPr>
                <w:sz w:val="28"/>
                <w:szCs w:val="28"/>
              </w:rPr>
            </w:pPr>
            <w:r w:rsidRPr="00B95C6B">
              <w:rPr>
                <w:sz w:val="28"/>
                <w:szCs w:val="28"/>
              </w:rPr>
              <w:t>Projekta izpildē iesaistītās institūcijas</w:t>
            </w:r>
          </w:p>
        </w:tc>
        <w:tc>
          <w:tcPr>
            <w:tcW w:w="2925" w:type="pct"/>
            <w:hideMark/>
          </w:tcPr>
          <w:p w14:paraId="1223997A" w14:textId="60C49075" w:rsidR="000F2B97" w:rsidRPr="00B95C6B" w:rsidRDefault="00B95C6B" w:rsidP="00C239FD">
            <w:pPr>
              <w:pStyle w:val="ListParagraph"/>
              <w:tabs>
                <w:tab w:val="left" w:pos="220"/>
              </w:tabs>
              <w:ind w:left="0"/>
              <w:jc w:val="both"/>
              <w:rPr>
                <w:sz w:val="28"/>
                <w:szCs w:val="28"/>
              </w:rPr>
            </w:pPr>
            <w:r w:rsidRPr="00B95C6B">
              <w:rPr>
                <w:sz w:val="28"/>
                <w:szCs w:val="28"/>
              </w:rPr>
              <w:t>Augstskolas, AIC, ministrija.</w:t>
            </w:r>
          </w:p>
        </w:tc>
      </w:tr>
      <w:tr w:rsidR="000F2B97" w:rsidRPr="00B95C6B" w14:paraId="0D007023" w14:textId="77777777" w:rsidTr="00C239FD">
        <w:tc>
          <w:tcPr>
            <w:tcW w:w="306" w:type="pct"/>
            <w:hideMark/>
          </w:tcPr>
          <w:p w14:paraId="3D9EFC60" w14:textId="77777777" w:rsidR="000F2B97" w:rsidRPr="00B95C6B" w:rsidRDefault="000F2B97" w:rsidP="00C239FD">
            <w:pPr>
              <w:jc w:val="center"/>
              <w:rPr>
                <w:sz w:val="28"/>
                <w:szCs w:val="28"/>
              </w:rPr>
            </w:pPr>
            <w:r w:rsidRPr="00B95C6B">
              <w:rPr>
                <w:sz w:val="28"/>
                <w:szCs w:val="28"/>
              </w:rPr>
              <w:t>2.</w:t>
            </w:r>
          </w:p>
        </w:tc>
        <w:tc>
          <w:tcPr>
            <w:tcW w:w="1769" w:type="pct"/>
            <w:hideMark/>
          </w:tcPr>
          <w:p w14:paraId="1744B755" w14:textId="77777777" w:rsidR="000F2B97" w:rsidRPr="00B95C6B" w:rsidRDefault="000F2B97" w:rsidP="00C239FD">
            <w:pPr>
              <w:rPr>
                <w:sz w:val="28"/>
                <w:szCs w:val="28"/>
              </w:rPr>
            </w:pPr>
            <w:r w:rsidRPr="00B95C6B">
              <w:rPr>
                <w:sz w:val="28"/>
                <w:szCs w:val="28"/>
              </w:rPr>
              <w:t>Projekta izpildes ietekme uz pārvaldes funkcijām un institucionālo struktūru.</w:t>
            </w:r>
            <w:r w:rsidRPr="00B95C6B">
              <w:rPr>
                <w:sz w:val="28"/>
                <w:szCs w:val="28"/>
              </w:rPr>
              <w:br/>
              <w:t>Jaunu institūciju izveide, esošu institūciju likvidācija vai reorganizācija, to ietekme uz institūcijas cilvēkresursiem</w:t>
            </w:r>
          </w:p>
        </w:tc>
        <w:tc>
          <w:tcPr>
            <w:tcW w:w="2925" w:type="pct"/>
            <w:hideMark/>
          </w:tcPr>
          <w:p w14:paraId="423A0428" w14:textId="77777777" w:rsidR="000F2B97" w:rsidRPr="00B95C6B" w:rsidRDefault="000F2B97" w:rsidP="00C239FD">
            <w:pPr>
              <w:jc w:val="both"/>
              <w:rPr>
                <w:sz w:val="28"/>
                <w:szCs w:val="28"/>
              </w:rPr>
            </w:pPr>
            <w:r w:rsidRPr="00B95C6B">
              <w:rPr>
                <w:sz w:val="28"/>
                <w:szCs w:val="28"/>
              </w:rPr>
              <w:t xml:space="preserve">Likumprojekts neietekmēs pārvaldes funkcijas un institucionālo struktūru.  </w:t>
            </w:r>
          </w:p>
          <w:p w14:paraId="46BE48EC" w14:textId="77777777" w:rsidR="000F2B97" w:rsidRPr="00B95C6B" w:rsidRDefault="000F2B97" w:rsidP="00C239FD">
            <w:pPr>
              <w:jc w:val="both"/>
              <w:rPr>
                <w:sz w:val="28"/>
                <w:szCs w:val="28"/>
              </w:rPr>
            </w:pPr>
            <w:r w:rsidRPr="00B95C6B">
              <w:rPr>
                <w:sz w:val="28"/>
                <w:szCs w:val="28"/>
              </w:rPr>
              <w:t xml:space="preserve">Likumprojekta izpilde neprasa jaunu institūciju izveidi, esošu institūciju likvidāciju vai reorganizāciju, neietekmēs cilvēkresursus. </w:t>
            </w:r>
          </w:p>
        </w:tc>
      </w:tr>
      <w:tr w:rsidR="000F2B97" w:rsidRPr="00B95C6B" w14:paraId="20D06743" w14:textId="77777777" w:rsidTr="00C239FD">
        <w:trPr>
          <w:cantSplit/>
        </w:trPr>
        <w:tc>
          <w:tcPr>
            <w:tcW w:w="306" w:type="pct"/>
            <w:hideMark/>
          </w:tcPr>
          <w:p w14:paraId="64DA9F7E" w14:textId="77777777" w:rsidR="000F2B97" w:rsidRPr="00B95C6B" w:rsidRDefault="000F2B97" w:rsidP="00C239FD">
            <w:pPr>
              <w:jc w:val="center"/>
              <w:rPr>
                <w:sz w:val="28"/>
                <w:szCs w:val="28"/>
              </w:rPr>
            </w:pPr>
            <w:r w:rsidRPr="00B95C6B">
              <w:rPr>
                <w:sz w:val="28"/>
                <w:szCs w:val="28"/>
              </w:rPr>
              <w:t>3.</w:t>
            </w:r>
          </w:p>
        </w:tc>
        <w:tc>
          <w:tcPr>
            <w:tcW w:w="1769" w:type="pct"/>
            <w:hideMark/>
          </w:tcPr>
          <w:p w14:paraId="32258821" w14:textId="77777777" w:rsidR="000F2B97" w:rsidRPr="00B95C6B" w:rsidRDefault="000F2B97" w:rsidP="00C239FD">
            <w:pPr>
              <w:rPr>
                <w:sz w:val="28"/>
                <w:szCs w:val="28"/>
              </w:rPr>
            </w:pPr>
            <w:r w:rsidRPr="00B95C6B">
              <w:rPr>
                <w:sz w:val="28"/>
                <w:szCs w:val="28"/>
              </w:rPr>
              <w:t>Cita informācija</w:t>
            </w:r>
          </w:p>
        </w:tc>
        <w:tc>
          <w:tcPr>
            <w:tcW w:w="2925" w:type="pct"/>
            <w:hideMark/>
          </w:tcPr>
          <w:p w14:paraId="64E42E48" w14:textId="77777777" w:rsidR="000F2B97" w:rsidRPr="00B95C6B" w:rsidRDefault="000F2B97" w:rsidP="00C239FD">
            <w:pPr>
              <w:ind w:firstLine="108"/>
              <w:rPr>
                <w:sz w:val="28"/>
                <w:szCs w:val="28"/>
              </w:rPr>
            </w:pPr>
            <w:r w:rsidRPr="00B95C6B">
              <w:rPr>
                <w:sz w:val="28"/>
                <w:szCs w:val="28"/>
              </w:rPr>
              <w:t xml:space="preserve">Nav. </w:t>
            </w:r>
          </w:p>
        </w:tc>
      </w:tr>
    </w:tbl>
    <w:p w14:paraId="7616266A" w14:textId="77777777" w:rsidR="000F2B97" w:rsidRPr="00B95C6B" w:rsidRDefault="000F2B97" w:rsidP="000F2B97">
      <w:pPr>
        <w:tabs>
          <w:tab w:val="left" w:pos="6804"/>
        </w:tabs>
        <w:rPr>
          <w:sz w:val="28"/>
          <w:szCs w:val="28"/>
          <w:lang w:eastAsia="ru-RU"/>
        </w:rPr>
      </w:pPr>
    </w:p>
    <w:p w14:paraId="4ACCAFBC" w14:textId="77777777" w:rsidR="000F2B97" w:rsidRPr="00B95C6B" w:rsidRDefault="000F2B97" w:rsidP="000F2B97">
      <w:pPr>
        <w:tabs>
          <w:tab w:val="left" w:pos="6946"/>
        </w:tabs>
        <w:rPr>
          <w:sz w:val="28"/>
          <w:szCs w:val="28"/>
          <w:lang w:eastAsia="ru-RU"/>
        </w:rPr>
      </w:pPr>
      <w:r w:rsidRPr="00B95C6B">
        <w:rPr>
          <w:sz w:val="28"/>
          <w:szCs w:val="28"/>
          <w:lang w:eastAsia="ru-RU"/>
        </w:rPr>
        <w:t>Izglītības un zinātnes ministre                                                    I. Šuplinska</w:t>
      </w:r>
    </w:p>
    <w:p w14:paraId="297EA99F" w14:textId="77777777" w:rsidR="000F2B97" w:rsidRPr="00B95C6B" w:rsidRDefault="000F2B97" w:rsidP="000F2B97">
      <w:pPr>
        <w:rPr>
          <w:sz w:val="28"/>
          <w:szCs w:val="28"/>
          <w:lang w:eastAsia="ru-RU"/>
        </w:rPr>
      </w:pPr>
    </w:p>
    <w:p w14:paraId="7B3E08EF" w14:textId="77777777" w:rsidR="000F2B97" w:rsidRPr="00B95C6B" w:rsidRDefault="000F2B97" w:rsidP="000F2B97">
      <w:pPr>
        <w:rPr>
          <w:sz w:val="28"/>
          <w:szCs w:val="28"/>
          <w:lang w:eastAsia="ru-RU"/>
        </w:rPr>
      </w:pPr>
      <w:r w:rsidRPr="00B95C6B">
        <w:rPr>
          <w:sz w:val="28"/>
          <w:szCs w:val="28"/>
          <w:lang w:eastAsia="ru-RU"/>
        </w:rPr>
        <w:t xml:space="preserve">Vīza: </w:t>
      </w:r>
    </w:p>
    <w:p w14:paraId="15E9A04E" w14:textId="77777777" w:rsidR="000F2B97" w:rsidRPr="00B95C6B" w:rsidRDefault="000F2B97" w:rsidP="000F2B97">
      <w:pPr>
        <w:tabs>
          <w:tab w:val="left" w:pos="7371"/>
        </w:tabs>
        <w:rPr>
          <w:sz w:val="28"/>
          <w:szCs w:val="28"/>
          <w:lang w:eastAsia="ru-RU"/>
        </w:rPr>
      </w:pPr>
      <w:r w:rsidRPr="00B95C6B">
        <w:rPr>
          <w:sz w:val="28"/>
          <w:szCs w:val="28"/>
          <w:lang w:eastAsia="ru-RU"/>
        </w:rPr>
        <w:t>Valsts sekretāre                                                                           L. Lejiņa</w:t>
      </w:r>
    </w:p>
    <w:p w14:paraId="3EB77DF8" w14:textId="77777777" w:rsidR="000F2B97" w:rsidRPr="00B95C6B" w:rsidRDefault="000F2B97" w:rsidP="000F2B97">
      <w:pPr>
        <w:suppressAutoHyphens/>
        <w:rPr>
          <w:sz w:val="28"/>
          <w:szCs w:val="28"/>
          <w:lang w:eastAsia="ru-RU"/>
        </w:rPr>
      </w:pPr>
    </w:p>
    <w:p w14:paraId="20685E53" w14:textId="77777777" w:rsidR="000F2B97" w:rsidRPr="00B95C6B" w:rsidRDefault="000F2B97" w:rsidP="000F2B97">
      <w:pPr>
        <w:suppressAutoHyphens/>
        <w:rPr>
          <w:sz w:val="28"/>
          <w:szCs w:val="28"/>
          <w:lang w:eastAsia="ru-RU"/>
        </w:rPr>
      </w:pPr>
    </w:p>
    <w:p w14:paraId="51ECDED9" w14:textId="36A8F952" w:rsidR="008B4F0F" w:rsidRPr="00B95C6B" w:rsidRDefault="008B4F0F" w:rsidP="000F2B97">
      <w:pPr>
        <w:rPr>
          <w:sz w:val="28"/>
          <w:szCs w:val="28"/>
        </w:rPr>
      </w:pPr>
    </w:p>
    <w:p w14:paraId="6FE6D5A2" w14:textId="77777777" w:rsidR="00B95C6B" w:rsidRPr="00B95C6B" w:rsidRDefault="00B95C6B" w:rsidP="000F2B97">
      <w:pPr>
        <w:rPr>
          <w:sz w:val="28"/>
          <w:szCs w:val="28"/>
        </w:rPr>
      </w:pPr>
    </w:p>
    <w:p w14:paraId="059E8EBB" w14:textId="70F5E6B1" w:rsidR="00B95C6B" w:rsidRPr="00B95C6B" w:rsidRDefault="00B95C6B" w:rsidP="000F2B97">
      <w:pPr>
        <w:rPr>
          <w:sz w:val="20"/>
          <w:szCs w:val="20"/>
        </w:rPr>
      </w:pPr>
      <w:r w:rsidRPr="00B95C6B">
        <w:rPr>
          <w:sz w:val="20"/>
          <w:szCs w:val="20"/>
        </w:rPr>
        <w:t>Depkovska, 67047772</w:t>
      </w:r>
    </w:p>
    <w:p w14:paraId="2ED65E8C" w14:textId="30D824F8" w:rsidR="00B95C6B" w:rsidRPr="00B95C6B" w:rsidRDefault="00B46765" w:rsidP="000F2B97">
      <w:pPr>
        <w:rPr>
          <w:sz w:val="20"/>
          <w:szCs w:val="20"/>
        </w:rPr>
      </w:pPr>
      <w:hyperlink r:id="rId8" w:history="1">
        <w:r w:rsidR="00B95C6B" w:rsidRPr="00B95C6B">
          <w:rPr>
            <w:rStyle w:val="Hyperlink"/>
            <w:sz w:val="20"/>
            <w:szCs w:val="20"/>
          </w:rPr>
          <w:t>anita.depovska@izm.gov.lv</w:t>
        </w:r>
      </w:hyperlink>
      <w:r w:rsidR="00B95C6B" w:rsidRPr="00B95C6B">
        <w:rPr>
          <w:sz w:val="20"/>
          <w:szCs w:val="20"/>
        </w:rPr>
        <w:t xml:space="preserve"> </w:t>
      </w:r>
    </w:p>
    <w:sectPr w:rsidR="00B95C6B" w:rsidRPr="00B95C6B" w:rsidSect="00B95C6B">
      <w:headerReference w:type="default" r:id="rId9"/>
      <w:footerReference w:type="defaul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D269" w14:textId="77777777" w:rsidR="00B46765" w:rsidRDefault="00B46765" w:rsidP="009168B5">
      <w:r>
        <w:separator/>
      </w:r>
    </w:p>
  </w:endnote>
  <w:endnote w:type="continuationSeparator" w:id="0">
    <w:p w14:paraId="2B4A37E4" w14:textId="77777777" w:rsidR="00B46765" w:rsidRDefault="00B46765" w:rsidP="0091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B7D6" w14:textId="73357264" w:rsidR="009168B5" w:rsidRDefault="00CE0695" w:rsidP="009168B5">
    <w:pPr>
      <w:pStyle w:val="Footer"/>
      <w:rPr>
        <w:bCs/>
        <w:sz w:val="20"/>
        <w:szCs w:val="20"/>
      </w:rPr>
    </w:pPr>
    <w:r>
      <w:rPr>
        <w:bCs/>
        <w:sz w:val="20"/>
        <w:szCs w:val="20"/>
      </w:rPr>
      <w:t>IZManot_210820_diplomatzīšana</w:t>
    </w:r>
  </w:p>
  <w:p w14:paraId="4C9F71F8" w14:textId="77777777" w:rsidR="009168B5" w:rsidRDefault="009168B5">
    <w:pPr>
      <w:pStyle w:val="Footer"/>
    </w:pPr>
  </w:p>
  <w:p w14:paraId="1BE42025" w14:textId="77777777" w:rsidR="009168B5" w:rsidRDefault="0091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1D51" w14:textId="77777777" w:rsidR="00B46765" w:rsidRDefault="00B46765" w:rsidP="009168B5">
      <w:r>
        <w:separator/>
      </w:r>
    </w:p>
  </w:footnote>
  <w:footnote w:type="continuationSeparator" w:id="0">
    <w:p w14:paraId="0E69F5CF" w14:textId="77777777" w:rsidR="00B46765" w:rsidRDefault="00B46765" w:rsidP="009168B5">
      <w:r>
        <w:continuationSeparator/>
      </w:r>
    </w:p>
  </w:footnote>
  <w:footnote w:id="1">
    <w:p w14:paraId="7F5BA312" w14:textId="0EA31247" w:rsidR="00CE0695" w:rsidRPr="00CE0695" w:rsidRDefault="00CE0695" w:rsidP="00CE0695">
      <w:pPr>
        <w:pStyle w:val="FootnoteText"/>
        <w:jc w:val="both"/>
      </w:pPr>
      <w:r w:rsidRPr="00CE0695">
        <w:rPr>
          <w:rStyle w:val="FootnoteReference"/>
        </w:rPr>
        <w:footnoteRef/>
      </w:r>
      <w:r w:rsidRPr="00CE0695">
        <w:t xml:space="preserve"> </w:t>
      </w:r>
      <w:hyperlink r:id="rId1" w:history="1">
        <w:r w:rsidRPr="00CE0695">
          <w:rPr>
            <w:color w:val="0000FF"/>
            <w:u w:val="single"/>
          </w:rPr>
          <w:t>https://m.likumi.lv/ta/id/306691-par-valdibas-ricibas-planu-deklaracijas-par-artura-krisjana-karina-vadita-ministru-kabineta-iecereto-darbibu-istenosanai</w:t>
        </w:r>
      </w:hyperlink>
    </w:p>
  </w:footnote>
  <w:footnote w:id="2">
    <w:p w14:paraId="782C1A4C" w14:textId="7B460056" w:rsidR="002E34FC" w:rsidRDefault="002E34FC">
      <w:pPr>
        <w:pStyle w:val="FootnoteText"/>
      </w:pPr>
      <w:r>
        <w:rPr>
          <w:rStyle w:val="FootnoteReference"/>
        </w:rPr>
        <w:footnoteRef/>
      </w:r>
      <w:r>
        <w:t xml:space="preserve"> Ministru kabineta 25.06.2019. noteikumi Nr. </w:t>
      </w:r>
      <w:r w:rsidRPr="002E34FC">
        <w:t>276 “V</w:t>
      </w:r>
      <w:hyperlink r:id="rId2" w:tgtFrame="_blank" w:history="1">
        <w:r w:rsidRPr="002E34FC">
          <w:rPr>
            <w:rFonts w:ascii="Arial" w:hAnsi="Arial" w:cs="Arial"/>
            <w:color w:val="414142"/>
            <w:sz w:val="18"/>
            <w:szCs w:val="18"/>
            <w:shd w:val="clear" w:color="auto" w:fill="F1F1F1"/>
          </w:rPr>
          <w:t>alsts izglītības informācijas sistēmas noteikumi</w:t>
        </w:r>
      </w:hyperlink>
      <w:r w:rsidRPr="002E34FC">
        <w:rPr>
          <w:sz w:val="24"/>
          <w:szCs w:val="24"/>
        </w:rPr>
        <w:t>”</w:t>
      </w:r>
      <w:r>
        <w:rPr>
          <w:sz w:val="24"/>
          <w:szCs w:val="24"/>
        </w:rPr>
        <w:t xml:space="preserve"> </w:t>
      </w:r>
      <w:r w:rsidRPr="002E34FC">
        <w:rPr>
          <w:rFonts w:ascii="Arial" w:hAnsi="Arial" w:cs="Arial"/>
          <w:color w:val="414142"/>
          <w:sz w:val="27"/>
          <w:szCs w:val="27"/>
        </w:rPr>
        <w:br/>
      </w:r>
    </w:p>
  </w:footnote>
  <w:footnote w:id="3">
    <w:p w14:paraId="48163B1D" w14:textId="0BE0DB0C" w:rsidR="000E014D" w:rsidRDefault="000E014D" w:rsidP="000E014D">
      <w:pPr>
        <w:pStyle w:val="FootnoteText"/>
        <w:jc w:val="both"/>
      </w:pPr>
      <w:r>
        <w:rPr>
          <w:rStyle w:val="FootnoteReference"/>
        </w:rPr>
        <w:footnoteRef/>
      </w:r>
      <w:r>
        <w:t xml:space="preserve"> Likumprojektu plāno izskatīt un virzīt vienkopus ar likumprojektu “grozījumi Augstskolu likumā”, jo diplomatzīšanas jautājums ir skatāms minēto likumu ietvaros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33519"/>
      <w:docPartObj>
        <w:docPartGallery w:val="Page Numbers (Top of Page)"/>
        <w:docPartUnique/>
      </w:docPartObj>
    </w:sdtPr>
    <w:sdtEndPr>
      <w:rPr>
        <w:noProof/>
      </w:rPr>
    </w:sdtEndPr>
    <w:sdtContent>
      <w:p w14:paraId="74778F2B" w14:textId="39443D8B" w:rsidR="00B95C6B" w:rsidRDefault="00B95C6B">
        <w:pPr>
          <w:pStyle w:val="Header"/>
          <w:jc w:val="center"/>
        </w:pPr>
        <w:r>
          <w:fldChar w:fldCharType="begin"/>
        </w:r>
        <w:r>
          <w:instrText xml:space="preserve"> PAGE   \* MERGEFORMAT </w:instrText>
        </w:r>
        <w:r>
          <w:fldChar w:fldCharType="separate"/>
        </w:r>
        <w:r w:rsidR="00023134">
          <w:rPr>
            <w:noProof/>
          </w:rPr>
          <w:t>7</w:t>
        </w:r>
        <w:r>
          <w:rPr>
            <w:noProof/>
          </w:rPr>
          <w:fldChar w:fldCharType="end"/>
        </w:r>
      </w:p>
    </w:sdtContent>
  </w:sdt>
  <w:p w14:paraId="7C9F9528" w14:textId="77777777" w:rsidR="00B95C6B" w:rsidRDefault="00B95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B68C8"/>
    <w:multiLevelType w:val="hybridMultilevel"/>
    <w:tmpl w:val="9A32F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AF3802"/>
    <w:multiLevelType w:val="hybridMultilevel"/>
    <w:tmpl w:val="D5801928"/>
    <w:lvl w:ilvl="0" w:tplc="E4124A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D46416B"/>
    <w:multiLevelType w:val="hybridMultilevel"/>
    <w:tmpl w:val="7B3086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47038A"/>
    <w:multiLevelType w:val="hybridMultilevel"/>
    <w:tmpl w:val="D23603DA"/>
    <w:lvl w:ilvl="0" w:tplc="D5FCA1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426B9"/>
    <w:multiLevelType w:val="hybridMultilevel"/>
    <w:tmpl w:val="8FA05E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4017BC"/>
    <w:multiLevelType w:val="hybridMultilevel"/>
    <w:tmpl w:val="14C4E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97"/>
    <w:rsid w:val="00015D02"/>
    <w:rsid w:val="00023134"/>
    <w:rsid w:val="00043CBD"/>
    <w:rsid w:val="00051E1D"/>
    <w:rsid w:val="000A2883"/>
    <w:rsid w:val="000D6245"/>
    <w:rsid w:val="000E014D"/>
    <w:rsid w:val="000E352A"/>
    <w:rsid w:val="000F2B97"/>
    <w:rsid w:val="00121124"/>
    <w:rsid w:val="00156AD6"/>
    <w:rsid w:val="002D112A"/>
    <w:rsid w:val="002E34FC"/>
    <w:rsid w:val="00320934"/>
    <w:rsid w:val="00382168"/>
    <w:rsid w:val="0039745F"/>
    <w:rsid w:val="004536B0"/>
    <w:rsid w:val="004C4D98"/>
    <w:rsid w:val="004D6048"/>
    <w:rsid w:val="004E1AB7"/>
    <w:rsid w:val="0054282E"/>
    <w:rsid w:val="006C69E5"/>
    <w:rsid w:val="00754996"/>
    <w:rsid w:val="00757532"/>
    <w:rsid w:val="008523BB"/>
    <w:rsid w:val="008807F8"/>
    <w:rsid w:val="008876AA"/>
    <w:rsid w:val="008A5A7D"/>
    <w:rsid w:val="008B4F0F"/>
    <w:rsid w:val="008D19E3"/>
    <w:rsid w:val="008E32CF"/>
    <w:rsid w:val="00915F83"/>
    <w:rsid w:val="009168B5"/>
    <w:rsid w:val="00AB0A71"/>
    <w:rsid w:val="00AE6FB5"/>
    <w:rsid w:val="00B14D7E"/>
    <w:rsid w:val="00B16758"/>
    <w:rsid w:val="00B37CE1"/>
    <w:rsid w:val="00B46765"/>
    <w:rsid w:val="00B95C6B"/>
    <w:rsid w:val="00BC7979"/>
    <w:rsid w:val="00BE75D1"/>
    <w:rsid w:val="00C6069B"/>
    <w:rsid w:val="00C7675D"/>
    <w:rsid w:val="00CE0695"/>
    <w:rsid w:val="00CF1C02"/>
    <w:rsid w:val="00D50D3C"/>
    <w:rsid w:val="00D544D5"/>
    <w:rsid w:val="00DD3C9C"/>
    <w:rsid w:val="00ED50A9"/>
    <w:rsid w:val="00F02C3E"/>
    <w:rsid w:val="00FE14C9"/>
    <w:rsid w:val="00FE2C76"/>
    <w:rsid w:val="00FE7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A5E2"/>
  <w15:chartTrackingRefBased/>
  <w15:docId w15:val="{15E52AAB-6505-4B22-8B87-3F3B26AA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9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2B97"/>
    <w:pPr>
      <w:jc w:val="center"/>
    </w:pPr>
    <w:rPr>
      <w:sz w:val="28"/>
      <w:szCs w:val="20"/>
      <w:lang w:eastAsia="en-US"/>
    </w:rPr>
  </w:style>
  <w:style w:type="character" w:customStyle="1" w:styleId="TitleChar">
    <w:name w:val="Title Char"/>
    <w:basedOn w:val="DefaultParagraphFont"/>
    <w:link w:val="Title"/>
    <w:rsid w:val="000F2B97"/>
    <w:rPr>
      <w:rFonts w:ascii="Times New Roman" w:eastAsia="Times New Roman" w:hAnsi="Times New Roman" w:cs="Times New Roman"/>
      <w:sz w:val="28"/>
      <w:szCs w:val="20"/>
    </w:rPr>
  </w:style>
  <w:style w:type="character" w:styleId="Hyperlink">
    <w:name w:val="Hyperlink"/>
    <w:basedOn w:val="DefaultParagraphFont"/>
    <w:uiPriority w:val="99"/>
    <w:unhideWhenUsed/>
    <w:rsid w:val="000F2B97"/>
    <w:rPr>
      <w:color w:val="0000FF"/>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0F2B97"/>
    <w:pPr>
      <w:ind w:left="720"/>
      <w:contextualSpacing/>
    </w:pPr>
  </w:style>
  <w:style w:type="paragraph" w:customStyle="1" w:styleId="naiskr">
    <w:name w:val="naiskr"/>
    <w:basedOn w:val="Normal"/>
    <w:rsid w:val="000F2B97"/>
    <w:pPr>
      <w:spacing w:before="75" w:after="75"/>
    </w:pPr>
  </w:style>
  <w:style w:type="character" w:styleId="Strong">
    <w:name w:val="Strong"/>
    <w:basedOn w:val="DefaultParagraphFont"/>
    <w:uiPriority w:val="22"/>
    <w:qFormat/>
    <w:rsid w:val="000F2B97"/>
    <w:rPr>
      <w:b/>
      <w:bCs/>
    </w:rPr>
  </w:style>
  <w:style w:type="table" w:styleId="TableGridLight">
    <w:name w:val="Grid Table Light"/>
    <w:basedOn w:val="TableNormal"/>
    <w:uiPriority w:val="40"/>
    <w:rsid w:val="000F2B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locked/>
    <w:rsid w:val="000F2B97"/>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168B5"/>
    <w:pPr>
      <w:tabs>
        <w:tab w:val="center" w:pos="4153"/>
        <w:tab w:val="right" w:pos="8306"/>
      </w:tabs>
    </w:pPr>
  </w:style>
  <w:style w:type="character" w:customStyle="1" w:styleId="HeaderChar">
    <w:name w:val="Header Char"/>
    <w:basedOn w:val="DefaultParagraphFont"/>
    <w:link w:val="Header"/>
    <w:uiPriority w:val="99"/>
    <w:rsid w:val="009168B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8B5"/>
    <w:pPr>
      <w:tabs>
        <w:tab w:val="center" w:pos="4153"/>
        <w:tab w:val="right" w:pos="8306"/>
      </w:tabs>
    </w:pPr>
  </w:style>
  <w:style w:type="character" w:customStyle="1" w:styleId="FooterChar">
    <w:name w:val="Footer Char"/>
    <w:basedOn w:val="DefaultParagraphFont"/>
    <w:link w:val="Footer"/>
    <w:uiPriority w:val="99"/>
    <w:rsid w:val="009168B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E7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D1"/>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BE75D1"/>
    <w:rPr>
      <w:sz w:val="16"/>
      <w:szCs w:val="16"/>
    </w:rPr>
  </w:style>
  <w:style w:type="paragraph" w:styleId="CommentText">
    <w:name w:val="annotation text"/>
    <w:basedOn w:val="Normal"/>
    <w:link w:val="CommentTextChar"/>
    <w:uiPriority w:val="99"/>
    <w:unhideWhenUsed/>
    <w:rsid w:val="00BE75D1"/>
    <w:rPr>
      <w:sz w:val="20"/>
      <w:szCs w:val="20"/>
    </w:rPr>
  </w:style>
  <w:style w:type="character" w:customStyle="1" w:styleId="CommentTextChar">
    <w:name w:val="Comment Text Char"/>
    <w:basedOn w:val="DefaultParagraphFont"/>
    <w:link w:val="CommentText"/>
    <w:uiPriority w:val="99"/>
    <w:rsid w:val="00BE75D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E75D1"/>
    <w:rPr>
      <w:b/>
      <w:bCs/>
    </w:rPr>
  </w:style>
  <w:style w:type="character" w:customStyle="1" w:styleId="CommentSubjectChar">
    <w:name w:val="Comment Subject Char"/>
    <w:basedOn w:val="CommentTextChar"/>
    <w:link w:val="CommentSubject"/>
    <w:uiPriority w:val="99"/>
    <w:semiHidden/>
    <w:rsid w:val="00BE75D1"/>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CE0695"/>
    <w:rPr>
      <w:sz w:val="20"/>
      <w:szCs w:val="20"/>
    </w:rPr>
  </w:style>
  <w:style w:type="character" w:customStyle="1" w:styleId="FootnoteTextChar">
    <w:name w:val="Footnote Text Char"/>
    <w:basedOn w:val="DefaultParagraphFont"/>
    <w:link w:val="FootnoteText"/>
    <w:uiPriority w:val="99"/>
    <w:semiHidden/>
    <w:rsid w:val="00CE069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CE0695"/>
    <w:rPr>
      <w:vertAlign w:val="superscript"/>
    </w:rPr>
  </w:style>
  <w:style w:type="paragraph" w:customStyle="1" w:styleId="tv213">
    <w:name w:val="tv213"/>
    <w:basedOn w:val="Normal"/>
    <w:rsid w:val="002E34FC"/>
    <w:pPr>
      <w:spacing w:before="100" w:beforeAutospacing="1" w:after="100" w:afterAutospacing="1"/>
    </w:pPr>
  </w:style>
  <w:style w:type="paragraph" w:styleId="EndnoteText">
    <w:name w:val="endnote text"/>
    <w:basedOn w:val="Normal"/>
    <w:link w:val="EndnoteTextChar"/>
    <w:uiPriority w:val="99"/>
    <w:semiHidden/>
    <w:unhideWhenUsed/>
    <w:rsid w:val="008807F8"/>
    <w:rPr>
      <w:sz w:val="20"/>
      <w:szCs w:val="20"/>
    </w:rPr>
  </w:style>
  <w:style w:type="character" w:customStyle="1" w:styleId="EndnoteTextChar">
    <w:name w:val="Endnote Text Char"/>
    <w:basedOn w:val="DefaultParagraphFont"/>
    <w:link w:val="EndnoteText"/>
    <w:uiPriority w:val="99"/>
    <w:semiHidden/>
    <w:rsid w:val="008807F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88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035">
      <w:bodyDiv w:val="1"/>
      <w:marLeft w:val="0"/>
      <w:marRight w:val="0"/>
      <w:marTop w:val="0"/>
      <w:marBottom w:val="0"/>
      <w:divBdr>
        <w:top w:val="none" w:sz="0" w:space="0" w:color="auto"/>
        <w:left w:val="none" w:sz="0" w:space="0" w:color="auto"/>
        <w:bottom w:val="none" w:sz="0" w:space="0" w:color="auto"/>
        <w:right w:val="none" w:sz="0" w:space="0" w:color="auto"/>
      </w:divBdr>
      <w:divsChild>
        <w:div w:id="1535655756">
          <w:marLeft w:val="0"/>
          <w:marRight w:val="0"/>
          <w:marTop w:val="0"/>
          <w:marBottom w:val="0"/>
          <w:divBdr>
            <w:top w:val="none" w:sz="0" w:space="0" w:color="auto"/>
            <w:left w:val="none" w:sz="0" w:space="0" w:color="auto"/>
            <w:bottom w:val="none" w:sz="0" w:space="0" w:color="auto"/>
            <w:right w:val="none" w:sz="0" w:space="0" w:color="auto"/>
          </w:divBdr>
        </w:div>
        <w:div w:id="1636985667">
          <w:marLeft w:val="0"/>
          <w:marRight w:val="0"/>
          <w:marTop w:val="0"/>
          <w:marBottom w:val="0"/>
          <w:divBdr>
            <w:top w:val="none" w:sz="0" w:space="0" w:color="auto"/>
            <w:left w:val="none" w:sz="0" w:space="0" w:color="auto"/>
            <w:bottom w:val="none" w:sz="0" w:space="0" w:color="auto"/>
            <w:right w:val="none" w:sz="0" w:space="0" w:color="auto"/>
          </w:divBdr>
        </w:div>
      </w:divsChild>
    </w:div>
    <w:div w:id="815685315">
      <w:bodyDiv w:val="1"/>
      <w:marLeft w:val="0"/>
      <w:marRight w:val="0"/>
      <w:marTop w:val="0"/>
      <w:marBottom w:val="0"/>
      <w:divBdr>
        <w:top w:val="none" w:sz="0" w:space="0" w:color="auto"/>
        <w:left w:val="none" w:sz="0" w:space="0" w:color="auto"/>
        <w:bottom w:val="none" w:sz="0" w:space="0" w:color="auto"/>
        <w:right w:val="none" w:sz="0" w:space="0" w:color="auto"/>
      </w:divBdr>
    </w:div>
    <w:div w:id="21132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depovska@iz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7796-valsts-izglitibas-informacijas-sistemas-noteikumi" TargetMode="External"/><Relationship Id="rId1" Type="http://schemas.openxmlformats.org/officeDocument/2006/relationships/hyperlink" Target="https://m.likumi.lv/ta/id/306691-par-valdibas-ricibas-planu-deklaracijas-par-artura-krisjana-karina-vadita-ministru-kabineta-iecereto-darbibu-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7683-6A30-4397-B794-81806CD1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7911</Words>
  <Characters>4510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Ivsiņa</dc:creator>
  <cp:keywords/>
  <dc:description/>
  <cp:lastModifiedBy>Daiga Ivsiņa</cp:lastModifiedBy>
  <cp:revision>2</cp:revision>
  <dcterms:created xsi:type="dcterms:W3CDTF">2020-08-24T08:10:00Z</dcterms:created>
  <dcterms:modified xsi:type="dcterms:W3CDTF">2020-08-24T08:10:00Z</dcterms:modified>
</cp:coreProperties>
</file>