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215" w:rsidRPr="007B56E8" w:rsidRDefault="00874215" w:rsidP="00874215">
      <w:pPr>
        <w:spacing w:before="75" w:after="75"/>
        <w:jc w:val="center"/>
        <w:outlineLvl w:val="0"/>
        <w:rPr>
          <w:rFonts w:eastAsia="Times New Roman" w:cs="Times New Roman"/>
          <w:b/>
          <w:sz w:val="28"/>
          <w:szCs w:val="28"/>
          <w:lang w:eastAsia="lv-LV"/>
        </w:rPr>
      </w:pPr>
      <w:bookmarkStart w:id="0" w:name="_GoBack"/>
      <w:bookmarkEnd w:id="0"/>
      <w:r w:rsidRPr="007B56E8">
        <w:rPr>
          <w:rFonts w:eastAsia="Times New Roman" w:cs="Times New Roman"/>
          <w:b/>
          <w:sz w:val="28"/>
          <w:szCs w:val="28"/>
          <w:lang w:eastAsia="lv-LV"/>
        </w:rPr>
        <w:t xml:space="preserve">Ministru kabineta noteikumu projekta </w:t>
      </w:r>
      <w:r w:rsidR="00A83C5B" w:rsidRPr="007B56E8">
        <w:rPr>
          <w:rFonts w:eastAsia="Times New Roman" w:cs="Times New Roman"/>
          <w:b/>
          <w:sz w:val="28"/>
          <w:szCs w:val="28"/>
          <w:lang w:eastAsia="lv-LV"/>
        </w:rPr>
        <w:t>“Grozījumi Ministru kabineta 2010.</w:t>
      </w:r>
      <w:r w:rsidR="00627667">
        <w:rPr>
          <w:rFonts w:eastAsia="Times New Roman" w:cs="Times New Roman"/>
          <w:b/>
          <w:sz w:val="28"/>
          <w:szCs w:val="28"/>
          <w:lang w:eastAsia="lv-LV"/>
        </w:rPr>
        <w:t> </w:t>
      </w:r>
      <w:r w:rsidR="00A83C5B" w:rsidRPr="007B56E8">
        <w:rPr>
          <w:rFonts w:eastAsia="Times New Roman" w:cs="Times New Roman"/>
          <w:b/>
          <w:sz w:val="28"/>
          <w:szCs w:val="28"/>
          <w:lang w:eastAsia="lv-LV"/>
        </w:rPr>
        <w:t>gada 6.</w:t>
      </w:r>
      <w:r w:rsidR="00627667">
        <w:rPr>
          <w:rFonts w:eastAsia="Times New Roman" w:cs="Times New Roman"/>
          <w:b/>
          <w:sz w:val="28"/>
          <w:szCs w:val="28"/>
          <w:lang w:eastAsia="lv-LV"/>
        </w:rPr>
        <w:t> </w:t>
      </w:r>
      <w:r w:rsidR="00A83C5B" w:rsidRPr="007B56E8">
        <w:rPr>
          <w:rFonts w:eastAsia="Times New Roman" w:cs="Times New Roman"/>
          <w:b/>
          <w:sz w:val="28"/>
          <w:szCs w:val="28"/>
          <w:lang w:eastAsia="lv-LV"/>
        </w:rPr>
        <w:t>aprīļa noteikumos Nr.</w:t>
      </w:r>
      <w:r w:rsidR="00C45F57">
        <w:rPr>
          <w:rFonts w:eastAsia="Times New Roman" w:cs="Times New Roman"/>
          <w:b/>
          <w:sz w:val="28"/>
          <w:szCs w:val="28"/>
          <w:lang w:eastAsia="lv-LV"/>
        </w:rPr>
        <w:t> </w:t>
      </w:r>
      <w:r w:rsidR="00A83C5B" w:rsidRPr="007B56E8">
        <w:rPr>
          <w:rFonts w:eastAsia="Times New Roman" w:cs="Times New Roman"/>
          <w:b/>
          <w:sz w:val="28"/>
          <w:szCs w:val="28"/>
          <w:lang w:eastAsia="lv-LV"/>
        </w:rPr>
        <w:t>335 “Noteikumi par c</w:t>
      </w:r>
      <w:r w:rsidR="00822DC9" w:rsidRPr="007B56E8">
        <w:rPr>
          <w:rFonts w:eastAsia="Times New Roman" w:cs="Times New Roman"/>
          <w:b/>
          <w:sz w:val="28"/>
          <w:szCs w:val="28"/>
          <w:lang w:eastAsia="lv-LV"/>
        </w:rPr>
        <w:t xml:space="preserve">entralizēto eksāmenu </w:t>
      </w:r>
      <w:r w:rsidR="00A83C5B" w:rsidRPr="007B56E8">
        <w:rPr>
          <w:rFonts w:eastAsia="Times New Roman" w:cs="Times New Roman"/>
          <w:b/>
          <w:sz w:val="28"/>
          <w:szCs w:val="28"/>
          <w:lang w:eastAsia="lv-LV"/>
        </w:rPr>
        <w:t>saturu un norises kārtību””</w:t>
      </w:r>
      <w:r w:rsidRPr="007B56E8">
        <w:rPr>
          <w:rFonts w:eastAsia="Times New Roman" w:cs="Times New Roman"/>
          <w:b/>
          <w:sz w:val="28"/>
          <w:szCs w:val="28"/>
          <w:lang w:eastAsia="lv-LV"/>
        </w:rPr>
        <w:t xml:space="preserve"> sākotnējās ietekmes novērtējuma ziņojums (anotācija)</w:t>
      </w:r>
    </w:p>
    <w:p w:rsidR="00186024" w:rsidRPr="007B56E8" w:rsidRDefault="00186024">
      <w:pPr>
        <w:rPr>
          <w:rFonts w:cs="Times New Roman"/>
          <w:sz w:val="28"/>
          <w:szCs w:val="28"/>
        </w:rPr>
      </w:pPr>
    </w:p>
    <w:tbl>
      <w:tblPr>
        <w:tblW w:w="8806"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119"/>
        <w:gridCol w:w="5687"/>
      </w:tblGrid>
      <w:tr w:rsidR="00874215" w:rsidRPr="00627667" w:rsidTr="00C67A84">
        <w:trPr>
          <w:cantSplit/>
        </w:trPr>
        <w:tc>
          <w:tcPr>
            <w:tcW w:w="8806" w:type="dxa"/>
            <w:gridSpan w:val="2"/>
            <w:tcBorders>
              <w:top w:val="single" w:sz="4" w:space="0" w:color="000000" w:themeColor="text1"/>
            </w:tcBorders>
            <w:shd w:val="clear" w:color="auto" w:fill="FFFFFF"/>
            <w:vAlign w:val="center"/>
            <w:hideMark/>
          </w:tcPr>
          <w:p w:rsidR="00874215" w:rsidRPr="007B56E8" w:rsidRDefault="00874215" w:rsidP="00874215">
            <w:pPr>
              <w:jc w:val="center"/>
              <w:rPr>
                <w:rFonts w:eastAsia="Times New Roman" w:cs="Times New Roman"/>
                <w:b/>
                <w:iCs/>
                <w:sz w:val="28"/>
                <w:szCs w:val="28"/>
              </w:rPr>
            </w:pPr>
            <w:r w:rsidRPr="007B56E8">
              <w:rPr>
                <w:rFonts w:eastAsia="Times New Roman" w:cs="Times New Roman"/>
                <w:b/>
                <w:iCs/>
                <w:sz w:val="28"/>
                <w:szCs w:val="28"/>
              </w:rPr>
              <w:t>Tiesību akta projekta anotācijas kopsavilkums</w:t>
            </w:r>
          </w:p>
        </w:tc>
      </w:tr>
      <w:tr w:rsidR="00874215" w:rsidRPr="00627667" w:rsidTr="00F85295">
        <w:trPr>
          <w:cantSplit/>
        </w:trPr>
        <w:tc>
          <w:tcPr>
            <w:tcW w:w="3119" w:type="dxa"/>
            <w:shd w:val="clear" w:color="auto" w:fill="FFFFFF"/>
            <w:hideMark/>
          </w:tcPr>
          <w:p w:rsidR="00874215" w:rsidRPr="007B56E8" w:rsidRDefault="00874215" w:rsidP="00874215">
            <w:pPr>
              <w:rPr>
                <w:rFonts w:eastAsia="Times New Roman" w:cs="Times New Roman"/>
                <w:iCs/>
                <w:sz w:val="28"/>
                <w:szCs w:val="28"/>
              </w:rPr>
            </w:pPr>
            <w:r w:rsidRPr="007B56E8">
              <w:rPr>
                <w:rFonts w:eastAsia="Times New Roman" w:cs="Times New Roman"/>
                <w:iCs/>
                <w:sz w:val="28"/>
                <w:szCs w:val="28"/>
              </w:rPr>
              <w:t>Mērķis, risinājums un projekta spēkā stāšanās laiks</w:t>
            </w:r>
          </w:p>
        </w:tc>
        <w:tc>
          <w:tcPr>
            <w:tcW w:w="5687" w:type="dxa"/>
            <w:shd w:val="clear" w:color="auto" w:fill="FFFFFF"/>
            <w:hideMark/>
          </w:tcPr>
          <w:p w:rsidR="004A65D7" w:rsidRPr="00C45F57" w:rsidRDefault="00073A36" w:rsidP="00C45F57">
            <w:pPr>
              <w:jc w:val="both"/>
              <w:rPr>
                <w:rFonts w:eastAsia="Times New Roman" w:cs="Times New Roman"/>
                <w:sz w:val="28"/>
                <w:szCs w:val="28"/>
                <w:lang w:eastAsia="lv-LV"/>
              </w:rPr>
            </w:pPr>
            <w:r w:rsidRPr="007B56E8">
              <w:rPr>
                <w:rFonts w:eastAsia="Times New Roman" w:cs="Times New Roman"/>
                <w:sz w:val="28"/>
                <w:szCs w:val="28"/>
                <w:lang w:eastAsia="lv-LV"/>
              </w:rPr>
              <w:t>Ministru kabineta noteikumu projekta “Grozījumi Ministru kabineta 2010.</w:t>
            </w:r>
            <w:r w:rsidR="00DC5C15">
              <w:rPr>
                <w:rFonts w:eastAsia="Times New Roman" w:cs="Times New Roman"/>
                <w:sz w:val="28"/>
                <w:szCs w:val="28"/>
                <w:lang w:eastAsia="lv-LV"/>
              </w:rPr>
              <w:t> </w:t>
            </w:r>
            <w:r w:rsidRPr="007B56E8">
              <w:rPr>
                <w:rFonts w:eastAsia="Times New Roman" w:cs="Times New Roman"/>
                <w:sz w:val="28"/>
                <w:szCs w:val="28"/>
                <w:lang w:eastAsia="lv-LV"/>
              </w:rPr>
              <w:t>gada 6.</w:t>
            </w:r>
            <w:r w:rsidR="00DC5C15">
              <w:rPr>
                <w:rFonts w:eastAsia="Times New Roman" w:cs="Times New Roman"/>
                <w:sz w:val="28"/>
                <w:szCs w:val="28"/>
                <w:lang w:eastAsia="lv-LV"/>
              </w:rPr>
              <w:t> </w:t>
            </w:r>
            <w:r w:rsidRPr="007B56E8">
              <w:rPr>
                <w:rFonts w:eastAsia="Times New Roman" w:cs="Times New Roman"/>
                <w:sz w:val="28"/>
                <w:szCs w:val="28"/>
                <w:lang w:eastAsia="lv-LV"/>
              </w:rPr>
              <w:t>aprīļa noteikumos Nr.</w:t>
            </w:r>
            <w:r w:rsidR="00DC5C15">
              <w:rPr>
                <w:rFonts w:eastAsia="Times New Roman" w:cs="Times New Roman"/>
                <w:sz w:val="28"/>
                <w:szCs w:val="28"/>
                <w:lang w:eastAsia="lv-LV"/>
              </w:rPr>
              <w:t> </w:t>
            </w:r>
            <w:r w:rsidRPr="007B56E8">
              <w:rPr>
                <w:rFonts w:eastAsia="Times New Roman" w:cs="Times New Roman"/>
                <w:sz w:val="28"/>
                <w:szCs w:val="28"/>
                <w:lang w:eastAsia="lv-LV"/>
              </w:rPr>
              <w:t xml:space="preserve">335 “Noteikumi par centralizēto eksāmenu saturu un norises kārtību”” (turpmāk – projekts) mērķis ir </w:t>
            </w:r>
            <w:r w:rsidR="00873327" w:rsidRPr="007B56E8">
              <w:rPr>
                <w:rFonts w:eastAsia="Times New Roman" w:cs="Times New Roman"/>
                <w:sz w:val="28"/>
                <w:szCs w:val="28"/>
                <w:lang w:eastAsia="lv-LV"/>
              </w:rPr>
              <w:t xml:space="preserve">aktualizēt </w:t>
            </w:r>
            <w:r w:rsidR="00336859" w:rsidRPr="007B56E8">
              <w:rPr>
                <w:rFonts w:eastAsia="Times New Roman" w:cs="Times New Roman"/>
                <w:sz w:val="28"/>
                <w:szCs w:val="28"/>
                <w:lang w:eastAsia="lv-LV"/>
              </w:rPr>
              <w:t>centralizēto eksāmenu</w:t>
            </w:r>
            <w:r w:rsidR="00D52E1D">
              <w:rPr>
                <w:rFonts w:eastAsia="Times New Roman" w:cs="Times New Roman"/>
                <w:sz w:val="28"/>
                <w:szCs w:val="28"/>
                <w:lang w:eastAsia="lv-LV"/>
              </w:rPr>
              <w:t xml:space="preserve"> (turpmāk – eksāmeni)</w:t>
            </w:r>
            <w:r w:rsidR="00336859" w:rsidRPr="007B56E8">
              <w:rPr>
                <w:rFonts w:eastAsia="Times New Roman" w:cs="Times New Roman"/>
                <w:sz w:val="28"/>
                <w:szCs w:val="28"/>
                <w:lang w:eastAsia="lv-LV"/>
              </w:rPr>
              <w:t xml:space="preserve"> norises kārtību un </w:t>
            </w:r>
            <w:r w:rsidR="007A5FB9" w:rsidRPr="007B56E8">
              <w:rPr>
                <w:rFonts w:eastAsia="Times New Roman" w:cs="Times New Roman"/>
                <w:sz w:val="28"/>
                <w:szCs w:val="28"/>
                <w:lang w:eastAsia="lv-LV"/>
              </w:rPr>
              <w:t>reglamentēt konkrētas ar Valsts pārbaudījumu informācijas sistēmas</w:t>
            </w:r>
            <w:r w:rsidR="0086077B">
              <w:rPr>
                <w:rFonts w:eastAsia="Times New Roman" w:cs="Times New Roman"/>
                <w:sz w:val="28"/>
                <w:szCs w:val="28"/>
                <w:lang w:eastAsia="lv-LV"/>
              </w:rPr>
              <w:t xml:space="preserve"> (turpmāk- </w:t>
            </w:r>
            <w:r w:rsidR="007A40E5">
              <w:rPr>
                <w:rFonts w:eastAsia="Times New Roman" w:cs="Times New Roman"/>
                <w:sz w:val="28"/>
                <w:szCs w:val="28"/>
                <w:lang w:eastAsia="lv-LV"/>
              </w:rPr>
              <w:t>informācijas sistēma)</w:t>
            </w:r>
            <w:r w:rsidR="00DD0590">
              <w:rPr>
                <w:rFonts w:eastAsia="Times New Roman" w:cs="Times New Roman"/>
                <w:sz w:val="28"/>
                <w:szCs w:val="28"/>
                <w:lang w:eastAsia="lv-LV"/>
              </w:rPr>
              <w:t xml:space="preserve"> pielietošanu</w:t>
            </w:r>
            <w:r w:rsidR="007A5FB9" w:rsidRPr="007B56E8">
              <w:rPr>
                <w:rFonts w:eastAsia="Times New Roman" w:cs="Times New Roman"/>
                <w:sz w:val="28"/>
                <w:szCs w:val="28"/>
                <w:lang w:eastAsia="lv-LV"/>
              </w:rPr>
              <w:t xml:space="preserve"> eksāmenu norisē saistītas darbības.</w:t>
            </w:r>
            <w:r w:rsidR="00655062" w:rsidRPr="007B56E8">
              <w:rPr>
                <w:rFonts w:eastAsia="Times New Roman" w:cs="Times New Roman"/>
                <w:sz w:val="28"/>
                <w:szCs w:val="28"/>
                <w:lang w:eastAsia="lv-LV"/>
              </w:rPr>
              <w:t xml:space="preserve"> </w:t>
            </w:r>
            <w:r w:rsidRPr="007B56E8">
              <w:rPr>
                <w:rFonts w:eastAsia="Times New Roman" w:cs="Times New Roman"/>
                <w:sz w:val="28"/>
                <w:szCs w:val="28"/>
                <w:lang w:eastAsia="lv-LV"/>
              </w:rPr>
              <w:t>Projektā ietvertais regulējums stāsies spēkā Oficiālo publikāciju un tiesiskās informācijas likumā noteiktajā kārtībā</w:t>
            </w:r>
            <w:r w:rsidR="00AA4581">
              <w:rPr>
                <w:rFonts w:eastAsia="Times New Roman" w:cs="Times New Roman"/>
                <w:sz w:val="28"/>
                <w:szCs w:val="28"/>
                <w:lang w:eastAsia="lv-LV"/>
              </w:rPr>
              <w:t>, izņemot</w:t>
            </w:r>
            <w:r w:rsidR="004A65D7">
              <w:rPr>
                <w:rFonts w:eastAsia="Times New Roman" w:cs="Times New Roman"/>
                <w:sz w:val="28"/>
                <w:szCs w:val="28"/>
                <w:lang w:eastAsia="lv-LV"/>
              </w:rPr>
              <w:t xml:space="preserve"> grozījumus par to, ka Valsts izglītības satura centrs</w:t>
            </w:r>
            <w:r w:rsidR="00BA362C">
              <w:rPr>
                <w:rFonts w:eastAsia="Times New Roman" w:cs="Times New Roman"/>
                <w:sz w:val="28"/>
                <w:szCs w:val="28"/>
                <w:lang w:eastAsia="lv-LV"/>
              </w:rPr>
              <w:t xml:space="preserve"> </w:t>
            </w:r>
            <w:r w:rsidR="00DD0590">
              <w:rPr>
                <w:rFonts w:eastAsia="Times New Roman" w:cs="Times New Roman"/>
                <w:sz w:val="28"/>
                <w:szCs w:val="28"/>
                <w:lang w:eastAsia="lv-LV"/>
              </w:rPr>
              <w:t>(turpmāk – centrs)</w:t>
            </w:r>
            <w:r w:rsidR="00AA4581">
              <w:rPr>
                <w:rFonts w:eastAsia="Times New Roman" w:cs="Times New Roman"/>
                <w:sz w:val="28"/>
                <w:szCs w:val="28"/>
                <w:lang w:eastAsia="lv-LV"/>
              </w:rPr>
              <w:t xml:space="preserve"> </w:t>
            </w:r>
            <w:r w:rsidR="00AA4581" w:rsidRPr="00AA4581">
              <w:rPr>
                <w:rFonts w:eastAsia="Times New Roman" w:cs="Times New Roman"/>
                <w:sz w:val="28"/>
                <w:szCs w:val="28"/>
                <w:lang w:eastAsia="lv-LV"/>
              </w:rPr>
              <w:t>izstrādā eksāmena programmu</w:t>
            </w:r>
            <w:r w:rsidR="004A65D7">
              <w:rPr>
                <w:rFonts w:eastAsia="Times New Roman" w:cs="Times New Roman"/>
                <w:sz w:val="28"/>
                <w:szCs w:val="28"/>
                <w:lang w:eastAsia="lv-LV"/>
              </w:rPr>
              <w:t xml:space="preserve"> </w:t>
            </w:r>
            <w:r w:rsidR="004A65D7" w:rsidRPr="00DD0590">
              <w:rPr>
                <w:rFonts w:eastAsia="Times New Roman" w:cs="Times New Roman"/>
                <w:sz w:val="28"/>
                <w:szCs w:val="28"/>
                <w:lang w:eastAsia="lv-LV"/>
              </w:rPr>
              <w:t xml:space="preserve">atbilstoši </w:t>
            </w:r>
            <w:r w:rsidR="004A65D7" w:rsidRPr="004A65D7">
              <w:rPr>
                <w:rFonts w:eastAsia="Times New Roman" w:cs="Times New Roman"/>
                <w:sz w:val="28"/>
                <w:szCs w:val="28"/>
                <w:lang w:eastAsia="lv-LV"/>
              </w:rPr>
              <w:t>valsts vispārējās vidējās izglītības standartam</w:t>
            </w:r>
            <w:r w:rsidR="0047041D">
              <w:rPr>
                <w:rFonts w:eastAsia="Times New Roman" w:cs="Times New Roman"/>
                <w:sz w:val="28"/>
                <w:szCs w:val="28"/>
                <w:lang w:eastAsia="lv-LV"/>
              </w:rPr>
              <w:t>, kas stājas spēkā</w:t>
            </w:r>
            <w:r w:rsidR="00C45F57">
              <w:rPr>
                <w:rFonts w:eastAsia="Times New Roman" w:cs="Times New Roman"/>
                <w:sz w:val="28"/>
                <w:szCs w:val="28"/>
                <w:lang w:eastAsia="lv-LV"/>
              </w:rPr>
              <w:t xml:space="preserve"> pakāpeniski.</w:t>
            </w:r>
          </w:p>
        </w:tc>
      </w:tr>
    </w:tbl>
    <w:p w:rsidR="00C67A84" w:rsidRPr="007B56E8" w:rsidRDefault="00C67A84">
      <w:pPr>
        <w:rPr>
          <w:rFonts w:cs="Times New Roman"/>
          <w:sz w:val="28"/>
          <w:szCs w:val="28"/>
        </w:rPr>
      </w:pPr>
    </w:p>
    <w:tbl>
      <w:tblPr>
        <w:tblW w:w="8806"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000" w:firstRow="0" w:lastRow="0" w:firstColumn="0" w:lastColumn="0" w:noHBand="0" w:noVBand="0"/>
      </w:tblPr>
      <w:tblGrid>
        <w:gridCol w:w="426"/>
        <w:gridCol w:w="2693"/>
        <w:gridCol w:w="5687"/>
      </w:tblGrid>
      <w:tr w:rsidR="00C67A84" w:rsidRPr="00627667" w:rsidTr="0048559B">
        <w:tc>
          <w:tcPr>
            <w:tcW w:w="8806" w:type="dxa"/>
            <w:gridSpan w:val="3"/>
            <w:shd w:val="clear" w:color="auto" w:fill="FFFFFF"/>
          </w:tcPr>
          <w:p w:rsidR="00C67A84" w:rsidRPr="007B56E8" w:rsidRDefault="00265E37" w:rsidP="00265E37">
            <w:pPr>
              <w:jc w:val="center"/>
              <w:rPr>
                <w:rFonts w:eastAsia="Times New Roman" w:cs="Times New Roman"/>
                <w:sz w:val="28"/>
                <w:szCs w:val="28"/>
                <w:lang w:eastAsia="lv-LV"/>
              </w:rPr>
            </w:pPr>
            <w:r w:rsidRPr="007B56E8">
              <w:rPr>
                <w:rFonts w:eastAsia="Times New Roman" w:cs="Times New Roman"/>
                <w:b/>
                <w:bCs/>
                <w:sz w:val="28"/>
                <w:szCs w:val="28"/>
                <w:lang w:eastAsia="lv-LV"/>
              </w:rPr>
              <w:t>I Tiesību akta projekta izstrādes nepieciešamība</w:t>
            </w:r>
          </w:p>
        </w:tc>
      </w:tr>
      <w:tr w:rsidR="00265E37" w:rsidRPr="00627667" w:rsidTr="0048559B">
        <w:tc>
          <w:tcPr>
            <w:tcW w:w="426" w:type="dxa"/>
            <w:shd w:val="clear" w:color="auto" w:fill="FFFFFF"/>
          </w:tcPr>
          <w:p w:rsidR="00265E37" w:rsidRPr="007B56E8" w:rsidRDefault="00265E37" w:rsidP="00265E37">
            <w:pPr>
              <w:ind w:left="180" w:hanging="180"/>
              <w:jc w:val="center"/>
              <w:rPr>
                <w:rFonts w:eastAsia="Times New Roman" w:cs="Times New Roman"/>
                <w:sz w:val="28"/>
                <w:szCs w:val="28"/>
                <w:lang w:eastAsia="lv-LV"/>
              </w:rPr>
            </w:pPr>
            <w:r w:rsidRPr="007B56E8">
              <w:rPr>
                <w:rFonts w:eastAsia="Times New Roman" w:cs="Times New Roman"/>
                <w:sz w:val="28"/>
                <w:szCs w:val="28"/>
                <w:lang w:eastAsia="lv-LV"/>
              </w:rPr>
              <w:t>1.</w:t>
            </w:r>
          </w:p>
        </w:tc>
        <w:tc>
          <w:tcPr>
            <w:tcW w:w="2693" w:type="dxa"/>
            <w:shd w:val="clear" w:color="auto" w:fill="FFFFFF"/>
          </w:tcPr>
          <w:p w:rsidR="00265E37" w:rsidRPr="007B56E8" w:rsidRDefault="00265E37" w:rsidP="00265E37">
            <w:pPr>
              <w:ind w:firstLine="17"/>
              <w:rPr>
                <w:rFonts w:eastAsia="Times New Roman" w:cs="Times New Roman"/>
                <w:sz w:val="28"/>
                <w:szCs w:val="28"/>
                <w:lang w:eastAsia="lv-LV"/>
              </w:rPr>
            </w:pPr>
            <w:r w:rsidRPr="007B56E8">
              <w:rPr>
                <w:rFonts w:eastAsia="Times New Roman" w:cs="Times New Roman"/>
                <w:sz w:val="28"/>
                <w:szCs w:val="28"/>
                <w:lang w:eastAsia="lv-LV"/>
              </w:rPr>
              <w:t>Pamatojums</w:t>
            </w:r>
          </w:p>
        </w:tc>
        <w:tc>
          <w:tcPr>
            <w:tcW w:w="5687" w:type="dxa"/>
            <w:shd w:val="clear" w:color="auto" w:fill="FFFFFF"/>
          </w:tcPr>
          <w:p w:rsidR="00265E37" w:rsidRPr="007B56E8" w:rsidRDefault="00073A36" w:rsidP="00336859">
            <w:pPr>
              <w:jc w:val="both"/>
              <w:rPr>
                <w:rFonts w:eastAsia="Times New Roman" w:cs="Times New Roman"/>
                <w:sz w:val="28"/>
                <w:szCs w:val="28"/>
                <w:lang w:eastAsia="lv-LV"/>
              </w:rPr>
            </w:pPr>
            <w:r w:rsidRPr="007B56E8">
              <w:rPr>
                <w:rFonts w:eastAsia="Times New Roman" w:cs="Times New Roman"/>
                <w:sz w:val="28"/>
                <w:szCs w:val="28"/>
                <w:lang w:eastAsia="lv-LV"/>
              </w:rPr>
              <w:t>Projekt</w:t>
            </w:r>
            <w:r w:rsidR="00873327" w:rsidRPr="007B56E8">
              <w:rPr>
                <w:rFonts w:eastAsia="Times New Roman" w:cs="Times New Roman"/>
                <w:sz w:val="28"/>
                <w:szCs w:val="28"/>
                <w:lang w:eastAsia="lv-LV"/>
              </w:rPr>
              <w:t>s</w:t>
            </w:r>
            <w:r w:rsidR="00131358" w:rsidRPr="007B56E8">
              <w:rPr>
                <w:rFonts w:eastAsia="Times New Roman" w:cs="Times New Roman"/>
                <w:sz w:val="28"/>
                <w:szCs w:val="28"/>
                <w:lang w:eastAsia="lv-LV"/>
              </w:rPr>
              <w:t xml:space="preserve"> ir izstrādā</w:t>
            </w:r>
            <w:r w:rsidR="00655062" w:rsidRPr="007B56E8">
              <w:rPr>
                <w:rFonts w:eastAsia="Times New Roman" w:cs="Times New Roman"/>
                <w:sz w:val="28"/>
                <w:szCs w:val="28"/>
                <w:lang w:eastAsia="lv-LV"/>
              </w:rPr>
              <w:t>ts</w:t>
            </w:r>
            <w:r w:rsidR="00131358" w:rsidRPr="007B56E8">
              <w:rPr>
                <w:rFonts w:eastAsia="Times New Roman" w:cs="Times New Roman"/>
                <w:sz w:val="28"/>
                <w:szCs w:val="28"/>
                <w:lang w:eastAsia="lv-LV"/>
              </w:rPr>
              <w:t xml:space="preserve"> pamatojoties uz Augstskolu likuma 46.</w:t>
            </w:r>
            <w:r w:rsidR="00C45F57">
              <w:rPr>
                <w:rFonts w:eastAsia="Times New Roman" w:cs="Times New Roman"/>
                <w:sz w:val="28"/>
                <w:szCs w:val="28"/>
                <w:lang w:eastAsia="lv-LV"/>
              </w:rPr>
              <w:t> </w:t>
            </w:r>
            <w:r w:rsidR="00131358" w:rsidRPr="007B56E8">
              <w:rPr>
                <w:rFonts w:eastAsia="Times New Roman" w:cs="Times New Roman"/>
                <w:sz w:val="28"/>
                <w:szCs w:val="28"/>
                <w:lang w:eastAsia="lv-LV"/>
              </w:rPr>
              <w:t>panta trešo daļu, Izglītības likuma 9.panta trešo daļu, 14.</w:t>
            </w:r>
            <w:r w:rsidR="00C45F57">
              <w:rPr>
                <w:rFonts w:eastAsia="Times New Roman" w:cs="Times New Roman"/>
                <w:sz w:val="28"/>
                <w:szCs w:val="28"/>
                <w:lang w:eastAsia="lv-LV"/>
              </w:rPr>
              <w:t> </w:t>
            </w:r>
            <w:r w:rsidR="00131358" w:rsidRPr="007B56E8">
              <w:rPr>
                <w:rFonts w:eastAsia="Times New Roman" w:cs="Times New Roman"/>
                <w:sz w:val="28"/>
                <w:szCs w:val="28"/>
                <w:lang w:eastAsia="lv-LV"/>
              </w:rPr>
              <w:t>panta 33.</w:t>
            </w:r>
            <w:r w:rsidR="00C45F57">
              <w:rPr>
                <w:rFonts w:eastAsia="Times New Roman" w:cs="Times New Roman"/>
                <w:sz w:val="28"/>
                <w:szCs w:val="28"/>
                <w:lang w:eastAsia="lv-LV"/>
              </w:rPr>
              <w:t> </w:t>
            </w:r>
            <w:r w:rsidR="00131358" w:rsidRPr="007B56E8">
              <w:rPr>
                <w:rFonts w:eastAsia="Times New Roman" w:cs="Times New Roman"/>
                <w:sz w:val="28"/>
                <w:szCs w:val="28"/>
                <w:lang w:eastAsia="lv-LV"/>
              </w:rPr>
              <w:t>punktu un Vispārējās izglītības likuma 4.</w:t>
            </w:r>
            <w:r w:rsidR="00C45F57">
              <w:rPr>
                <w:rFonts w:eastAsia="Times New Roman" w:cs="Times New Roman"/>
                <w:sz w:val="28"/>
                <w:szCs w:val="28"/>
                <w:lang w:eastAsia="lv-LV"/>
              </w:rPr>
              <w:t> </w:t>
            </w:r>
            <w:r w:rsidR="00131358" w:rsidRPr="007B56E8">
              <w:rPr>
                <w:rFonts w:eastAsia="Times New Roman" w:cs="Times New Roman"/>
                <w:sz w:val="28"/>
                <w:szCs w:val="28"/>
                <w:lang w:eastAsia="lv-LV"/>
              </w:rPr>
              <w:t>panta 12.</w:t>
            </w:r>
            <w:r w:rsidR="00C45F57">
              <w:rPr>
                <w:rFonts w:eastAsia="Times New Roman" w:cs="Times New Roman"/>
                <w:sz w:val="28"/>
                <w:szCs w:val="28"/>
                <w:lang w:eastAsia="lv-LV"/>
              </w:rPr>
              <w:t> </w:t>
            </w:r>
            <w:r w:rsidR="00131358" w:rsidRPr="007B56E8">
              <w:rPr>
                <w:rFonts w:eastAsia="Times New Roman" w:cs="Times New Roman"/>
                <w:sz w:val="28"/>
                <w:szCs w:val="28"/>
                <w:lang w:eastAsia="lv-LV"/>
              </w:rPr>
              <w:t>punktu</w:t>
            </w:r>
            <w:r w:rsidR="00873327" w:rsidRPr="007B56E8">
              <w:rPr>
                <w:rFonts w:eastAsia="Times New Roman" w:cs="Times New Roman"/>
                <w:sz w:val="28"/>
                <w:szCs w:val="28"/>
                <w:lang w:eastAsia="lv-LV"/>
              </w:rPr>
              <w:t xml:space="preserve">, lai nodrošinātu </w:t>
            </w:r>
            <w:r w:rsidR="00336859" w:rsidRPr="007B56E8">
              <w:rPr>
                <w:rFonts w:eastAsia="Times New Roman" w:cs="Times New Roman"/>
                <w:sz w:val="28"/>
                <w:szCs w:val="28"/>
                <w:lang w:eastAsia="lv-LV"/>
              </w:rPr>
              <w:t>Ministru kabineta 2010.gada 6.</w:t>
            </w:r>
            <w:r w:rsidR="00C45F57">
              <w:rPr>
                <w:rFonts w:eastAsia="Times New Roman" w:cs="Times New Roman"/>
                <w:sz w:val="28"/>
                <w:szCs w:val="28"/>
                <w:lang w:eastAsia="lv-LV"/>
              </w:rPr>
              <w:t> </w:t>
            </w:r>
            <w:r w:rsidR="00336859" w:rsidRPr="007B56E8">
              <w:rPr>
                <w:rFonts w:eastAsia="Times New Roman" w:cs="Times New Roman"/>
                <w:sz w:val="28"/>
                <w:szCs w:val="28"/>
                <w:lang w:eastAsia="lv-LV"/>
              </w:rPr>
              <w:t>aprīļa noteikumu Nr.</w:t>
            </w:r>
            <w:r w:rsidR="00C45F57">
              <w:rPr>
                <w:rFonts w:eastAsia="Times New Roman" w:cs="Times New Roman"/>
                <w:sz w:val="28"/>
                <w:szCs w:val="28"/>
                <w:lang w:eastAsia="lv-LV"/>
              </w:rPr>
              <w:t> </w:t>
            </w:r>
            <w:r w:rsidR="00336859" w:rsidRPr="007B56E8">
              <w:rPr>
                <w:rFonts w:eastAsia="Times New Roman" w:cs="Times New Roman"/>
                <w:sz w:val="28"/>
                <w:szCs w:val="28"/>
                <w:lang w:eastAsia="lv-LV"/>
              </w:rPr>
              <w:t>335 „Noteikumi par centralizēto eksāmenu saturu un norises kārtību” (turpmāk – MK noteikumi Nr.</w:t>
            </w:r>
            <w:r w:rsidR="00C45F57">
              <w:rPr>
                <w:rFonts w:eastAsia="Times New Roman" w:cs="Times New Roman"/>
                <w:sz w:val="28"/>
                <w:szCs w:val="28"/>
                <w:lang w:eastAsia="lv-LV"/>
              </w:rPr>
              <w:t> </w:t>
            </w:r>
            <w:r w:rsidR="00336859" w:rsidRPr="007B56E8">
              <w:rPr>
                <w:rFonts w:eastAsia="Times New Roman" w:cs="Times New Roman"/>
                <w:sz w:val="28"/>
                <w:szCs w:val="28"/>
                <w:lang w:eastAsia="lv-LV"/>
              </w:rPr>
              <w:t>335)</w:t>
            </w:r>
            <w:r w:rsidR="00265E37" w:rsidRPr="007B56E8">
              <w:rPr>
                <w:rFonts w:eastAsia="Times New Roman" w:cs="Times New Roman"/>
                <w:sz w:val="28"/>
                <w:szCs w:val="28"/>
                <w:lang w:eastAsia="lv-LV"/>
              </w:rPr>
              <w:t xml:space="preserve"> </w:t>
            </w:r>
            <w:r w:rsidR="00336859" w:rsidRPr="007B56E8">
              <w:rPr>
                <w:rFonts w:eastAsia="Times New Roman" w:cs="Times New Roman"/>
                <w:sz w:val="28"/>
                <w:szCs w:val="28"/>
                <w:lang w:eastAsia="lv-LV"/>
              </w:rPr>
              <w:t>atbilstību:</w:t>
            </w:r>
          </w:p>
          <w:p w:rsidR="00336859" w:rsidRPr="007B56E8" w:rsidRDefault="00336859" w:rsidP="00336859">
            <w:pPr>
              <w:jc w:val="both"/>
              <w:rPr>
                <w:rFonts w:eastAsia="Times New Roman" w:cs="Times New Roman"/>
                <w:sz w:val="28"/>
                <w:szCs w:val="28"/>
                <w:lang w:eastAsia="lv-LV"/>
              </w:rPr>
            </w:pPr>
            <w:r w:rsidRPr="007B56E8">
              <w:rPr>
                <w:rFonts w:eastAsia="Times New Roman" w:cs="Times New Roman"/>
                <w:sz w:val="28"/>
                <w:szCs w:val="28"/>
                <w:lang w:eastAsia="lv-LV"/>
              </w:rPr>
              <w:t>1.</w:t>
            </w:r>
            <w:r w:rsidR="00DC7F0D" w:rsidRPr="007B56E8">
              <w:rPr>
                <w:rFonts w:eastAsia="Times New Roman" w:cs="Times New Roman"/>
                <w:sz w:val="28"/>
                <w:szCs w:val="28"/>
                <w:lang w:eastAsia="lv-LV"/>
              </w:rPr>
              <w:t xml:space="preserve"> 2018. gada 21.</w:t>
            </w:r>
            <w:r w:rsidR="00C45F57">
              <w:rPr>
                <w:rFonts w:eastAsia="Times New Roman" w:cs="Times New Roman"/>
                <w:sz w:val="28"/>
                <w:szCs w:val="28"/>
                <w:lang w:eastAsia="lv-LV"/>
              </w:rPr>
              <w:t> </w:t>
            </w:r>
            <w:r w:rsidR="00DC7F0D" w:rsidRPr="007B56E8">
              <w:rPr>
                <w:rFonts w:eastAsia="Times New Roman" w:cs="Times New Roman"/>
                <w:sz w:val="28"/>
                <w:szCs w:val="28"/>
                <w:lang w:eastAsia="lv-LV"/>
              </w:rPr>
              <w:t>jūnija Grozījumiem Vispārējās izglītības likumā</w:t>
            </w:r>
            <w:r w:rsidR="007B56E8">
              <w:rPr>
                <w:rFonts w:eastAsia="Times New Roman" w:cs="Times New Roman"/>
                <w:sz w:val="28"/>
                <w:szCs w:val="28"/>
                <w:lang w:eastAsia="lv-LV"/>
              </w:rPr>
              <w:t>,</w:t>
            </w:r>
            <w:r w:rsidR="00DC7F0D" w:rsidRPr="007B56E8">
              <w:rPr>
                <w:rFonts w:eastAsia="Times New Roman" w:cs="Times New Roman"/>
                <w:sz w:val="28"/>
                <w:szCs w:val="28"/>
                <w:lang w:eastAsia="lv-LV"/>
              </w:rPr>
              <w:t xml:space="preserve"> ar kuriem tiek izslēgtas normas, kurās minēts mācību priekšmeta standarts</w:t>
            </w:r>
            <w:r w:rsidR="004D3B26">
              <w:rPr>
                <w:rFonts w:eastAsia="Times New Roman" w:cs="Times New Roman"/>
                <w:sz w:val="28"/>
                <w:szCs w:val="28"/>
                <w:lang w:eastAsia="lv-LV"/>
              </w:rPr>
              <w:t>;</w:t>
            </w:r>
          </w:p>
          <w:p w:rsidR="00336859" w:rsidRPr="007B56E8" w:rsidRDefault="00336859" w:rsidP="00DF622F">
            <w:pPr>
              <w:jc w:val="both"/>
              <w:rPr>
                <w:rFonts w:eastAsia="Times New Roman" w:cs="Times New Roman"/>
                <w:sz w:val="28"/>
                <w:szCs w:val="28"/>
                <w:lang w:eastAsia="lv-LV"/>
              </w:rPr>
            </w:pPr>
            <w:r w:rsidRPr="007B56E8">
              <w:rPr>
                <w:rFonts w:eastAsia="Times New Roman" w:cs="Times New Roman"/>
                <w:sz w:val="28"/>
                <w:szCs w:val="28"/>
                <w:lang w:eastAsia="lv-LV"/>
              </w:rPr>
              <w:t>2.</w:t>
            </w:r>
            <w:r w:rsidR="00DC7F0D" w:rsidRPr="007B56E8">
              <w:rPr>
                <w:rFonts w:cs="Times New Roman"/>
                <w:sz w:val="28"/>
                <w:szCs w:val="28"/>
              </w:rPr>
              <w:t xml:space="preserve"> </w:t>
            </w:r>
            <w:r w:rsidR="00C06D46">
              <w:rPr>
                <w:rFonts w:eastAsia="Times New Roman" w:cs="Times New Roman"/>
                <w:sz w:val="28"/>
                <w:szCs w:val="28"/>
                <w:lang w:eastAsia="lv-LV"/>
              </w:rPr>
              <w:t>2019</w:t>
            </w:r>
            <w:r w:rsidR="00C45F57">
              <w:rPr>
                <w:rFonts w:eastAsia="Times New Roman" w:cs="Times New Roman"/>
                <w:sz w:val="28"/>
                <w:szCs w:val="28"/>
                <w:lang w:eastAsia="lv-LV"/>
              </w:rPr>
              <w:t xml:space="preserve">. gada 21. marta </w:t>
            </w:r>
            <w:r w:rsidR="00DC7F0D" w:rsidRPr="007B56E8">
              <w:rPr>
                <w:rFonts w:eastAsia="Times New Roman" w:cs="Times New Roman"/>
                <w:sz w:val="28"/>
                <w:szCs w:val="28"/>
                <w:lang w:eastAsia="lv-LV"/>
              </w:rPr>
              <w:t xml:space="preserve">Grozījumiem Izglītības likumā, </w:t>
            </w:r>
            <w:r w:rsidR="00DF622F" w:rsidRPr="00DF622F">
              <w:rPr>
                <w:rFonts w:eastAsia="Times New Roman" w:cs="Times New Roman"/>
                <w:sz w:val="28"/>
                <w:szCs w:val="28"/>
                <w:lang w:eastAsia="lv-LV"/>
              </w:rPr>
              <w:t xml:space="preserve">kas paredz deleģējumu Ministru kabinetam noteikt </w:t>
            </w:r>
            <w:r w:rsidR="0047041D">
              <w:rPr>
                <w:rFonts w:eastAsia="Times New Roman" w:cs="Times New Roman"/>
                <w:sz w:val="28"/>
                <w:szCs w:val="28"/>
                <w:lang w:eastAsia="lv-LV"/>
              </w:rPr>
              <w:t>v</w:t>
            </w:r>
            <w:r w:rsidR="0047041D" w:rsidRPr="0047041D">
              <w:rPr>
                <w:rFonts w:eastAsia="Times New Roman" w:cs="Times New Roman"/>
                <w:sz w:val="28"/>
                <w:szCs w:val="28"/>
                <w:lang w:eastAsia="lv-LV"/>
              </w:rPr>
              <w:t xml:space="preserve">alsts pārbaudījumu informācijas sistēmā ierakstāmo ziņu apjomu, kārtību, kādā ziņas tajā iekļaujamas, kā arī kārtību, kādā nodrošināma šajā sistēmā iekļauto </w:t>
            </w:r>
            <w:r w:rsidR="0047041D" w:rsidRPr="0047041D">
              <w:rPr>
                <w:rFonts w:eastAsia="Times New Roman" w:cs="Times New Roman"/>
                <w:sz w:val="28"/>
                <w:szCs w:val="28"/>
                <w:lang w:eastAsia="lv-LV"/>
              </w:rPr>
              <w:lastRenderedPageBreak/>
              <w:t>datu pieejamība</w:t>
            </w:r>
            <w:r w:rsidR="00DF622F" w:rsidRPr="00DF622F">
              <w:rPr>
                <w:rFonts w:eastAsia="Times New Roman" w:cs="Times New Roman"/>
                <w:sz w:val="28"/>
                <w:szCs w:val="28"/>
                <w:lang w:eastAsia="lv-LV"/>
              </w:rPr>
              <w:t>.</w:t>
            </w:r>
            <w:r w:rsidR="00DF622F">
              <w:rPr>
                <w:rFonts w:eastAsia="Times New Roman" w:cs="Times New Roman"/>
                <w:sz w:val="28"/>
                <w:szCs w:val="28"/>
                <w:lang w:eastAsia="lv-LV"/>
              </w:rPr>
              <w:t xml:space="preserve"> P</w:t>
            </w:r>
            <w:r w:rsidR="00DC7F0D" w:rsidRPr="007B56E8">
              <w:rPr>
                <w:rFonts w:eastAsia="Times New Roman" w:cs="Times New Roman"/>
                <w:sz w:val="28"/>
                <w:szCs w:val="28"/>
                <w:lang w:eastAsia="lv-LV"/>
              </w:rPr>
              <w:t>rojekts paredz ris</w:t>
            </w:r>
            <w:r w:rsidR="007B56E8">
              <w:rPr>
                <w:rFonts w:eastAsia="Times New Roman" w:cs="Times New Roman"/>
                <w:sz w:val="28"/>
                <w:szCs w:val="28"/>
                <w:lang w:eastAsia="lv-LV"/>
              </w:rPr>
              <w:t>i</w:t>
            </w:r>
            <w:r w:rsidR="00DC7F0D" w:rsidRPr="007B56E8">
              <w:rPr>
                <w:rFonts w:eastAsia="Times New Roman" w:cs="Times New Roman"/>
                <w:sz w:val="28"/>
                <w:szCs w:val="28"/>
                <w:lang w:eastAsia="lv-LV"/>
              </w:rPr>
              <w:t xml:space="preserve">nāt jautājumus, kas attiecas uz </w:t>
            </w:r>
            <w:r w:rsidR="009A4CD8">
              <w:rPr>
                <w:rFonts w:cs="Times New Roman"/>
                <w:sz w:val="28"/>
                <w:szCs w:val="28"/>
              </w:rPr>
              <w:t>V</w:t>
            </w:r>
            <w:r w:rsidR="00DC7F0D" w:rsidRPr="007B56E8">
              <w:rPr>
                <w:rFonts w:cs="Times New Roman"/>
                <w:sz w:val="28"/>
                <w:szCs w:val="28"/>
              </w:rPr>
              <w:t>alsts pārbaudījumu informācijas sistēmas lietošanu</w:t>
            </w:r>
            <w:r w:rsidR="00DC7F0D" w:rsidRPr="007B56E8">
              <w:rPr>
                <w:rFonts w:eastAsia="Times New Roman" w:cs="Times New Roman"/>
                <w:sz w:val="28"/>
                <w:szCs w:val="28"/>
                <w:lang w:eastAsia="lv-LV"/>
              </w:rPr>
              <w:t>.</w:t>
            </w:r>
          </w:p>
        </w:tc>
      </w:tr>
      <w:tr w:rsidR="00265E37" w:rsidRPr="00627667" w:rsidTr="0064758C">
        <w:tc>
          <w:tcPr>
            <w:tcW w:w="426" w:type="dxa"/>
            <w:shd w:val="clear" w:color="auto" w:fill="FFFFFF"/>
          </w:tcPr>
          <w:p w:rsidR="00265E37" w:rsidRPr="007B56E8" w:rsidRDefault="00265E37" w:rsidP="00265E37">
            <w:pPr>
              <w:jc w:val="center"/>
              <w:rPr>
                <w:rFonts w:eastAsia="Times New Roman" w:cs="Times New Roman"/>
                <w:sz w:val="28"/>
                <w:szCs w:val="28"/>
                <w:lang w:eastAsia="lv-LV"/>
              </w:rPr>
            </w:pPr>
            <w:r w:rsidRPr="007B56E8">
              <w:rPr>
                <w:rFonts w:eastAsia="Times New Roman" w:cs="Times New Roman"/>
                <w:sz w:val="28"/>
                <w:szCs w:val="28"/>
                <w:lang w:eastAsia="lv-LV"/>
              </w:rPr>
              <w:lastRenderedPageBreak/>
              <w:t>2.</w:t>
            </w:r>
          </w:p>
        </w:tc>
        <w:tc>
          <w:tcPr>
            <w:tcW w:w="2693" w:type="dxa"/>
            <w:shd w:val="clear" w:color="auto" w:fill="FFFFFF"/>
          </w:tcPr>
          <w:p w:rsidR="00265E37" w:rsidRPr="007B56E8" w:rsidRDefault="00265E37" w:rsidP="00265E37">
            <w:pPr>
              <w:tabs>
                <w:tab w:val="left" w:pos="170"/>
              </w:tabs>
              <w:ind w:firstLine="17"/>
              <w:rPr>
                <w:rFonts w:eastAsia="Times New Roman" w:cs="Times New Roman"/>
                <w:sz w:val="28"/>
                <w:szCs w:val="28"/>
                <w:lang w:eastAsia="lv-LV"/>
              </w:rPr>
            </w:pPr>
            <w:r w:rsidRPr="007B56E8">
              <w:rPr>
                <w:rFonts w:eastAsia="Times New Roman" w:cs="Times New Roman"/>
                <w:sz w:val="28"/>
                <w:szCs w:val="28"/>
                <w:lang w:eastAsia="lv-LV"/>
              </w:rPr>
              <w:t>Pašreizējā situācija un problēmas, kuru risināšanai tiesību akta projekts izstrādāts, tiesiskā regulējuma mērķis un būtība</w:t>
            </w:r>
          </w:p>
        </w:tc>
        <w:tc>
          <w:tcPr>
            <w:tcW w:w="5687" w:type="dxa"/>
            <w:shd w:val="clear" w:color="auto" w:fill="FFFFFF"/>
          </w:tcPr>
          <w:p w:rsidR="00FA1995" w:rsidRPr="007B56E8" w:rsidRDefault="00066040" w:rsidP="0014690E">
            <w:pPr>
              <w:jc w:val="both"/>
              <w:rPr>
                <w:rFonts w:eastAsia="Times New Roman" w:cs="Times New Roman"/>
                <w:sz w:val="28"/>
                <w:szCs w:val="28"/>
                <w:lang w:eastAsia="lv-LV"/>
              </w:rPr>
            </w:pPr>
            <w:r w:rsidRPr="007B56E8">
              <w:rPr>
                <w:rFonts w:eastAsia="Times New Roman" w:cs="Times New Roman"/>
                <w:sz w:val="28"/>
                <w:szCs w:val="28"/>
                <w:lang w:eastAsia="lv-LV"/>
              </w:rPr>
              <w:t>Grozījumu</w:t>
            </w:r>
            <w:r w:rsidR="003505D4" w:rsidRPr="007B56E8">
              <w:rPr>
                <w:rFonts w:eastAsia="Times New Roman" w:cs="Times New Roman"/>
                <w:sz w:val="28"/>
                <w:szCs w:val="28"/>
                <w:lang w:eastAsia="lv-LV"/>
              </w:rPr>
              <w:t xml:space="preserve"> nepieciešamība </w:t>
            </w:r>
            <w:r w:rsidRPr="007B56E8">
              <w:rPr>
                <w:rFonts w:eastAsia="Times New Roman" w:cs="Times New Roman"/>
                <w:sz w:val="28"/>
                <w:szCs w:val="28"/>
                <w:lang w:eastAsia="lv-LV"/>
              </w:rPr>
              <w:t>MK noteikumos Nr.</w:t>
            </w:r>
            <w:r w:rsidR="00C45F57">
              <w:rPr>
                <w:rFonts w:eastAsia="Times New Roman" w:cs="Times New Roman"/>
                <w:sz w:val="28"/>
                <w:szCs w:val="28"/>
                <w:lang w:eastAsia="lv-LV"/>
              </w:rPr>
              <w:t> </w:t>
            </w:r>
            <w:r w:rsidRPr="007B56E8">
              <w:rPr>
                <w:rFonts w:eastAsia="Times New Roman" w:cs="Times New Roman"/>
                <w:sz w:val="28"/>
                <w:szCs w:val="28"/>
                <w:lang w:eastAsia="lv-LV"/>
              </w:rPr>
              <w:t xml:space="preserve">335 </w:t>
            </w:r>
            <w:r w:rsidR="003505D4" w:rsidRPr="007B56E8">
              <w:rPr>
                <w:rFonts w:eastAsia="Times New Roman" w:cs="Times New Roman"/>
                <w:sz w:val="28"/>
                <w:szCs w:val="28"/>
                <w:lang w:eastAsia="lv-LV"/>
              </w:rPr>
              <w:t xml:space="preserve">saistīta </w:t>
            </w:r>
            <w:r w:rsidR="004E7085">
              <w:rPr>
                <w:rFonts w:eastAsia="Times New Roman" w:cs="Times New Roman"/>
                <w:sz w:val="28"/>
                <w:szCs w:val="28"/>
                <w:lang w:eastAsia="lv-LV"/>
              </w:rPr>
              <w:t>ne tikai</w:t>
            </w:r>
            <w:r w:rsidR="005232D1" w:rsidRPr="007B56E8">
              <w:rPr>
                <w:rFonts w:eastAsia="Times New Roman" w:cs="Times New Roman"/>
                <w:sz w:val="28"/>
                <w:szCs w:val="28"/>
                <w:lang w:eastAsia="lv-LV"/>
              </w:rPr>
              <w:t xml:space="preserve"> </w:t>
            </w:r>
            <w:r w:rsidR="003505D4" w:rsidRPr="007B56E8">
              <w:rPr>
                <w:rFonts w:eastAsia="Times New Roman" w:cs="Times New Roman"/>
                <w:sz w:val="28"/>
                <w:szCs w:val="28"/>
                <w:lang w:eastAsia="lv-LV"/>
              </w:rPr>
              <w:t>ar</w:t>
            </w:r>
            <w:r w:rsidR="005232D1" w:rsidRPr="007B56E8">
              <w:rPr>
                <w:rFonts w:eastAsia="Times New Roman" w:cs="Times New Roman"/>
                <w:sz w:val="28"/>
                <w:szCs w:val="28"/>
                <w:lang w:eastAsia="lv-LV"/>
              </w:rPr>
              <w:t xml:space="preserve"> 2018. gada 21.</w:t>
            </w:r>
            <w:r w:rsidR="00C45F57">
              <w:rPr>
                <w:rFonts w:eastAsia="Times New Roman" w:cs="Times New Roman"/>
                <w:sz w:val="28"/>
                <w:szCs w:val="28"/>
                <w:lang w:eastAsia="lv-LV"/>
              </w:rPr>
              <w:t> </w:t>
            </w:r>
            <w:r w:rsidR="005232D1" w:rsidRPr="007B56E8">
              <w:rPr>
                <w:rFonts w:eastAsia="Times New Roman" w:cs="Times New Roman"/>
                <w:sz w:val="28"/>
                <w:szCs w:val="28"/>
                <w:lang w:eastAsia="lv-LV"/>
              </w:rPr>
              <w:t>jūnija Grozījumiem Visp</w:t>
            </w:r>
            <w:r w:rsidR="00C06D46">
              <w:rPr>
                <w:rFonts w:eastAsia="Times New Roman" w:cs="Times New Roman"/>
                <w:sz w:val="28"/>
                <w:szCs w:val="28"/>
                <w:lang w:eastAsia="lv-LV"/>
              </w:rPr>
              <w:t>ārējās izglītības likumā un 2019. gada</w:t>
            </w:r>
            <w:r w:rsidR="00DF622F">
              <w:rPr>
                <w:rFonts w:eastAsia="Times New Roman" w:cs="Times New Roman"/>
                <w:sz w:val="28"/>
                <w:szCs w:val="28"/>
                <w:lang w:eastAsia="lv-LV"/>
              </w:rPr>
              <w:t xml:space="preserve"> </w:t>
            </w:r>
            <w:r w:rsidR="00C45F57">
              <w:rPr>
                <w:rFonts w:eastAsia="Times New Roman" w:cs="Times New Roman"/>
                <w:sz w:val="28"/>
                <w:szCs w:val="28"/>
                <w:lang w:eastAsia="lv-LV"/>
              </w:rPr>
              <w:t xml:space="preserve">21. marta </w:t>
            </w:r>
            <w:r w:rsidR="005232D1" w:rsidRPr="007B56E8">
              <w:rPr>
                <w:rFonts w:eastAsia="Times New Roman" w:cs="Times New Roman"/>
                <w:sz w:val="28"/>
                <w:szCs w:val="28"/>
                <w:lang w:eastAsia="lv-LV"/>
              </w:rPr>
              <w:t xml:space="preserve">Grozījumiem Izglītības likumā, </w:t>
            </w:r>
            <w:r w:rsidR="004E7085">
              <w:rPr>
                <w:rFonts w:eastAsia="Times New Roman" w:cs="Times New Roman"/>
                <w:sz w:val="28"/>
                <w:szCs w:val="28"/>
                <w:lang w:eastAsia="lv-LV"/>
              </w:rPr>
              <w:t>bet arī</w:t>
            </w:r>
            <w:r w:rsidR="005232D1" w:rsidRPr="007B56E8">
              <w:rPr>
                <w:rFonts w:eastAsia="Times New Roman" w:cs="Times New Roman"/>
                <w:sz w:val="28"/>
                <w:szCs w:val="28"/>
                <w:lang w:eastAsia="lv-LV"/>
              </w:rPr>
              <w:t xml:space="preserve"> ar </w:t>
            </w:r>
            <w:r w:rsidR="00E42236" w:rsidRPr="007B56E8">
              <w:rPr>
                <w:rFonts w:eastAsia="Times New Roman" w:cs="Times New Roman"/>
                <w:sz w:val="28"/>
                <w:szCs w:val="28"/>
                <w:lang w:eastAsia="lv-LV"/>
              </w:rPr>
              <w:t>n</w:t>
            </w:r>
            <w:r w:rsidR="00CF002C" w:rsidRPr="007B56E8">
              <w:rPr>
                <w:rFonts w:eastAsia="Times New Roman" w:cs="Times New Roman"/>
                <w:sz w:val="28"/>
                <w:szCs w:val="28"/>
                <w:lang w:eastAsia="lv-LV"/>
              </w:rPr>
              <w:t>epieciešamību deta</w:t>
            </w:r>
            <w:r w:rsidR="00C412C1" w:rsidRPr="007B56E8">
              <w:rPr>
                <w:rFonts w:eastAsia="Times New Roman" w:cs="Times New Roman"/>
                <w:sz w:val="28"/>
                <w:szCs w:val="28"/>
                <w:lang w:eastAsia="lv-LV"/>
              </w:rPr>
              <w:t>lizētāk reglamentēt konkrētas</w:t>
            </w:r>
            <w:r w:rsidR="008E41DD" w:rsidRPr="007B56E8">
              <w:rPr>
                <w:rFonts w:eastAsia="Times New Roman" w:cs="Times New Roman"/>
                <w:sz w:val="28"/>
                <w:szCs w:val="28"/>
                <w:lang w:eastAsia="lv-LV"/>
              </w:rPr>
              <w:t xml:space="preserve"> </w:t>
            </w:r>
            <w:r w:rsidR="00C412C1" w:rsidRPr="007B56E8">
              <w:rPr>
                <w:rFonts w:eastAsia="Times New Roman" w:cs="Times New Roman"/>
                <w:sz w:val="28"/>
                <w:szCs w:val="28"/>
                <w:lang w:eastAsia="lv-LV"/>
              </w:rPr>
              <w:t xml:space="preserve">ar </w:t>
            </w:r>
            <w:r w:rsidR="00AD2B4A" w:rsidRPr="007B56E8">
              <w:rPr>
                <w:rFonts w:eastAsia="Times New Roman" w:cs="Times New Roman"/>
                <w:sz w:val="28"/>
                <w:szCs w:val="28"/>
                <w:lang w:eastAsia="lv-LV"/>
              </w:rPr>
              <w:t xml:space="preserve">Valsts pārbaudījumu </w:t>
            </w:r>
            <w:r w:rsidR="00C412C1" w:rsidRPr="007B56E8">
              <w:rPr>
                <w:rFonts w:eastAsia="Times New Roman" w:cs="Times New Roman"/>
                <w:sz w:val="28"/>
                <w:szCs w:val="28"/>
                <w:lang w:eastAsia="lv-LV"/>
              </w:rPr>
              <w:t>informācijas sistēmas pielietošanu centralizēto eksāmenu norisē</w:t>
            </w:r>
            <w:r w:rsidR="008E41DD" w:rsidRPr="007B56E8">
              <w:rPr>
                <w:rFonts w:eastAsia="Times New Roman" w:cs="Times New Roman"/>
                <w:sz w:val="28"/>
                <w:szCs w:val="28"/>
                <w:lang w:eastAsia="lv-LV"/>
              </w:rPr>
              <w:t xml:space="preserve"> saistītas darbības.</w:t>
            </w:r>
            <w:r w:rsidR="0064758C" w:rsidRPr="007B56E8">
              <w:rPr>
                <w:rFonts w:eastAsia="Times New Roman" w:cs="Times New Roman"/>
                <w:sz w:val="28"/>
                <w:szCs w:val="28"/>
                <w:lang w:eastAsia="lv-LV"/>
              </w:rPr>
              <w:t xml:space="preserve"> </w:t>
            </w:r>
          </w:p>
          <w:p w:rsidR="00B36351" w:rsidRPr="007B56E8" w:rsidRDefault="00D52E1D" w:rsidP="0014690E">
            <w:pPr>
              <w:jc w:val="both"/>
              <w:rPr>
                <w:rFonts w:eastAsia="Times New Roman" w:cs="Times New Roman"/>
                <w:sz w:val="28"/>
                <w:szCs w:val="28"/>
                <w:lang w:eastAsia="lv-LV"/>
              </w:rPr>
            </w:pPr>
            <w:r>
              <w:rPr>
                <w:rFonts w:eastAsia="Times New Roman" w:cs="Times New Roman"/>
                <w:sz w:val="28"/>
                <w:szCs w:val="28"/>
                <w:lang w:eastAsia="lv-LV"/>
              </w:rPr>
              <w:t>Eksāmenu</w:t>
            </w:r>
            <w:r w:rsidR="00AD2B4A" w:rsidRPr="007B56E8">
              <w:rPr>
                <w:rFonts w:eastAsia="Times New Roman" w:cs="Times New Roman"/>
                <w:sz w:val="28"/>
                <w:szCs w:val="28"/>
                <w:lang w:eastAsia="lv-LV"/>
              </w:rPr>
              <w:t xml:space="preserve"> norisē, tās organizēšanā un iegūto datu apkopošanā līdz 2016./2017.</w:t>
            </w:r>
            <w:r w:rsidR="00C45F57">
              <w:rPr>
                <w:rFonts w:eastAsia="Times New Roman" w:cs="Times New Roman"/>
                <w:sz w:val="28"/>
                <w:szCs w:val="28"/>
                <w:lang w:eastAsia="lv-LV"/>
              </w:rPr>
              <w:t> </w:t>
            </w:r>
            <w:r w:rsidR="00AD2B4A" w:rsidRPr="007B56E8">
              <w:rPr>
                <w:rFonts w:eastAsia="Times New Roman" w:cs="Times New Roman"/>
                <w:sz w:val="28"/>
                <w:szCs w:val="28"/>
                <w:lang w:eastAsia="lv-LV"/>
              </w:rPr>
              <w:t xml:space="preserve">mācību gadam </w:t>
            </w:r>
            <w:r w:rsidR="00DD0590">
              <w:rPr>
                <w:rFonts w:eastAsia="Times New Roman" w:cs="Times New Roman"/>
                <w:sz w:val="28"/>
                <w:szCs w:val="28"/>
                <w:lang w:eastAsia="lv-LV"/>
              </w:rPr>
              <w:t>centrā</w:t>
            </w:r>
            <w:r w:rsidR="00AD2B4A" w:rsidRPr="007B56E8">
              <w:rPr>
                <w:rFonts w:eastAsia="Times New Roman" w:cs="Times New Roman"/>
                <w:sz w:val="28"/>
                <w:szCs w:val="28"/>
                <w:lang w:eastAsia="lv-LV"/>
              </w:rPr>
              <w:t xml:space="preserve"> tika lietotas piecas atsevišķas informācijas sistēmas, no kurām trīs bija reģistrētas Valsts informācijas sistēmu reģistrā. Lielais sistēmu skaits apgrūtināja to administrēšanu, sarežģīja datu apstrādes procesu un valsts pārbaudījumu, to skaitā eksāmenu organizēšanu. </w:t>
            </w:r>
            <w:r w:rsidR="004D3B26">
              <w:rPr>
                <w:rFonts w:eastAsia="Times New Roman" w:cs="Times New Roman"/>
                <w:sz w:val="28"/>
                <w:szCs w:val="28"/>
                <w:lang w:eastAsia="lv-LV"/>
              </w:rPr>
              <w:t>Izglītības un zinātnes m</w:t>
            </w:r>
            <w:r w:rsidR="00AD2B4A" w:rsidRPr="007B56E8">
              <w:rPr>
                <w:rFonts w:eastAsia="Times New Roman" w:cs="Times New Roman"/>
                <w:sz w:val="28"/>
                <w:szCs w:val="28"/>
                <w:lang w:eastAsia="lv-LV"/>
              </w:rPr>
              <w:t>inistrijai izstrādājot informācijas sistēmas 2.</w:t>
            </w:r>
            <w:r w:rsidR="00C45F57">
              <w:rPr>
                <w:rFonts w:eastAsia="Times New Roman" w:cs="Times New Roman"/>
                <w:sz w:val="28"/>
                <w:szCs w:val="28"/>
                <w:lang w:eastAsia="lv-LV"/>
              </w:rPr>
              <w:t> </w:t>
            </w:r>
            <w:r w:rsidR="00AD2B4A" w:rsidRPr="007B56E8">
              <w:rPr>
                <w:rFonts w:eastAsia="Times New Roman" w:cs="Times New Roman"/>
                <w:sz w:val="28"/>
                <w:szCs w:val="28"/>
                <w:lang w:eastAsia="lv-LV"/>
              </w:rPr>
              <w:t>kārtu, tika plānots ar 2017./2018.</w:t>
            </w:r>
            <w:r w:rsidR="00C45F57">
              <w:rPr>
                <w:rFonts w:eastAsia="Times New Roman" w:cs="Times New Roman"/>
                <w:sz w:val="28"/>
                <w:szCs w:val="28"/>
                <w:lang w:eastAsia="lv-LV"/>
              </w:rPr>
              <w:t> </w:t>
            </w:r>
            <w:r w:rsidR="00AD2B4A" w:rsidRPr="007B56E8">
              <w:rPr>
                <w:rFonts w:eastAsia="Times New Roman" w:cs="Times New Roman"/>
                <w:sz w:val="28"/>
                <w:szCs w:val="28"/>
                <w:lang w:eastAsia="lv-LV"/>
              </w:rPr>
              <w:t>mācību gadu apvienot iepriekš minēto lielā skaita informācijas sistēmu funkcionalitāti vienā sistēmā, nodrošinot efektīvāku informācijas apriti un precīzāku datu apstrādi valsts pārbaudījumu norises kontekstā. Tā kā</w:t>
            </w:r>
            <w:r w:rsidR="004D3B26">
              <w:rPr>
                <w:rFonts w:eastAsia="Times New Roman" w:cs="Times New Roman"/>
                <w:sz w:val="28"/>
                <w:szCs w:val="28"/>
                <w:lang w:eastAsia="lv-LV"/>
              </w:rPr>
              <w:t>,</w:t>
            </w:r>
            <w:r w:rsidR="00AD2B4A" w:rsidRPr="007B56E8">
              <w:rPr>
                <w:rFonts w:eastAsia="Times New Roman" w:cs="Times New Roman"/>
                <w:sz w:val="28"/>
                <w:szCs w:val="28"/>
                <w:lang w:eastAsia="lv-LV"/>
              </w:rPr>
              <w:t xml:space="preserve"> sākot ar 2018./2019.</w:t>
            </w:r>
            <w:r w:rsidR="00C45F57">
              <w:rPr>
                <w:rFonts w:eastAsia="Times New Roman" w:cs="Times New Roman"/>
                <w:sz w:val="28"/>
                <w:szCs w:val="28"/>
                <w:lang w:eastAsia="lv-LV"/>
              </w:rPr>
              <w:t> </w:t>
            </w:r>
            <w:r w:rsidR="00AD2B4A" w:rsidRPr="007B56E8">
              <w:rPr>
                <w:rFonts w:eastAsia="Times New Roman" w:cs="Times New Roman"/>
                <w:sz w:val="28"/>
                <w:szCs w:val="28"/>
                <w:lang w:eastAsia="lv-LV"/>
              </w:rPr>
              <w:t>mācību gadu</w:t>
            </w:r>
            <w:r w:rsidR="004D3B26">
              <w:rPr>
                <w:rFonts w:eastAsia="Times New Roman" w:cs="Times New Roman"/>
                <w:sz w:val="28"/>
                <w:szCs w:val="28"/>
                <w:lang w:eastAsia="lv-LV"/>
              </w:rPr>
              <w:t>,</w:t>
            </w:r>
            <w:r w:rsidR="00AD2B4A" w:rsidRPr="007B56E8">
              <w:rPr>
                <w:rFonts w:eastAsia="Times New Roman" w:cs="Times New Roman"/>
                <w:sz w:val="28"/>
                <w:szCs w:val="28"/>
                <w:lang w:eastAsia="lv-LV"/>
              </w:rPr>
              <w:t xml:space="preserve"> valsts pārbaudījumu organizēšanā un norisē tiks izmantota tikai viena –</w:t>
            </w:r>
            <w:r w:rsidR="007B56E8">
              <w:rPr>
                <w:rFonts w:eastAsia="Times New Roman" w:cs="Times New Roman"/>
                <w:sz w:val="28"/>
                <w:szCs w:val="28"/>
                <w:lang w:eastAsia="lv-LV"/>
              </w:rPr>
              <w:t xml:space="preserve"> </w:t>
            </w:r>
            <w:r w:rsidR="00AD2B4A" w:rsidRPr="007B56E8">
              <w:rPr>
                <w:rFonts w:eastAsia="Times New Roman" w:cs="Times New Roman"/>
                <w:sz w:val="28"/>
                <w:szCs w:val="28"/>
                <w:lang w:eastAsia="lv-LV"/>
              </w:rPr>
              <w:t>informācijas sistēma, tad nepieciešams noteikt tās lietošanu eksāmenu organizēšanā un norisē. Projekts nosaka normatīvo regulējumu attiecībā uz izglītības iestādes piekļuves tiesībām informācijas sistēmai, kā arī eksāmena materiāla, kura piegāde notiek elektroniskā veidā, saņemšanu un pavairošanu. Izmantojot informācijas sistēmas iespējas, projekts paredz iespēju mainīt izglītojamo atbilžu ierakstu eksāmena mutvārdu daļā nogādāšanu centrā.</w:t>
            </w:r>
          </w:p>
          <w:p w:rsidR="00991F7C" w:rsidRPr="007B56E8" w:rsidRDefault="005232D1" w:rsidP="00133A4F">
            <w:pPr>
              <w:jc w:val="both"/>
              <w:rPr>
                <w:rFonts w:eastAsia="Times New Roman" w:cs="Times New Roman"/>
                <w:sz w:val="28"/>
                <w:szCs w:val="28"/>
                <w:lang w:eastAsia="lv-LV"/>
              </w:rPr>
            </w:pPr>
            <w:r w:rsidRPr="007B56E8">
              <w:rPr>
                <w:rFonts w:cs="Times New Roman"/>
                <w:sz w:val="28"/>
                <w:szCs w:val="28"/>
              </w:rPr>
              <w:t>P</w:t>
            </w:r>
            <w:r w:rsidR="00CE79BD" w:rsidRPr="007B56E8">
              <w:rPr>
                <w:rFonts w:eastAsia="Times New Roman" w:cs="Times New Roman"/>
                <w:sz w:val="28"/>
                <w:szCs w:val="28"/>
                <w:lang w:eastAsia="lv-LV"/>
              </w:rPr>
              <w:t>rojekt</w:t>
            </w:r>
            <w:r w:rsidRPr="007B56E8">
              <w:rPr>
                <w:rFonts w:eastAsia="Times New Roman" w:cs="Times New Roman"/>
                <w:sz w:val="28"/>
                <w:szCs w:val="28"/>
                <w:lang w:eastAsia="lv-LV"/>
              </w:rPr>
              <w:t>s paredz arī šādas izmaiņas</w:t>
            </w:r>
            <w:r w:rsidR="00CE79BD" w:rsidRPr="007B56E8">
              <w:rPr>
                <w:rFonts w:eastAsia="Times New Roman" w:cs="Times New Roman"/>
                <w:sz w:val="28"/>
                <w:szCs w:val="28"/>
                <w:lang w:eastAsia="lv-LV"/>
              </w:rPr>
              <w:t>:</w:t>
            </w:r>
          </w:p>
          <w:p w:rsidR="00FC4E7E" w:rsidRPr="007B56E8" w:rsidRDefault="005232D1" w:rsidP="00133A4F">
            <w:pPr>
              <w:jc w:val="both"/>
              <w:rPr>
                <w:rFonts w:eastAsia="Times New Roman" w:cs="Times New Roman"/>
                <w:sz w:val="28"/>
                <w:szCs w:val="28"/>
                <w:lang w:eastAsia="lv-LV"/>
              </w:rPr>
            </w:pPr>
            <w:r w:rsidRPr="007B56E8">
              <w:rPr>
                <w:rFonts w:eastAsia="Times New Roman" w:cs="Times New Roman"/>
                <w:sz w:val="28"/>
                <w:szCs w:val="28"/>
                <w:lang w:eastAsia="lv-LV"/>
              </w:rPr>
              <w:t>1</w:t>
            </w:r>
            <w:r w:rsidR="000335C4" w:rsidRPr="007B56E8">
              <w:rPr>
                <w:rFonts w:eastAsia="Times New Roman" w:cs="Times New Roman"/>
                <w:sz w:val="28"/>
                <w:szCs w:val="28"/>
                <w:lang w:eastAsia="lv-LV"/>
              </w:rPr>
              <w:t>. Lai vei</w:t>
            </w:r>
            <w:r w:rsidR="00FA1995" w:rsidRPr="007B56E8">
              <w:rPr>
                <w:rFonts w:eastAsia="Times New Roman" w:cs="Times New Roman"/>
                <w:sz w:val="28"/>
                <w:szCs w:val="28"/>
                <w:lang w:eastAsia="lv-LV"/>
              </w:rPr>
              <w:t xml:space="preserve">cinātu </w:t>
            </w:r>
            <w:r w:rsidR="000335C4" w:rsidRPr="007B56E8">
              <w:rPr>
                <w:rFonts w:eastAsia="Times New Roman" w:cs="Times New Roman"/>
                <w:sz w:val="28"/>
                <w:szCs w:val="28"/>
                <w:lang w:eastAsia="lv-LV"/>
              </w:rPr>
              <w:t xml:space="preserve">eksāmena norises </w:t>
            </w:r>
            <w:r w:rsidR="00FA1995" w:rsidRPr="007B56E8">
              <w:rPr>
                <w:rFonts w:eastAsia="Times New Roman" w:cs="Times New Roman"/>
                <w:sz w:val="28"/>
                <w:szCs w:val="28"/>
                <w:lang w:eastAsia="lv-LV"/>
              </w:rPr>
              <w:t xml:space="preserve">kontroli </w:t>
            </w:r>
            <w:r w:rsidR="000335C4" w:rsidRPr="007B56E8">
              <w:rPr>
                <w:rFonts w:eastAsia="Times New Roman" w:cs="Times New Roman"/>
                <w:sz w:val="28"/>
                <w:szCs w:val="28"/>
                <w:lang w:eastAsia="lv-LV"/>
              </w:rPr>
              <w:t>izglītības iestādē, projekts nosaka, ka eksāmena novērošanā var piedalīties</w:t>
            </w:r>
            <w:r w:rsidR="00FA1995" w:rsidRPr="007B56E8">
              <w:rPr>
                <w:rFonts w:eastAsia="Times New Roman" w:cs="Times New Roman"/>
                <w:sz w:val="28"/>
                <w:szCs w:val="28"/>
                <w:lang w:eastAsia="lv-LV"/>
              </w:rPr>
              <w:t xml:space="preserve"> arī</w:t>
            </w:r>
            <w:r w:rsidR="000335C4" w:rsidRPr="007B56E8">
              <w:rPr>
                <w:rFonts w:eastAsia="Times New Roman" w:cs="Times New Roman"/>
                <w:sz w:val="28"/>
                <w:szCs w:val="28"/>
                <w:lang w:eastAsia="lv-LV"/>
              </w:rPr>
              <w:t xml:space="preserve"> Izglītības kvalitātes </w:t>
            </w:r>
            <w:r w:rsidR="000335C4" w:rsidRPr="007B56E8">
              <w:rPr>
                <w:rFonts w:eastAsia="Times New Roman" w:cs="Times New Roman"/>
                <w:sz w:val="28"/>
                <w:szCs w:val="28"/>
                <w:lang w:eastAsia="lv-LV"/>
              </w:rPr>
              <w:lastRenderedPageBreak/>
              <w:t>valsts dienesta pārstāvji.</w:t>
            </w:r>
          </w:p>
          <w:p w:rsidR="000335C4" w:rsidRPr="007B56E8" w:rsidRDefault="005232D1" w:rsidP="00133A4F">
            <w:pPr>
              <w:jc w:val="both"/>
              <w:rPr>
                <w:rFonts w:eastAsia="Times New Roman" w:cs="Times New Roman"/>
                <w:sz w:val="28"/>
                <w:szCs w:val="28"/>
                <w:lang w:eastAsia="lv-LV"/>
              </w:rPr>
            </w:pPr>
            <w:r w:rsidRPr="007B56E8">
              <w:rPr>
                <w:rFonts w:eastAsia="Times New Roman" w:cs="Times New Roman"/>
                <w:sz w:val="28"/>
                <w:szCs w:val="28"/>
                <w:lang w:eastAsia="lv-LV"/>
              </w:rPr>
              <w:t>2</w:t>
            </w:r>
            <w:r w:rsidR="000335C4" w:rsidRPr="007B56E8">
              <w:rPr>
                <w:rFonts w:eastAsia="Times New Roman" w:cs="Times New Roman"/>
                <w:sz w:val="28"/>
                <w:szCs w:val="28"/>
                <w:lang w:eastAsia="lv-LV"/>
              </w:rPr>
              <w:t xml:space="preserve">. Lai nepieļautu, ka tehniskas kļūdas rezultātā izglītojamais nav reģistrēts </w:t>
            </w:r>
            <w:r w:rsidR="00346D14" w:rsidRPr="007B56E8">
              <w:rPr>
                <w:rFonts w:eastAsia="Times New Roman" w:cs="Times New Roman"/>
                <w:sz w:val="28"/>
                <w:szCs w:val="28"/>
                <w:lang w:eastAsia="lv-LV"/>
              </w:rPr>
              <w:t xml:space="preserve">viņa izvēlētajam eksāmenam, projekts paredz, ka izglītības iestādes vadītājs pirms katra eksāmena norises izdrukā no informācijas sistēmas eksāmenam pieteikto izglītojamo sarakstu un to salīdzina ar izglītojamo </w:t>
            </w:r>
            <w:r w:rsidR="00FA1995" w:rsidRPr="007B56E8">
              <w:rPr>
                <w:rFonts w:eastAsia="Times New Roman" w:cs="Times New Roman"/>
                <w:sz w:val="28"/>
                <w:szCs w:val="28"/>
                <w:lang w:eastAsia="lv-LV"/>
              </w:rPr>
              <w:t xml:space="preserve">iesniegumos </w:t>
            </w:r>
            <w:r w:rsidR="00346D14" w:rsidRPr="007B56E8">
              <w:rPr>
                <w:rFonts w:eastAsia="Times New Roman" w:cs="Times New Roman"/>
                <w:sz w:val="28"/>
                <w:szCs w:val="28"/>
                <w:lang w:eastAsia="lv-LV"/>
              </w:rPr>
              <w:t>norādītajiem eksāmeniem.</w:t>
            </w:r>
          </w:p>
          <w:p w:rsidR="00346D14" w:rsidRPr="007B56E8" w:rsidRDefault="005232D1" w:rsidP="00346D14">
            <w:pPr>
              <w:jc w:val="both"/>
              <w:rPr>
                <w:rFonts w:cs="Times New Roman"/>
                <w:sz w:val="28"/>
                <w:szCs w:val="28"/>
              </w:rPr>
            </w:pPr>
            <w:r w:rsidRPr="007B56E8">
              <w:rPr>
                <w:rFonts w:eastAsia="Times New Roman" w:cs="Times New Roman"/>
                <w:sz w:val="28"/>
                <w:szCs w:val="28"/>
                <w:lang w:eastAsia="lv-LV"/>
              </w:rPr>
              <w:t>3</w:t>
            </w:r>
            <w:r w:rsidR="00346D14" w:rsidRPr="007B56E8">
              <w:rPr>
                <w:rFonts w:eastAsia="Times New Roman" w:cs="Times New Roman"/>
                <w:sz w:val="28"/>
                <w:szCs w:val="28"/>
                <w:lang w:eastAsia="lv-LV"/>
              </w:rPr>
              <w:t xml:space="preserve">. </w:t>
            </w:r>
            <w:r w:rsidR="00346D14" w:rsidRPr="007B56E8">
              <w:rPr>
                <w:rFonts w:cs="Times New Roman"/>
                <w:sz w:val="28"/>
                <w:szCs w:val="28"/>
              </w:rPr>
              <w:t>Ja izglītības iestāde nevar nodrošināt eksāmena norises darbības atbilstoši valsts pārbaudes darbu norises darbību laikos noteiktajam, projekts paredz, ka izglītības iestādes vadītājs par to nekavējoties informē centru, kas nosaka citus valsts pārbaudes darbu norises darbību laikus. Šāda situācija, piemēram, var veidoties, ja ir elektrības traucējumi, ugunsgrēks u.c.</w:t>
            </w:r>
            <w:r w:rsidR="00FA1995" w:rsidRPr="007B56E8">
              <w:rPr>
                <w:rFonts w:cs="Times New Roman"/>
                <w:sz w:val="28"/>
                <w:szCs w:val="28"/>
              </w:rPr>
              <w:t xml:space="preserve"> neparedzēti ārkārtas apstākļi.</w:t>
            </w:r>
          </w:p>
          <w:p w:rsidR="006348C3" w:rsidRPr="007B56E8" w:rsidRDefault="005232D1" w:rsidP="00133A4F">
            <w:pPr>
              <w:jc w:val="both"/>
              <w:rPr>
                <w:rFonts w:eastAsia="Times New Roman" w:cs="Times New Roman"/>
                <w:sz w:val="28"/>
                <w:szCs w:val="28"/>
                <w:lang w:eastAsia="lv-LV"/>
              </w:rPr>
            </w:pPr>
            <w:r w:rsidRPr="007B56E8">
              <w:rPr>
                <w:rFonts w:cs="Times New Roman"/>
                <w:sz w:val="28"/>
                <w:szCs w:val="28"/>
              </w:rPr>
              <w:t>4</w:t>
            </w:r>
            <w:r w:rsidR="00ED0E55" w:rsidRPr="007B56E8">
              <w:rPr>
                <w:rFonts w:cs="Times New Roman"/>
                <w:sz w:val="28"/>
                <w:szCs w:val="28"/>
              </w:rPr>
              <w:t xml:space="preserve">. Projekts precizē eksāmena materiāla piegādes un saņemšanas kārtību, </w:t>
            </w:r>
            <w:r w:rsidR="006B03A4" w:rsidRPr="007B56E8">
              <w:rPr>
                <w:rFonts w:cs="Times New Roman"/>
                <w:sz w:val="28"/>
                <w:szCs w:val="28"/>
              </w:rPr>
              <w:t xml:space="preserve">tajā ietverot atsevišķu eksāmenu daļu materiāla piegādi elektroniskā veidā. </w:t>
            </w:r>
            <w:r w:rsidR="00E830AF" w:rsidRPr="007B56E8">
              <w:rPr>
                <w:rFonts w:eastAsia="Times New Roman" w:cs="Times New Roman"/>
                <w:sz w:val="28"/>
                <w:szCs w:val="28"/>
                <w:lang w:eastAsia="lv-LV"/>
              </w:rPr>
              <w:t>Lai paaugstinātu drošību eksāmena materiāla neizpaušanā pirms eksāmena norises,</w:t>
            </w:r>
            <w:r w:rsidR="00FA1995" w:rsidRPr="007B56E8">
              <w:rPr>
                <w:rFonts w:eastAsia="Times New Roman" w:cs="Times New Roman"/>
                <w:sz w:val="28"/>
                <w:szCs w:val="28"/>
                <w:lang w:eastAsia="lv-LV"/>
              </w:rPr>
              <w:t xml:space="preserve"> projekts paredz, ka</w:t>
            </w:r>
            <w:r w:rsidR="00E830AF" w:rsidRPr="007B56E8">
              <w:rPr>
                <w:rFonts w:eastAsia="Times New Roman" w:cs="Times New Roman"/>
                <w:sz w:val="28"/>
                <w:szCs w:val="28"/>
                <w:lang w:eastAsia="lv-LV"/>
              </w:rPr>
              <w:t xml:space="preserve"> eks</w:t>
            </w:r>
            <w:r w:rsidR="0049668B" w:rsidRPr="007B56E8">
              <w:rPr>
                <w:rFonts w:eastAsia="Times New Roman" w:cs="Times New Roman"/>
                <w:sz w:val="28"/>
                <w:szCs w:val="28"/>
                <w:lang w:eastAsia="lv-LV"/>
              </w:rPr>
              <w:t>āmena atsevišķu daļu materiālu centrs var piegādāt elektroniskā veidā (turpmāk e-materiāls), to publicējot informācijas sistēmā ierobežotā laikā pirms materiāla izmantošanas eksāmena norisē.</w:t>
            </w:r>
            <w:r w:rsidR="00E830AF" w:rsidRPr="007B56E8">
              <w:rPr>
                <w:rFonts w:eastAsia="Times New Roman" w:cs="Times New Roman"/>
                <w:sz w:val="28"/>
                <w:szCs w:val="28"/>
                <w:lang w:eastAsia="lv-LV"/>
              </w:rPr>
              <w:t xml:space="preserve"> </w:t>
            </w:r>
            <w:r w:rsidR="0049668B" w:rsidRPr="007B56E8">
              <w:rPr>
                <w:rFonts w:eastAsia="Times New Roman" w:cs="Times New Roman"/>
                <w:sz w:val="28"/>
                <w:szCs w:val="28"/>
                <w:lang w:eastAsia="lv-LV"/>
              </w:rPr>
              <w:t xml:space="preserve">Projekts </w:t>
            </w:r>
            <w:r w:rsidR="00D45FED" w:rsidRPr="007B56E8">
              <w:rPr>
                <w:rFonts w:eastAsia="Times New Roman" w:cs="Times New Roman"/>
                <w:sz w:val="28"/>
                <w:szCs w:val="28"/>
                <w:lang w:eastAsia="lv-LV"/>
              </w:rPr>
              <w:t>paredz, ka centrs</w:t>
            </w:r>
            <w:r w:rsidR="00033598" w:rsidRPr="007B56E8">
              <w:rPr>
                <w:rFonts w:eastAsia="Times New Roman" w:cs="Times New Roman"/>
                <w:sz w:val="28"/>
                <w:szCs w:val="28"/>
                <w:lang w:eastAsia="lv-LV"/>
              </w:rPr>
              <w:t xml:space="preserve"> ne vēlāk kā mēnesi pirms attiecīgā eksāmena</w:t>
            </w:r>
            <w:r w:rsidR="00BE7B25" w:rsidRPr="007B56E8">
              <w:rPr>
                <w:rFonts w:eastAsia="Times New Roman" w:cs="Times New Roman"/>
                <w:sz w:val="28"/>
                <w:szCs w:val="28"/>
                <w:lang w:eastAsia="lv-LV"/>
              </w:rPr>
              <w:t>,</w:t>
            </w:r>
            <w:r w:rsidR="00033598" w:rsidRPr="007B56E8">
              <w:rPr>
                <w:rFonts w:eastAsia="Times New Roman" w:cs="Times New Roman"/>
                <w:sz w:val="28"/>
                <w:szCs w:val="28"/>
                <w:lang w:eastAsia="lv-LV"/>
              </w:rPr>
              <w:t xml:space="preserve"> publiskojot </w:t>
            </w:r>
            <w:r w:rsidR="00E47C38" w:rsidRPr="007B56E8">
              <w:rPr>
                <w:rFonts w:eastAsia="Times New Roman" w:cs="Times New Roman"/>
                <w:sz w:val="28"/>
                <w:szCs w:val="28"/>
                <w:lang w:eastAsia="lv-LV"/>
              </w:rPr>
              <w:t xml:space="preserve">valsts pārbaudes darbu norises darbību laikus </w:t>
            </w:r>
            <w:r w:rsidR="00033598" w:rsidRPr="007B56E8">
              <w:rPr>
                <w:rFonts w:eastAsia="Times New Roman" w:cs="Times New Roman"/>
                <w:sz w:val="28"/>
                <w:szCs w:val="28"/>
                <w:lang w:eastAsia="lv-LV"/>
              </w:rPr>
              <w:t>savā mājaslapā,</w:t>
            </w:r>
            <w:r w:rsidR="00D45FED" w:rsidRPr="007B56E8">
              <w:rPr>
                <w:rFonts w:eastAsia="Times New Roman" w:cs="Times New Roman"/>
                <w:sz w:val="28"/>
                <w:szCs w:val="28"/>
                <w:lang w:eastAsia="lv-LV"/>
              </w:rPr>
              <w:t xml:space="preserve"> noteiks </w:t>
            </w:r>
            <w:r w:rsidR="00D45FED" w:rsidRPr="007B56E8">
              <w:rPr>
                <w:rFonts w:cs="Times New Roman"/>
                <w:sz w:val="28"/>
                <w:szCs w:val="28"/>
              </w:rPr>
              <w:t>eksāmena materiāla elektroniskās versijas saņemšana un e-materiāla atvasināju</w:t>
            </w:r>
            <w:r w:rsidR="00A34CDF" w:rsidRPr="007B56E8">
              <w:rPr>
                <w:rFonts w:cs="Times New Roman"/>
                <w:sz w:val="28"/>
                <w:szCs w:val="28"/>
              </w:rPr>
              <w:t xml:space="preserve">mu veidošana papīra formā laiku, kā arī </w:t>
            </w:r>
            <w:r w:rsidR="0049668B" w:rsidRPr="007B56E8">
              <w:rPr>
                <w:rFonts w:eastAsia="Times New Roman" w:cs="Times New Roman"/>
                <w:sz w:val="28"/>
                <w:szCs w:val="28"/>
                <w:lang w:eastAsia="lv-LV"/>
              </w:rPr>
              <w:t>e-materiāla saņemšanas un pavairošanas kārtību</w:t>
            </w:r>
            <w:r w:rsidR="006348C3" w:rsidRPr="007B56E8">
              <w:rPr>
                <w:rFonts w:eastAsia="Times New Roman" w:cs="Times New Roman"/>
                <w:sz w:val="28"/>
                <w:szCs w:val="28"/>
                <w:lang w:eastAsia="lv-LV"/>
              </w:rPr>
              <w:t>.</w:t>
            </w:r>
          </w:p>
          <w:p w:rsidR="00A34CDF" w:rsidRPr="007B56E8" w:rsidRDefault="009F551B" w:rsidP="00133A4F">
            <w:pPr>
              <w:jc w:val="both"/>
              <w:rPr>
                <w:rFonts w:eastAsia="Times New Roman" w:cs="Times New Roman"/>
                <w:sz w:val="28"/>
                <w:szCs w:val="28"/>
                <w:lang w:eastAsia="lv-LV"/>
              </w:rPr>
            </w:pPr>
            <w:r>
              <w:rPr>
                <w:rFonts w:eastAsia="Times New Roman" w:cs="Times New Roman"/>
                <w:sz w:val="28"/>
                <w:szCs w:val="28"/>
                <w:lang w:eastAsia="lv-LV"/>
              </w:rPr>
              <w:t>5</w:t>
            </w:r>
            <w:r w:rsidR="00A34CDF" w:rsidRPr="007B56E8">
              <w:rPr>
                <w:rFonts w:eastAsia="Times New Roman" w:cs="Times New Roman"/>
                <w:sz w:val="28"/>
                <w:szCs w:val="28"/>
                <w:lang w:eastAsia="lv-LV"/>
              </w:rPr>
              <w:t xml:space="preserve">. Eksāmena mutvārdu daļā izglītojamo atbildes, izmantojot izglītības iestādes datortehniku, tiek ierakstītas datnēs, kuras savukārt pēc mutvārdu daļas norises izglītības iestādes vadītāja norīkota persona ieraksta datu nesējā, kas tiek nogādāts centrā vērtēšanai. Tā kā var gadīties, ka tehnisku iemeslu dēļ informācija datu nesējā nav nolasāma, tad projekts paredz, ka izglītības </w:t>
            </w:r>
            <w:r w:rsidR="00A34CDF" w:rsidRPr="007B56E8">
              <w:rPr>
                <w:rFonts w:eastAsia="Times New Roman" w:cs="Times New Roman"/>
                <w:sz w:val="28"/>
                <w:szCs w:val="28"/>
                <w:lang w:eastAsia="lv-LV"/>
              </w:rPr>
              <w:lastRenderedPageBreak/>
              <w:t>iestāde nodrošina datņu uzglabāšanu līdz nākamā mācību gada sākumam.</w:t>
            </w:r>
          </w:p>
          <w:p w:rsidR="006B03A4" w:rsidRPr="007B56E8" w:rsidRDefault="009F551B" w:rsidP="00133A4F">
            <w:pPr>
              <w:jc w:val="both"/>
              <w:rPr>
                <w:rFonts w:eastAsia="Times New Roman" w:cs="Times New Roman"/>
                <w:sz w:val="28"/>
                <w:szCs w:val="28"/>
                <w:lang w:eastAsia="lv-LV"/>
              </w:rPr>
            </w:pPr>
            <w:r>
              <w:rPr>
                <w:rFonts w:eastAsia="Times New Roman" w:cs="Times New Roman"/>
                <w:sz w:val="28"/>
                <w:szCs w:val="28"/>
                <w:lang w:eastAsia="lv-LV"/>
              </w:rPr>
              <w:t>6</w:t>
            </w:r>
            <w:r w:rsidR="006B03A4" w:rsidRPr="007B56E8">
              <w:rPr>
                <w:rFonts w:eastAsia="Times New Roman" w:cs="Times New Roman"/>
                <w:sz w:val="28"/>
                <w:szCs w:val="28"/>
                <w:lang w:eastAsia="lv-LV"/>
              </w:rPr>
              <w:t>. MK noteikumu Nr.</w:t>
            </w:r>
            <w:r w:rsidR="00C45F57">
              <w:rPr>
                <w:rFonts w:eastAsia="Times New Roman" w:cs="Times New Roman"/>
                <w:sz w:val="28"/>
                <w:szCs w:val="28"/>
                <w:lang w:eastAsia="lv-LV"/>
              </w:rPr>
              <w:t> </w:t>
            </w:r>
            <w:r w:rsidR="006B03A4" w:rsidRPr="007B56E8">
              <w:rPr>
                <w:rFonts w:eastAsia="Times New Roman" w:cs="Times New Roman"/>
                <w:sz w:val="28"/>
                <w:szCs w:val="28"/>
                <w:lang w:eastAsia="lv-LV"/>
              </w:rPr>
              <w:t>335 78.</w:t>
            </w:r>
            <w:r w:rsidR="006B03A4" w:rsidRPr="007B56E8">
              <w:rPr>
                <w:rFonts w:eastAsia="Times New Roman" w:cs="Times New Roman"/>
                <w:sz w:val="28"/>
                <w:szCs w:val="28"/>
                <w:vertAlign w:val="superscript"/>
                <w:lang w:eastAsia="lv-LV"/>
              </w:rPr>
              <w:t>1</w:t>
            </w:r>
            <w:r w:rsidR="006B03A4" w:rsidRPr="007B56E8">
              <w:rPr>
                <w:rFonts w:eastAsia="Times New Roman" w:cs="Times New Roman"/>
                <w:sz w:val="28"/>
                <w:szCs w:val="28"/>
                <w:lang w:eastAsia="lv-LV"/>
              </w:rPr>
              <w:t xml:space="preserve"> punkts nosaka, ka eksāmena vadītājs eksāmena norisi vada latviešu valodā, izņemot eksāmenus valodu mācību priekšmetos. </w:t>
            </w:r>
            <w:r w:rsidR="00BE2DF7" w:rsidRPr="007B56E8">
              <w:rPr>
                <w:rFonts w:eastAsia="Times New Roman" w:cs="Times New Roman"/>
                <w:sz w:val="28"/>
                <w:szCs w:val="28"/>
                <w:lang w:eastAsia="lv-LV"/>
              </w:rPr>
              <w:t xml:space="preserve">Šāds regulējums valodu mācību priekšmetos ietver eksāmenu latviešu valodā un svešvalodu eksāmenus. </w:t>
            </w:r>
            <w:r w:rsidR="005232D1" w:rsidRPr="007B56E8">
              <w:rPr>
                <w:rFonts w:eastAsia="Times New Roman" w:cs="Times New Roman"/>
                <w:sz w:val="28"/>
                <w:szCs w:val="28"/>
                <w:lang w:eastAsia="lv-LV"/>
              </w:rPr>
              <w:t>P</w:t>
            </w:r>
            <w:r w:rsidR="00BE2DF7" w:rsidRPr="007B56E8">
              <w:rPr>
                <w:rFonts w:eastAsia="Times New Roman" w:cs="Times New Roman"/>
                <w:sz w:val="28"/>
                <w:szCs w:val="28"/>
                <w:lang w:eastAsia="lv-LV"/>
              </w:rPr>
              <w:t>rojekts paredz precizēt, ka izņēmums ir tikai svešvalodu eksāmena mutvārdu daļa, kuru eksāmena vadītājs vada attiecīgajā svešvalodā.</w:t>
            </w:r>
            <w:r w:rsidR="00E977C4" w:rsidRPr="007B56E8">
              <w:rPr>
                <w:rFonts w:eastAsia="Times New Roman" w:cs="Times New Roman"/>
                <w:sz w:val="28"/>
                <w:szCs w:val="28"/>
                <w:lang w:eastAsia="lv-LV"/>
              </w:rPr>
              <w:t xml:space="preserve"> Tā kā latviešu valodas eksāmenu izglītojamie kārto latviešu valodā, tad </w:t>
            </w:r>
            <w:r w:rsidR="00B3622E" w:rsidRPr="007B56E8">
              <w:rPr>
                <w:rFonts w:eastAsia="Times New Roman" w:cs="Times New Roman"/>
                <w:sz w:val="28"/>
                <w:szCs w:val="28"/>
                <w:lang w:eastAsia="lv-LV"/>
              </w:rPr>
              <w:t xml:space="preserve">projekts paredz </w:t>
            </w:r>
            <w:r w:rsidR="00E977C4" w:rsidRPr="007B56E8">
              <w:rPr>
                <w:rFonts w:eastAsia="Times New Roman" w:cs="Times New Roman"/>
                <w:sz w:val="28"/>
                <w:szCs w:val="28"/>
                <w:lang w:eastAsia="lv-LV"/>
              </w:rPr>
              <w:t>MK noteikumu Nr.</w:t>
            </w:r>
            <w:r w:rsidR="00C45F57">
              <w:rPr>
                <w:rFonts w:eastAsia="Times New Roman" w:cs="Times New Roman"/>
                <w:sz w:val="28"/>
                <w:szCs w:val="28"/>
                <w:lang w:eastAsia="lv-LV"/>
              </w:rPr>
              <w:t> </w:t>
            </w:r>
            <w:r w:rsidR="00E977C4" w:rsidRPr="007B56E8">
              <w:rPr>
                <w:rFonts w:eastAsia="Times New Roman" w:cs="Times New Roman"/>
                <w:sz w:val="28"/>
                <w:szCs w:val="28"/>
                <w:lang w:eastAsia="lv-LV"/>
              </w:rPr>
              <w:t xml:space="preserve">335 92.punktā attiecībā uz eksāmena kārtošanas valodu </w:t>
            </w:r>
            <w:r w:rsidR="00B3622E" w:rsidRPr="007B56E8">
              <w:rPr>
                <w:rFonts w:eastAsia="Times New Roman" w:cs="Times New Roman"/>
                <w:sz w:val="28"/>
                <w:szCs w:val="28"/>
                <w:lang w:eastAsia="lv-LV"/>
              </w:rPr>
              <w:t xml:space="preserve">izņēmumu attiecināt tikai uz </w:t>
            </w:r>
            <w:r w:rsidR="00E977C4" w:rsidRPr="007B56E8">
              <w:rPr>
                <w:rFonts w:eastAsia="Times New Roman" w:cs="Times New Roman"/>
                <w:sz w:val="28"/>
                <w:szCs w:val="28"/>
                <w:lang w:eastAsia="lv-LV"/>
              </w:rPr>
              <w:t>svešvalodu</w:t>
            </w:r>
            <w:r w:rsidR="00B3622E" w:rsidRPr="007B56E8">
              <w:rPr>
                <w:rFonts w:eastAsia="Times New Roman" w:cs="Times New Roman"/>
                <w:sz w:val="28"/>
                <w:szCs w:val="28"/>
                <w:lang w:eastAsia="lv-LV"/>
              </w:rPr>
              <w:t xml:space="preserve"> mācību priekšmetiem</w:t>
            </w:r>
            <w:r w:rsidR="00E977C4" w:rsidRPr="007B56E8">
              <w:rPr>
                <w:rFonts w:eastAsia="Times New Roman" w:cs="Times New Roman"/>
                <w:sz w:val="28"/>
                <w:szCs w:val="28"/>
                <w:lang w:eastAsia="lv-LV"/>
              </w:rPr>
              <w:t>.</w:t>
            </w:r>
          </w:p>
          <w:p w:rsidR="00133A4F" w:rsidRPr="007B56E8" w:rsidRDefault="009F551B" w:rsidP="00133A4F">
            <w:pPr>
              <w:jc w:val="both"/>
              <w:rPr>
                <w:rFonts w:eastAsia="Times New Roman" w:cs="Times New Roman"/>
                <w:sz w:val="28"/>
                <w:szCs w:val="28"/>
                <w:lang w:eastAsia="lv-LV"/>
              </w:rPr>
            </w:pPr>
            <w:r>
              <w:rPr>
                <w:rFonts w:eastAsia="Times New Roman" w:cs="Times New Roman"/>
                <w:sz w:val="28"/>
                <w:szCs w:val="28"/>
                <w:lang w:eastAsia="lv-LV"/>
              </w:rPr>
              <w:t>7</w:t>
            </w:r>
            <w:r w:rsidR="006348C3" w:rsidRPr="007B56E8">
              <w:rPr>
                <w:rFonts w:eastAsia="Times New Roman" w:cs="Times New Roman"/>
                <w:sz w:val="28"/>
                <w:szCs w:val="28"/>
                <w:lang w:eastAsia="lv-LV"/>
              </w:rPr>
              <w:t xml:space="preserve">. Tā kā izglītojamo eksāmenu darbu vērtētāji tiek atlasīti Publisko iepirkumu likuma noteiktajā kārtībā, tad projekts </w:t>
            </w:r>
            <w:r w:rsidR="00ED0E55" w:rsidRPr="007B56E8">
              <w:rPr>
                <w:rFonts w:eastAsia="Times New Roman" w:cs="Times New Roman"/>
                <w:sz w:val="28"/>
                <w:szCs w:val="28"/>
                <w:lang w:eastAsia="lv-LV"/>
              </w:rPr>
              <w:t>izslēdz</w:t>
            </w:r>
            <w:r w:rsidR="00A34CDF" w:rsidRPr="007B56E8">
              <w:rPr>
                <w:rFonts w:eastAsia="Times New Roman" w:cs="Times New Roman"/>
                <w:sz w:val="28"/>
                <w:szCs w:val="28"/>
                <w:lang w:eastAsia="lv-LV"/>
              </w:rPr>
              <w:t xml:space="preserve"> </w:t>
            </w:r>
            <w:r w:rsidR="006348C3" w:rsidRPr="007B56E8">
              <w:rPr>
                <w:rFonts w:eastAsia="Times New Roman" w:cs="Times New Roman"/>
                <w:sz w:val="28"/>
                <w:szCs w:val="28"/>
                <w:lang w:eastAsia="lv-LV"/>
              </w:rPr>
              <w:t>pašvaldību līdzdalību vērtētāju nodrošināšanā.</w:t>
            </w:r>
          </w:p>
          <w:p w:rsidR="0014690E" w:rsidRPr="009F551B" w:rsidRDefault="009F551B" w:rsidP="0066310C">
            <w:pPr>
              <w:pStyle w:val="BodyTextIndent"/>
              <w:ind w:firstLine="0"/>
              <w:jc w:val="both"/>
              <w:rPr>
                <w:sz w:val="28"/>
                <w:szCs w:val="28"/>
              </w:rPr>
            </w:pPr>
            <w:r>
              <w:rPr>
                <w:sz w:val="28"/>
                <w:szCs w:val="28"/>
                <w:lang w:eastAsia="lv-LV"/>
              </w:rPr>
              <w:t>8</w:t>
            </w:r>
            <w:r w:rsidR="006348C3" w:rsidRPr="007B56E8">
              <w:rPr>
                <w:sz w:val="28"/>
                <w:szCs w:val="28"/>
                <w:lang w:eastAsia="lv-LV"/>
              </w:rPr>
              <w:t xml:space="preserve">. </w:t>
            </w:r>
            <w:r w:rsidR="00DC5C15" w:rsidRPr="00465785">
              <w:rPr>
                <w:sz w:val="28"/>
                <w:szCs w:val="28"/>
                <w:lang w:eastAsia="lv-LV"/>
              </w:rPr>
              <w:t>2018. gada 21.</w:t>
            </w:r>
            <w:r w:rsidR="00C45F57">
              <w:rPr>
                <w:sz w:val="28"/>
                <w:szCs w:val="28"/>
                <w:lang w:eastAsia="lv-LV"/>
              </w:rPr>
              <w:t> </w:t>
            </w:r>
            <w:r w:rsidR="00DC5C15" w:rsidRPr="00465785">
              <w:rPr>
                <w:sz w:val="28"/>
                <w:szCs w:val="28"/>
                <w:lang w:eastAsia="lv-LV"/>
              </w:rPr>
              <w:t xml:space="preserve">jūnija Grozījumi Vispārējās izglītības likumā paredz izslēgt normas, kurās minēts mācību priekšmeta standarts. Minētie grozījumi atbilstoši Vispārējās izglītības likuma pārejas noteikumiem stāsies spēkā pakāpeniski, tādēļ projekts paredz, ka </w:t>
            </w:r>
            <w:r w:rsidR="00DC5C15" w:rsidRPr="00465785">
              <w:rPr>
                <w:sz w:val="28"/>
                <w:szCs w:val="28"/>
              </w:rPr>
              <w:t>sākot no 2020.</w:t>
            </w:r>
            <w:r w:rsidR="00C45F57">
              <w:rPr>
                <w:sz w:val="28"/>
                <w:szCs w:val="28"/>
              </w:rPr>
              <w:t> </w:t>
            </w:r>
            <w:r w:rsidR="00DC5C15" w:rsidRPr="00465785">
              <w:rPr>
                <w:sz w:val="28"/>
                <w:szCs w:val="28"/>
              </w:rPr>
              <w:t>gada 1.</w:t>
            </w:r>
            <w:r w:rsidR="00C45F57">
              <w:rPr>
                <w:sz w:val="28"/>
                <w:szCs w:val="28"/>
              </w:rPr>
              <w:t> </w:t>
            </w:r>
            <w:r w:rsidR="00DC5C15" w:rsidRPr="00465785">
              <w:rPr>
                <w:sz w:val="28"/>
                <w:szCs w:val="28"/>
              </w:rPr>
              <w:t xml:space="preserve">septembra </w:t>
            </w:r>
            <w:r w:rsidR="00DC5C15" w:rsidRPr="00627667">
              <w:rPr>
                <w:sz w:val="28"/>
                <w:szCs w:val="28"/>
              </w:rPr>
              <w:t>1., 4., 7. un 10. klases mācību priekšmeta standart</w:t>
            </w:r>
            <w:r w:rsidR="00DC5C15" w:rsidRPr="004E7085">
              <w:rPr>
                <w:sz w:val="28"/>
                <w:szCs w:val="28"/>
              </w:rPr>
              <w:t>u neizmanto eksāmena programmas izstrādē</w:t>
            </w:r>
            <w:r w:rsidR="00DC5C15" w:rsidRPr="00465785">
              <w:rPr>
                <w:sz w:val="28"/>
                <w:szCs w:val="28"/>
              </w:rPr>
              <w:t>, sākot no 2021. gada 1. septembr</w:t>
            </w:r>
            <w:r w:rsidR="00DC5C15">
              <w:rPr>
                <w:sz w:val="28"/>
                <w:szCs w:val="28"/>
              </w:rPr>
              <w:t>a</w:t>
            </w:r>
            <w:r w:rsidR="00DC5C15" w:rsidRPr="00465785">
              <w:rPr>
                <w:sz w:val="28"/>
                <w:szCs w:val="28"/>
              </w:rPr>
              <w:t xml:space="preserve"> 2., 5., 8. un 11. klases mācību priekšmeta standartu neizmanto eksāmena programmas izstrādē, bet sākot no 2022. gada 1. septembra 3., 6., 9. un 12. klases mācību priekšmeta standartu neizmanto eksāmena programmas izstrādē.</w:t>
            </w:r>
          </w:p>
        </w:tc>
      </w:tr>
      <w:tr w:rsidR="00080E9F" w:rsidRPr="00627667" w:rsidTr="0048559B">
        <w:tc>
          <w:tcPr>
            <w:tcW w:w="426" w:type="dxa"/>
            <w:shd w:val="clear" w:color="auto" w:fill="FFFFFF"/>
          </w:tcPr>
          <w:p w:rsidR="00080E9F" w:rsidRPr="009F551B" w:rsidRDefault="00080E9F" w:rsidP="00080E9F">
            <w:pPr>
              <w:jc w:val="center"/>
              <w:rPr>
                <w:rFonts w:eastAsia="Times New Roman" w:cs="Times New Roman"/>
                <w:sz w:val="28"/>
                <w:szCs w:val="28"/>
                <w:lang w:eastAsia="lv-LV"/>
              </w:rPr>
            </w:pPr>
            <w:r w:rsidRPr="009F551B">
              <w:rPr>
                <w:rFonts w:eastAsia="Times New Roman" w:cs="Times New Roman"/>
                <w:sz w:val="28"/>
                <w:szCs w:val="28"/>
                <w:lang w:eastAsia="lv-LV"/>
              </w:rPr>
              <w:lastRenderedPageBreak/>
              <w:t>3.</w:t>
            </w:r>
          </w:p>
        </w:tc>
        <w:tc>
          <w:tcPr>
            <w:tcW w:w="2693" w:type="dxa"/>
            <w:shd w:val="clear" w:color="auto" w:fill="FFFFFF"/>
          </w:tcPr>
          <w:p w:rsidR="00080E9F" w:rsidRPr="009F551B" w:rsidRDefault="00080E9F" w:rsidP="00080E9F">
            <w:pPr>
              <w:rPr>
                <w:rFonts w:eastAsia="Times New Roman" w:cs="Times New Roman"/>
                <w:sz w:val="28"/>
                <w:szCs w:val="28"/>
                <w:lang w:eastAsia="lv-LV"/>
              </w:rPr>
            </w:pPr>
            <w:r w:rsidRPr="009F551B">
              <w:rPr>
                <w:rFonts w:eastAsia="Times New Roman" w:cs="Times New Roman"/>
                <w:sz w:val="28"/>
                <w:szCs w:val="28"/>
                <w:lang w:eastAsia="lv-LV"/>
              </w:rPr>
              <w:t>Projekta izstrādē iesaistītās institūcijas un publiskas personas kapitālsabiedrības</w:t>
            </w:r>
          </w:p>
        </w:tc>
        <w:tc>
          <w:tcPr>
            <w:tcW w:w="5687" w:type="dxa"/>
            <w:shd w:val="clear" w:color="auto" w:fill="FFFFFF"/>
          </w:tcPr>
          <w:p w:rsidR="00080E9F" w:rsidRPr="009F551B" w:rsidRDefault="00B3497C" w:rsidP="00182D96">
            <w:pPr>
              <w:jc w:val="both"/>
              <w:rPr>
                <w:rFonts w:eastAsia="Times New Roman" w:cs="Times New Roman"/>
                <w:sz w:val="28"/>
                <w:szCs w:val="28"/>
                <w:lang w:eastAsia="lv-LV"/>
              </w:rPr>
            </w:pPr>
            <w:r w:rsidRPr="009F551B">
              <w:rPr>
                <w:rFonts w:cs="Times New Roman"/>
                <w:sz w:val="28"/>
                <w:szCs w:val="28"/>
              </w:rPr>
              <w:t xml:space="preserve">Centrs un </w:t>
            </w:r>
            <w:r w:rsidR="00AB4D76">
              <w:rPr>
                <w:rFonts w:cs="Times New Roman"/>
                <w:sz w:val="28"/>
                <w:szCs w:val="28"/>
              </w:rPr>
              <w:t xml:space="preserve">Izglītības un zinātnes </w:t>
            </w:r>
            <w:r w:rsidRPr="009F551B">
              <w:rPr>
                <w:rFonts w:cs="Times New Roman"/>
                <w:sz w:val="28"/>
                <w:szCs w:val="28"/>
              </w:rPr>
              <w:t>ministrija</w:t>
            </w:r>
            <w:r w:rsidR="00080E9F" w:rsidRPr="009F551B">
              <w:rPr>
                <w:rFonts w:eastAsia="Times New Roman" w:cs="Times New Roman"/>
                <w:iCs/>
                <w:sz w:val="28"/>
                <w:szCs w:val="28"/>
                <w:lang w:eastAsia="lv-LV"/>
              </w:rPr>
              <w:t>.</w:t>
            </w:r>
          </w:p>
        </w:tc>
      </w:tr>
      <w:tr w:rsidR="00080E9F" w:rsidRPr="00627667" w:rsidTr="0048559B">
        <w:tc>
          <w:tcPr>
            <w:tcW w:w="426" w:type="dxa"/>
            <w:shd w:val="clear" w:color="auto" w:fill="FFFFFF"/>
          </w:tcPr>
          <w:p w:rsidR="00080E9F" w:rsidRPr="009F551B" w:rsidRDefault="00AF4FD5" w:rsidP="00080E9F">
            <w:pPr>
              <w:jc w:val="center"/>
              <w:rPr>
                <w:rFonts w:eastAsia="Times New Roman" w:cs="Times New Roman"/>
                <w:sz w:val="28"/>
                <w:szCs w:val="28"/>
                <w:lang w:eastAsia="lv-LV"/>
              </w:rPr>
            </w:pPr>
            <w:r w:rsidRPr="009F551B">
              <w:rPr>
                <w:rFonts w:eastAsia="Times New Roman" w:cs="Times New Roman"/>
                <w:sz w:val="28"/>
                <w:szCs w:val="28"/>
                <w:lang w:eastAsia="lv-LV"/>
              </w:rPr>
              <w:t>4</w:t>
            </w:r>
            <w:r w:rsidR="00080E9F" w:rsidRPr="009F551B">
              <w:rPr>
                <w:rFonts w:eastAsia="Times New Roman" w:cs="Times New Roman"/>
                <w:sz w:val="28"/>
                <w:szCs w:val="28"/>
                <w:lang w:eastAsia="lv-LV"/>
              </w:rPr>
              <w:t>.</w:t>
            </w:r>
          </w:p>
        </w:tc>
        <w:tc>
          <w:tcPr>
            <w:tcW w:w="2693" w:type="dxa"/>
            <w:shd w:val="clear" w:color="auto" w:fill="FFFFFF"/>
          </w:tcPr>
          <w:p w:rsidR="00080E9F" w:rsidRPr="009F551B" w:rsidRDefault="00080E9F" w:rsidP="00080E9F">
            <w:pPr>
              <w:rPr>
                <w:rFonts w:eastAsia="Times New Roman" w:cs="Times New Roman"/>
                <w:sz w:val="28"/>
                <w:szCs w:val="28"/>
                <w:lang w:eastAsia="lv-LV"/>
              </w:rPr>
            </w:pPr>
            <w:r w:rsidRPr="009F551B">
              <w:rPr>
                <w:rFonts w:eastAsia="Times New Roman" w:cs="Times New Roman"/>
                <w:sz w:val="28"/>
                <w:szCs w:val="28"/>
                <w:lang w:eastAsia="lv-LV"/>
              </w:rPr>
              <w:t>Cita informācija</w:t>
            </w:r>
          </w:p>
        </w:tc>
        <w:tc>
          <w:tcPr>
            <w:tcW w:w="5687" w:type="dxa"/>
            <w:shd w:val="clear" w:color="auto" w:fill="FFFFFF"/>
          </w:tcPr>
          <w:p w:rsidR="00080E9F" w:rsidRPr="009F551B" w:rsidRDefault="00080E9F" w:rsidP="00080E9F">
            <w:pPr>
              <w:jc w:val="both"/>
              <w:rPr>
                <w:rFonts w:eastAsia="Times New Roman" w:cs="Times New Roman"/>
                <w:sz w:val="28"/>
                <w:szCs w:val="28"/>
                <w:lang w:eastAsia="lv-LV"/>
              </w:rPr>
            </w:pPr>
            <w:r w:rsidRPr="009F551B">
              <w:rPr>
                <w:rFonts w:eastAsia="Times New Roman" w:cs="Times New Roman"/>
                <w:iCs/>
                <w:sz w:val="28"/>
                <w:szCs w:val="28"/>
                <w:lang w:eastAsia="lv-LV"/>
              </w:rPr>
              <w:t>Nav</w:t>
            </w:r>
            <w:r w:rsidR="00B3497C" w:rsidRPr="009F551B">
              <w:rPr>
                <w:rFonts w:eastAsia="Times New Roman" w:cs="Times New Roman"/>
                <w:iCs/>
                <w:sz w:val="28"/>
                <w:szCs w:val="28"/>
                <w:lang w:eastAsia="lv-LV"/>
              </w:rPr>
              <w:t>.</w:t>
            </w:r>
          </w:p>
        </w:tc>
      </w:tr>
    </w:tbl>
    <w:p w:rsidR="00080E9F" w:rsidRPr="009F551B" w:rsidRDefault="00080E9F">
      <w:pPr>
        <w:rPr>
          <w:rFonts w:cs="Times New Roman"/>
          <w:sz w:val="28"/>
          <w:szCs w:val="28"/>
        </w:rPr>
      </w:pPr>
    </w:p>
    <w:tbl>
      <w:tblPr>
        <w:tblW w:w="8806"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000" w:firstRow="0" w:lastRow="0" w:firstColumn="0" w:lastColumn="0" w:noHBand="0" w:noVBand="0"/>
      </w:tblPr>
      <w:tblGrid>
        <w:gridCol w:w="426"/>
        <w:gridCol w:w="2552"/>
        <w:gridCol w:w="5828"/>
      </w:tblGrid>
      <w:tr w:rsidR="00080E9F" w:rsidRPr="00627667" w:rsidTr="00E93215">
        <w:tc>
          <w:tcPr>
            <w:tcW w:w="8806" w:type="dxa"/>
            <w:gridSpan w:val="3"/>
            <w:shd w:val="clear" w:color="auto" w:fill="FFFFFF"/>
          </w:tcPr>
          <w:p w:rsidR="00080E9F" w:rsidRPr="009F551B" w:rsidRDefault="00080E9F" w:rsidP="00080E9F">
            <w:pPr>
              <w:jc w:val="center"/>
              <w:rPr>
                <w:rFonts w:eastAsia="Times New Roman" w:cs="Times New Roman"/>
                <w:iCs/>
                <w:sz w:val="28"/>
                <w:szCs w:val="28"/>
                <w:lang w:eastAsia="lv-LV"/>
              </w:rPr>
            </w:pPr>
            <w:r w:rsidRPr="009F551B">
              <w:rPr>
                <w:rFonts w:eastAsia="Times New Roman" w:cs="Times New Roman"/>
                <w:b/>
                <w:bCs/>
                <w:sz w:val="28"/>
                <w:szCs w:val="28"/>
                <w:lang w:eastAsia="lv-LV"/>
              </w:rPr>
              <w:t xml:space="preserve">II Tiesību akta projekta ietekme uz sabiedrību, tautsaimniecības </w:t>
            </w:r>
            <w:r w:rsidRPr="009F551B">
              <w:rPr>
                <w:rFonts w:eastAsia="Times New Roman" w:cs="Times New Roman"/>
                <w:b/>
                <w:bCs/>
                <w:sz w:val="28"/>
                <w:szCs w:val="28"/>
                <w:lang w:eastAsia="lv-LV"/>
              </w:rPr>
              <w:lastRenderedPageBreak/>
              <w:t>attīstību un administratīvo slogu</w:t>
            </w:r>
          </w:p>
        </w:tc>
      </w:tr>
      <w:tr w:rsidR="00080E9F" w:rsidRPr="00627667" w:rsidTr="003846AC">
        <w:tc>
          <w:tcPr>
            <w:tcW w:w="426" w:type="dxa"/>
            <w:shd w:val="clear" w:color="auto" w:fill="FFFFFF"/>
          </w:tcPr>
          <w:p w:rsidR="00080E9F" w:rsidRPr="009F551B" w:rsidRDefault="00080E9F" w:rsidP="00080E9F">
            <w:pPr>
              <w:ind w:left="181" w:hanging="181"/>
              <w:jc w:val="center"/>
              <w:rPr>
                <w:rFonts w:eastAsia="Times New Roman" w:cs="Times New Roman"/>
                <w:sz w:val="28"/>
                <w:szCs w:val="28"/>
                <w:lang w:eastAsia="lv-LV"/>
              </w:rPr>
            </w:pPr>
            <w:r w:rsidRPr="009F551B">
              <w:rPr>
                <w:rFonts w:eastAsia="Times New Roman" w:cs="Times New Roman"/>
                <w:sz w:val="28"/>
                <w:szCs w:val="28"/>
                <w:lang w:eastAsia="lv-LV"/>
              </w:rPr>
              <w:lastRenderedPageBreak/>
              <w:t>1.</w:t>
            </w:r>
          </w:p>
        </w:tc>
        <w:tc>
          <w:tcPr>
            <w:tcW w:w="2552" w:type="dxa"/>
            <w:shd w:val="clear" w:color="auto" w:fill="FFFFFF"/>
          </w:tcPr>
          <w:p w:rsidR="00080E9F" w:rsidRPr="009F551B" w:rsidRDefault="00080E9F" w:rsidP="00080E9F">
            <w:pPr>
              <w:ind w:left="17"/>
              <w:rPr>
                <w:rFonts w:eastAsia="Times New Roman" w:cs="Times New Roman"/>
                <w:sz w:val="28"/>
                <w:szCs w:val="28"/>
                <w:lang w:eastAsia="lv-LV"/>
              </w:rPr>
            </w:pPr>
            <w:r w:rsidRPr="009F551B">
              <w:rPr>
                <w:rFonts w:eastAsia="Times New Roman" w:cs="Times New Roman"/>
                <w:sz w:val="28"/>
                <w:szCs w:val="28"/>
                <w:lang w:eastAsia="lv-LV"/>
              </w:rPr>
              <w:t>Sabiedrības mērķgrupas, kuras tiesiskais regulējums ietekmē vai varētu ietekmēt</w:t>
            </w:r>
          </w:p>
        </w:tc>
        <w:tc>
          <w:tcPr>
            <w:tcW w:w="5828" w:type="dxa"/>
            <w:shd w:val="clear" w:color="auto" w:fill="FFFFFF"/>
          </w:tcPr>
          <w:p w:rsidR="001F0384" w:rsidRPr="009F551B" w:rsidRDefault="001F0384" w:rsidP="00080E9F">
            <w:pPr>
              <w:rPr>
                <w:rFonts w:eastAsia="Times New Roman" w:cs="Times New Roman"/>
                <w:iCs/>
                <w:sz w:val="28"/>
                <w:szCs w:val="28"/>
                <w:lang w:eastAsia="lv-LV"/>
              </w:rPr>
            </w:pPr>
            <w:r w:rsidRPr="009F551B">
              <w:rPr>
                <w:rFonts w:eastAsia="Times New Roman" w:cs="Times New Roman"/>
                <w:iCs/>
                <w:sz w:val="28"/>
                <w:szCs w:val="28"/>
                <w:lang w:eastAsia="lv-LV"/>
              </w:rPr>
              <w:t>Izglītojamie, kur</w:t>
            </w:r>
            <w:r w:rsidR="0049668B" w:rsidRPr="009F551B">
              <w:rPr>
                <w:rFonts w:eastAsia="Times New Roman" w:cs="Times New Roman"/>
                <w:iCs/>
                <w:sz w:val="28"/>
                <w:szCs w:val="28"/>
                <w:lang w:eastAsia="lv-LV"/>
              </w:rPr>
              <w:t xml:space="preserve">i kārto eksāmenus, prognozējams, ka tādi varētu būt </w:t>
            </w:r>
            <w:r w:rsidR="00DC1311" w:rsidRPr="009F551B">
              <w:rPr>
                <w:rFonts w:eastAsia="Times New Roman" w:cs="Times New Roman"/>
                <w:iCs/>
                <w:sz w:val="28"/>
                <w:szCs w:val="28"/>
                <w:lang w:eastAsia="lv-LV"/>
              </w:rPr>
              <w:t>aptuveni</w:t>
            </w:r>
            <w:r w:rsidR="0049668B" w:rsidRPr="009F551B">
              <w:rPr>
                <w:rFonts w:eastAsia="Times New Roman" w:cs="Times New Roman"/>
                <w:iCs/>
                <w:sz w:val="28"/>
                <w:szCs w:val="28"/>
                <w:lang w:eastAsia="lv-LV"/>
              </w:rPr>
              <w:t xml:space="preserve"> 15000 izglītojamie</w:t>
            </w:r>
            <w:r w:rsidRPr="009F551B">
              <w:rPr>
                <w:rFonts w:eastAsia="Times New Roman" w:cs="Times New Roman"/>
                <w:iCs/>
                <w:sz w:val="28"/>
                <w:szCs w:val="28"/>
                <w:lang w:eastAsia="lv-LV"/>
              </w:rPr>
              <w:t>.</w:t>
            </w:r>
          </w:p>
          <w:p w:rsidR="00080E9F" w:rsidRPr="009F551B" w:rsidRDefault="00080E9F" w:rsidP="004B6040">
            <w:pPr>
              <w:rPr>
                <w:rFonts w:eastAsia="Times New Roman" w:cs="Times New Roman"/>
                <w:i/>
                <w:sz w:val="28"/>
                <w:szCs w:val="28"/>
                <w:lang w:eastAsia="lv-LV"/>
              </w:rPr>
            </w:pPr>
            <w:r w:rsidRPr="009F551B">
              <w:rPr>
                <w:rFonts w:eastAsia="Times New Roman" w:cs="Times New Roman"/>
                <w:iCs/>
                <w:sz w:val="28"/>
                <w:szCs w:val="28"/>
                <w:lang w:eastAsia="lv-LV"/>
              </w:rPr>
              <w:t xml:space="preserve">Izglītības </w:t>
            </w:r>
            <w:r w:rsidR="006855EC" w:rsidRPr="009F551B">
              <w:rPr>
                <w:rFonts w:eastAsia="Times New Roman" w:cs="Times New Roman"/>
                <w:iCs/>
                <w:sz w:val="28"/>
                <w:szCs w:val="28"/>
                <w:lang w:eastAsia="lv-LV"/>
              </w:rPr>
              <w:t>iestā</w:t>
            </w:r>
            <w:r w:rsidR="004B6040">
              <w:rPr>
                <w:rFonts w:eastAsia="Times New Roman" w:cs="Times New Roman"/>
                <w:iCs/>
                <w:sz w:val="28"/>
                <w:szCs w:val="28"/>
                <w:lang w:eastAsia="lv-LV"/>
              </w:rPr>
              <w:t>žu</w:t>
            </w:r>
            <w:r w:rsidR="006855EC" w:rsidRPr="009F551B">
              <w:rPr>
                <w:rFonts w:eastAsia="Times New Roman" w:cs="Times New Roman"/>
                <w:iCs/>
                <w:sz w:val="28"/>
                <w:szCs w:val="28"/>
                <w:lang w:eastAsia="lv-LV"/>
              </w:rPr>
              <w:t xml:space="preserve"> (t.sk.</w:t>
            </w:r>
            <w:r w:rsidRPr="009F551B">
              <w:rPr>
                <w:rFonts w:eastAsia="Times New Roman" w:cs="Times New Roman"/>
                <w:iCs/>
                <w:sz w:val="28"/>
                <w:szCs w:val="28"/>
                <w:lang w:eastAsia="lv-LV"/>
              </w:rPr>
              <w:t xml:space="preserve"> pamatskolas, vidusskolas un profesio</w:t>
            </w:r>
            <w:r w:rsidR="0066310C">
              <w:rPr>
                <w:rFonts w:eastAsia="Times New Roman" w:cs="Times New Roman"/>
                <w:iCs/>
                <w:sz w:val="28"/>
                <w:szCs w:val="28"/>
                <w:lang w:eastAsia="lv-LV"/>
              </w:rPr>
              <w:t xml:space="preserve">nālās izglītības iestādes) </w:t>
            </w:r>
            <w:r w:rsidR="004B6040">
              <w:rPr>
                <w:rFonts w:eastAsia="Times New Roman" w:cs="Times New Roman"/>
                <w:iCs/>
                <w:sz w:val="28"/>
                <w:szCs w:val="28"/>
                <w:lang w:eastAsia="lv-LV"/>
              </w:rPr>
              <w:t xml:space="preserve">un augstskolu pedagogi, </w:t>
            </w:r>
            <w:r w:rsidRPr="009F551B">
              <w:rPr>
                <w:rFonts w:eastAsia="Times New Roman" w:cs="Times New Roman"/>
                <w:iCs/>
                <w:sz w:val="28"/>
                <w:szCs w:val="28"/>
                <w:lang w:eastAsia="lv-LV"/>
              </w:rPr>
              <w:t>p</w:t>
            </w:r>
            <w:r w:rsidRPr="009F551B">
              <w:rPr>
                <w:rFonts w:eastAsia="Times New Roman" w:cs="Times New Roman"/>
                <w:sz w:val="28"/>
                <w:szCs w:val="28"/>
                <w:lang w:eastAsia="lv-LV"/>
              </w:rPr>
              <w:t>ašvaldības izglītības speciālisti vai izglītības pārvaldes iestādes</w:t>
            </w:r>
            <w:r w:rsidR="006538E5">
              <w:rPr>
                <w:rFonts w:eastAsia="Times New Roman" w:cs="Times New Roman"/>
                <w:sz w:val="28"/>
                <w:szCs w:val="28"/>
                <w:lang w:eastAsia="lv-LV"/>
              </w:rPr>
              <w:t xml:space="preserve">, </w:t>
            </w:r>
            <w:r w:rsidR="00BA362C">
              <w:rPr>
                <w:rFonts w:eastAsia="Times New Roman" w:cs="Times New Roman"/>
                <w:sz w:val="28"/>
                <w:szCs w:val="28"/>
                <w:lang w:eastAsia="lv-LV"/>
              </w:rPr>
              <w:t>centra</w:t>
            </w:r>
            <w:r w:rsidR="00BA02B2">
              <w:rPr>
                <w:rFonts w:eastAsia="Times New Roman" w:cs="Times New Roman"/>
                <w:sz w:val="28"/>
                <w:szCs w:val="28"/>
                <w:lang w:eastAsia="lv-LV"/>
              </w:rPr>
              <w:t xml:space="preserve"> </w:t>
            </w:r>
            <w:r w:rsidR="00BA02B2" w:rsidRPr="006538E5">
              <w:rPr>
                <w:rFonts w:eastAsia="Times New Roman" w:cs="Times New Roman"/>
                <w:sz w:val="28"/>
                <w:szCs w:val="28"/>
                <w:lang w:eastAsia="lv-LV"/>
              </w:rPr>
              <w:t xml:space="preserve">un </w:t>
            </w:r>
            <w:r w:rsidR="00BA02B2" w:rsidRPr="006538E5">
              <w:rPr>
                <w:sz w:val="28"/>
                <w:szCs w:val="28"/>
              </w:rPr>
              <w:t>Izglītības kvalitātes valsts dienesta</w:t>
            </w:r>
            <w:r w:rsidR="00BA362C" w:rsidRPr="006538E5">
              <w:rPr>
                <w:rFonts w:eastAsia="Times New Roman" w:cs="Times New Roman"/>
                <w:sz w:val="28"/>
                <w:szCs w:val="28"/>
                <w:lang w:eastAsia="lv-LV"/>
              </w:rPr>
              <w:t xml:space="preserve"> n</w:t>
            </w:r>
            <w:r w:rsidR="00BA362C">
              <w:rPr>
                <w:rFonts w:eastAsia="Times New Roman" w:cs="Times New Roman"/>
                <w:sz w:val="28"/>
                <w:szCs w:val="28"/>
                <w:lang w:eastAsia="lv-LV"/>
              </w:rPr>
              <w:t>odarbinātie,</w:t>
            </w:r>
            <w:r w:rsidR="00BA362C">
              <w:rPr>
                <w:rFonts w:eastAsia="Times New Roman" w:cs="Times New Roman"/>
                <w:iCs/>
                <w:sz w:val="28"/>
                <w:szCs w:val="28"/>
                <w:lang w:eastAsia="lv-LV"/>
              </w:rPr>
              <w:t xml:space="preserve"> kas iesaistīti </w:t>
            </w:r>
            <w:r w:rsidR="00BA362C" w:rsidRPr="00BA362C">
              <w:rPr>
                <w:rFonts w:eastAsia="Times New Roman" w:cs="Times New Roman"/>
                <w:iCs/>
                <w:sz w:val="28"/>
                <w:szCs w:val="28"/>
                <w:lang w:eastAsia="lv-LV"/>
              </w:rPr>
              <w:t>centralizēto eksāmen</w:t>
            </w:r>
            <w:r w:rsidR="00BA362C">
              <w:rPr>
                <w:rFonts w:eastAsia="Times New Roman" w:cs="Times New Roman"/>
                <w:iCs/>
                <w:sz w:val="28"/>
                <w:szCs w:val="28"/>
                <w:lang w:eastAsia="lv-LV"/>
              </w:rPr>
              <w:t>u norisē</w:t>
            </w:r>
            <w:r w:rsidRPr="009F551B">
              <w:rPr>
                <w:rFonts w:eastAsia="Times New Roman" w:cs="Times New Roman"/>
                <w:sz w:val="28"/>
                <w:szCs w:val="28"/>
                <w:lang w:eastAsia="lv-LV"/>
              </w:rPr>
              <w:t>.</w:t>
            </w:r>
          </w:p>
        </w:tc>
      </w:tr>
      <w:tr w:rsidR="00080E9F" w:rsidRPr="00627667" w:rsidTr="003846AC">
        <w:tc>
          <w:tcPr>
            <w:tcW w:w="426" w:type="dxa"/>
            <w:shd w:val="clear" w:color="auto" w:fill="FFFFFF"/>
          </w:tcPr>
          <w:p w:rsidR="00080E9F" w:rsidRPr="009F551B" w:rsidRDefault="00080E9F" w:rsidP="00080E9F">
            <w:pPr>
              <w:jc w:val="center"/>
              <w:rPr>
                <w:rFonts w:eastAsia="Times New Roman" w:cs="Times New Roman"/>
                <w:sz w:val="28"/>
                <w:szCs w:val="28"/>
                <w:lang w:eastAsia="lv-LV"/>
              </w:rPr>
            </w:pPr>
            <w:r w:rsidRPr="009F551B">
              <w:rPr>
                <w:rFonts w:eastAsia="Times New Roman" w:cs="Times New Roman"/>
                <w:sz w:val="28"/>
                <w:szCs w:val="28"/>
                <w:lang w:eastAsia="lv-LV"/>
              </w:rPr>
              <w:t>2.</w:t>
            </w:r>
          </w:p>
        </w:tc>
        <w:tc>
          <w:tcPr>
            <w:tcW w:w="2552" w:type="dxa"/>
            <w:shd w:val="clear" w:color="auto" w:fill="FFFFFF"/>
          </w:tcPr>
          <w:p w:rsidR="00080E9F" w:rsidRPr="009F551B" w:rsidRDefault="00080E9F" w:rsidP="00080E9F">
            <w:pPr>
              <w:ind w:left="17"/>
              <w:rPr>
                <w:rFonts w:eastAsia="Times New Roman" w:cs="Times New Roman"/>
                <w:sz w:val="28"/>
                <w:szCs w:val="28"/>
                <w:lang w:eastAsia="lv-LV"/>
              </w:rPr>
            </w:pPr>
            <w:r w:rsidRPr="009F551B">
              <w:rPr>
                <w:rFonts w:eastAsia="Times New Roman" w:cs="Times New Roman"/>
                <w:sz w:val="28"/>
                <w:szCs w:val="28"/>
                <w:lang w:eastAsia="lv-LV"/>
              </w:rPr>
              <w:t>Tiesiskā regulējuma ietekme uz tautsaimniecību un administratīvo slogu</w:t>
            </w:r>
          </w:p>
        </w:tc>
        <w:tc>
          <w:tcPr>
            <w:tcW w:w="5828" w:type="dxa"/>
            <w:shd w:val="clear" w:color="auto" w:fill="FFFFFF"/>
          </w:tcPr>
          <w:p w:rsidR="00080E9F" w:rsidRPr="009F551B" w:rsidRDefault="00080E9F" w:rsidP="004B6040">
            <w:pPr>
              <w:jc w:val="both"/>
              <w:rPr>
                <w:rFonts w:eastAsia="Times New Roman" w:cs="Times New Roman"/>
                <w:sz w:val="28"/>
                <w:szCs w:val="28"/>
                <w:lang w:eastAsia="lv-LV"/>
              </w:rPr>
            </w:pPr>
            <w:r w:rsidRPr="009F551B">
              <w:rPr>
                <w:rFonts w:eastAsia="Times New Roman" w:cs="Times New Roman"/>
                <w:sz w:val="28"/>
                <w:szCs w:val="28"/>
                <w:lang w:eastAsia="lv-LV"/>
              </w:rPr>
              <w:t>Sabiedrības grupām un institūcijām projekta tiesiskais regulējums nemaina tiesības un pienākumus, kā arī veicamās darbības</w:t>
            </w:r>
            <w:r w:rsidR="00BA362C">
              <w:rPr>
                <w:rFonts w:eastAsia="Times New Roman" w:cs="Times New Roman"/>
                <w:sz w:val="28"/>
                <w:szCs w:val="28"/>
                <w:lang w:eastAsia="lv-LV"/>
              </w:rPr>
              <w:t xml:space="preserve">. </w:t>
            </w:r>
            <w:r w:rsidR="004B6040">
              <w:rPr>
                <w:rFonts w:eastAsia="Times New Roman" w:cs="Times New Roman"/>
                <w:sz w:val="28"/>
                <w:szCs w:val="28"/>
                <w:lang w:eastAsia="lv-LV"/>
              </w:rPr>
              <w:t>Tāpat kā</w:t>
            </w:r>
            <w:r w:rsidR="00BA362C" w:rsidRPr="00B26F38">
              <w:rPr>
                <w:rFonts w:eastAsia="Times New Roman" w:cs="Times New Roman"/>
                <w:sz w:val="28"/>
                <w:szCs w:val="28"/>
                <w:lang w:eastAsia="lv-LV"/>
              </w:rPr>
              <w:t xml:space="preserve"> līdz šim izgl</w:t>
            </w:r>
            <w:r w:rsidR="004B6040">
              <w:rPr>
                <w:rFonts w:eastAsia="Times New Roman" w:cs="Times New Roman"/>
                <w:sz w:val="28"/>
                <w:szCs w:val="28"/>
                <w:lang w:eastAsia="lv-LV"/>
              </w:rPr>
              <w:t>ītojamie turpinās</w:t>
            </w:r>
            <w:r w:rsidR="00BA362C" w:rsidRPr="00B26F38">
              <w:rPr>
                <w:rFonts w:eastAsia="Times New Roman" w:cs="Times New Roman"/>
                <w:sz w:val="28"/>
                <w:szCs w:val="28"/>
                <w:lang w:eastAsia="lv-LV"/>
              </w:rPr>
              <w:t xml:space="preserve"> kārtot eksāmenus, </w:t>
            </w:r>
            <w:r w:rsidR="00BA02B2" w:rsidRPr="00B26F38">
              <w:rPr>
                <w:rFonts w:eastAsia="Times New Roman" w:cs="Times New Roman"/>
                <w:sz w:val="28"/>
                <w:szCs w:val="28"/>
                <w:lang w:eastAsia="lv-LV"/>
              </w:rPr>
              <w:t xml:space="preserve">kā novērotāji eksāmenā varēs </w:t>
            </w:r>
            <w:r w:rsidR="004B6040">
              <w:rPr>
                <w:rFonts w:eastAsia="Times New Roman" w:cs="Times New Roman"/>
                <w:sz w:val="28"/>
                <w:szCs w:val="28"/>
                <w:lang w:eastAsia="lv-LV"/>
              </w:rPr>
              <w:t>piedalīties</w:t>
            </w:r>
            <w:r w:rsidR="00BA02B2" w:rsidRPr="00B26F38">
              <w:rPr>
                <w:rFonts w:eastAsia="Times New Roman" w:cs="Times New Roman"/>
                <w:sz w:val="28"/>
                <w:szCs w:val="28"/>
                <w:lang w:eastAsia="lv-LV"/>
              </w:rPr>
              <w:t xml:space="preserve"> </w:t>
            </w:r>
            <w:r w:rsidR="00BA02B2" w:rsidRPr="006538E5">
              <w:rPr>
                <w:sz w:val="28"/>
                <w:szCs w:val="28"/>
              </w:rPr>
              <w:t xml:space="preserve">Izglītības kvalitātes valsts dienesta </w:t>
            </w:r>
            <w:r w:rsidR="004B6040">
              <w:rPr>
                <w:sz w:val="28"/>
                <w:szCs w:val="28"/>
              </w:rPr>
              <w:t>darbinieki</w:t>
            </w:r>
            <w:r w:rsidR="00B26F38">
              <w:rPr>
                <w:sz w:val="28"/>
                <w:szCs w:val="28"/>
              </w:rPr>
              <w:t>,</w:t>
            </w:r>
            <w:r w:rsidR="00BA02B2" w:rsidRPr="006538E5">
              <w:rPr>
                <w:sz w:val="28"/>
                <w:szCs w:val="28"/>
              </w:rPr>
              <w:t xml:space="preserve"> </w:t>
            </w:r>
            <w:r w:rsidR="00B26F38">
              <w:rPr>
                <w:sz w:val="28"/>
                <w:szCs w:val="28"/>
              </w:rPr>
              <w:t>e</w:t>
            </w:r>
            <w:r w:rsidR="00BA02B2" w:rsidRPr="006538E5">
              <w:rPr>
                <w:sz w:val="28"/>
                <w:szCs w:val="28"/>
              </w:rPr>
              <w:t xml:space="preserve">ksāmenu materiālu piegādē </w:t>
            </w:r>
            <w:r w:rsidR="004B6040">
              <w:rPr>
                <w:sz w:val="28"/>
                <w:szCs w:val="28"/>
              </w:rPr>
              <w:t>tiks</w:t>
            </w:r>
            <w:r w:rsidR="00BA02B2" w:rsidRPr="006538E5">
              <w:rPr>
                <w:sz w:val="28"/>
                <w:szCs w:val="28"/>
              </w:rPr>
              <w:t xml:space="preserve"> iesaistīti </w:t>
            </w:r>
            <w:r w:rsidR="00BA02B2" w:rsidRPr="00B26F38">
              <w:rPr>
                <w:spacing w:val="-2"/>
                <w:sz w:val="28"/>
                <w:szCs w:val="28"/>
              </w:rPr>
              <w:t xml:space="preserve">pašvaldību izglītības speciālisti, </w:t>
            </w:r>
            <w:r w:rsidR="00BA02B2" w:rsidRPr="006538E5">
              <w:rPr>
                <w:sz w:val="28"/>
                <w:szCs w:val="28"/>
              </w:rPr>
              <w:t>eksāmenu darbu vērtēšanu nodrošin</w:t>
            </w:r>
            <w:r w:rsidR="00B26F38" w:rsidRPr="006538E5">
              <w:rPr>
                <w:sz w:val="28"/>
                <w:szCs w:val="28"/>
              </w:rPr>
              <w:t>ās</w:t>
            </w:r>
            <w:r w:rsidR="00BA02B2" w:rsidRPr="006538E5">
              <w:rPr>
                <w:sz w:val="28"/>
                <w:szCs w:val="28"/>
              </w:rPr>
              <w:t xml:space="preserve"> centrs</w:t>
            </w:r>
            <w:r w:rsidR="00B26F38" w:rsidRPr="006538E5">
              <w:rPr>
                <w:sz w:val="28"/>
                <w:szCs w:val="28"/>
              </w:rPr>
              <w:t xml:space="preserve"> un</w:t>
            </w:r>
            <w:r w:rsidR="00BA02B2" w:rsidRPr="00B26F38">
              <w:rPr>
                <w:rFonts w:eastAsia="Times New Roman" w:cs="Times New Roman"/>
                <w:sz w:val="28"/>
                <w:szCs w:val="28"/>
                <w:lang w:eastAsia="lv-LV"/>
              </w:rPr>
              <w:t xml:space="preserve"> </w:t>
            </w:r>
            <w:r w:rsidR="00BA362C" w:rsidRPr="00B26F38">
              <w:rPr>
                <w:rFonts w:eastAsia="Times New Roman" w:cs="Times New Roman"/>
                <w:sz w:val="28"/>
                <w:szCs w:val="28"/>
                <w:lang w:eastAsia="lv-LV"/>
              </w:rPr>
              <w:t>izglītības iestāžu pedagogi</w:t>
            </w:r>
            <w:r w:rsidR="004B6040">
              <w:rPr>
                <w:rFonts w:eastAsia="Times New Roman" w:cs="Times New Roman"/>
                <w:sz w:val="28"/>
                <w:szCs w:val="28"/>
                <w:lang w:eastAsia="lv-LV"/>
              </w:rPr>
              <w:t xml:space="preserve">, kuri </w:t>
            </w:r>
            <w:r w:rsidR="00BA02B2" w:rsidRPr="00B26F38">
              <w:rPr>
                <w:rFonts w:eastAsia="Times New Roman" w:cs="Times New Roman"/>
                <w:sz w:val="28"/>
                <w:szCs w:val="28"/>
                <w:lang w:eastAsia="lv-LV"/>
              </w:rPr>
              <w:t>iesaistīti eksāmenu vērtēšanā.</w:t>
            </w:r>
          </w:p>
        </w:tc>
      </w:tr>
      <w:tr w:rsidR="00080E9F" w:rsidRPr="00627667" w:rsidTr="003846AC">
        <w:tc>
          <w:tcPr>
            <w:tcW w:w="426" w:type="dxa"/>
            <w:shd w:val="clear" w:color="auto" w:fill="FFFFFF"/>
          </w:tcPr>
          <w:p w:rsidR="00080E9F" w:rsidRPr="009F551B" w:rsidRDefault="00080E9F" w:rsidP="00080E9F">
            <w:pPr>
              <w:jc w:val="center"/>
              <w:rPr>
                <w:rFonts w:eastAsia="Times New Roman" w:cs="Times New Roman"/>
                <w:sz w:val="28"/>
                <w:szCs w:val="28"/>
                <w:lang w:eastAsia="lv-LV"/>
              </w:rPr>
            </w:pPr>
            <w:r w:rsidRPr="009F551B">
              <w:rPr>
                <w:rFonts w:eastAsia="Times New Roman" w:cs="Times New Roman"/>
                <w:sz w:val="28"/>
                <w:szCs w:val="28"/>
                <w:lang w:eastAsia="lv-LV"/>
              </w:rPr>
              <w:t>3.</w:t>
            </w:r>
          </w:p>
        </w:tc>
        <w:tc>
          <w:tcPr>
            <w:tcW w:w="2552" w:type="dxa"/>
            <w:shd w:val="clear" w:color="auto" w:fill="FFFFFF"/>
          </w:tcPr>
          <w:p w:rsidR="00080E9F" w:rsidRPr="009F551B" w:rsidRDefault="00080E9F" w:rsidP="00080E9F">
            <w:pPr>
              <w:ind w:left="17"/>
              <w:rPr>
                <w:rFonts w:eastAsia="Times New Roman" w:cs="Times New Roman"/>
                <w:sz w:val="28"/>
                <w:szCs w:val="28"/>
                <w:lang w:eastAsia="lv-LV"/>
              </w:rPr>
            </w:pPr>
            <w:r w:rsidRPr="009F551B">
              <w:rPr>
                <w:rFonts w:eastAsia="Times New Roman" w:cs="Times New Roman"/>
                <w:sz w:val="28"/>
                <w:szCs w:val="28"/>
                <w:lang w:eastAsia="lv-LV"/>
              </w:rPr>
              <w:t xml:space="preserve">Administratīvo izmaksu monetārs novērtējums </w:t>
            </w:r>
          </w:p>
        </w:tc>
        <w:tc>
          <w:tcPr>
            <w:tcW w:w="5828" w:type="dxa"/>
            <w:shd w:val="clear" w:color="auto" w:fill="FFFFFF"/>
          </w:tcPr>
          <w:p w:rsidR="00080E9F" w:rsidRPr="00EB7B2B" w:rsidRDefault="00EB7B2B" w:rsidP="00E625C0">
            <w:pPr>
              <w:jc w:val="both"/>
              <w:rPr>
                <w:rFonts w:eastAsia="Times New Roman" w:cs="Times New Roman"/>
                <w:sz w:val="28"/>
                <w:szCs w:val="28"/>
                <w:lang w:eastAsia="lv-LV"/>
              </w:rPr>
            </w:pPr>
            <w:r w:rsidRPr="00EB7B2B">
              <w:rPr>
                <w:rFonts w:eastAsia="Times New Roman" w:cs="Times New Roman"/>
                <w:sz w:val="28"/>
                <w:szCs w:val="28"/>
                <w:lang w:eastAsia="lv-LV"/>
              </w:rPr>
              <w:t>Projekts šo jomu neskar.</w:t>
            </w:r>
          </w:p>
        </w:tc>
      </w:tr>
      <w:tr w:rsidR="00080E9F" w:rsidRPr="00627667" w:rsidTr="003846AC">
        <w:tc>
          <w:tcPr>
            <w:tcW w:w="426" w:type="dxa"/>
            <w:shd w:val="clear" w:color="auto" w:fill="FFFFFF"/>
          </w:tcPr>
          <w:p w:rsidR="00080E9F" w:rsidRPr="009F551B" w:rsidRDefault="00080E9F" w:rsidP="00080E9F">
            <w:pPr>
              <w:jc w:val="center"/>
              <w:rPr>
                <w:rFonts w:eastAsia="Times New Roman" w:cs="Times New Roman"/>
                <w:sz w:val="28"/>
                <w:szCs w:val="28"/>
                <w:lang w:eastAsia="lv-LV"/>
              </w:rPr>
            </w:pPr>
            <w:r w:rsidRPr="009F551B">
              <w:rPr>
                <w:rFonts w:eastAsia="Times New Roman" w:cs="Times New Roman"/>
                <w:sz w:val="28"/>
                <w:szCs w:val="28"/>
                <w:lang w:eastAsia="lv-LV"/>
              </w:rPr>
              <w:t>4.</w:t>
            </w:r>
          </w:p>
        </w:tc>
        <w:tc>
          <w:tcPr>
            <w:tcW w:w="2552" w:type="dxa"/>
            <w:shd w:val="clear" w:color="auto" w:fill="FFFFFF"/>
          </w:tcPr>
          <w:p w:rsidR="00080E9F" w:rsidRPr="009F551B" w:rsidRDefault="00080E9F" w:rsidP="00080E9F">
            <w:pPr>
              <w:ind w:left="17"/>
              <w:rPr>
                <w:rFonts w:eastAsia="Times New Roman" w:cs="Times New Roman"/>
                <w:sz w:val="28"/>
                <w:szCs w:val="28"/>
                <w:lang w:eastAsia="lv-LV"/>
              </w:rPr>
            </w:pPr>
            <w:r w:rsidRPr="009F551B">
              <w:rPr>
                <w:rFonts w:eastAsia="Times New Roman" w:cs="Times New Roman"/>
                <w:sz w:val="28"/>
                <w:szCs w:val="28"/>
                <w:lang w:eastAsia="lv-LV"/>
              </w:rPr>
              <w:t>Atbilstības izmaksu monetārs novērtējums</w:t>
            </w:r>
          </w:p>
        </w:tc>
        <w:tc>
          <w:tcPr>
            <w:tcW w:w="5828" w:type="dxa"/>
            <w:shd w:val="clear" w:color="auto" w:fill="FFFFFF"/>
          </w:tcPr>
          <w:p w:rsidR="00080E9F" w:rsidRPr="009F551B" w:rsidRDefault="00080E9F" w:rsidP="00080E9F">
            <w:pPr>
              <w:rPr>
                <w:rFonts w:eastAsia="Times New Roman" w:cs="Times New Roman"/>
                <w:sz w:val="28"/>
                <w:szCs w:val="28"/>
                <w:lang w:eastAsia="lv-LV"/>
              </w:rPr>
            </w:pPr>
            <w:r w:rsidRPr="009F551B">
              <w:rPr>
                <w:rFonts w:eastAsia="Times New Roman" w:cs="Times New Roman"/>
                <w:bCs/>
                <w:sz w:val="28"/>
                <w:szCs w:val="28"/>
              </w:rPr>
              <w:t>Projekts šo jomu neskar.</w:t>
            </w:r>
          </w:p>
        </w:tc>
      </w:tr>
      <w:tr w:rsidR="00080E9F" w:rsidRPr="00627667" w:rsidTr="003846AC">
        <w:tc>
          <w:tcPr>
            <w:tcW w:w="426" w:type="dxa"/>
            <w:shd w:val="clear" w:color="auto" w:fill="FFFFFF"/>
          </w:tcPr>
          <w:p w:rsidR="00080E9F" w:rsidRPr="009F551B" w:rsidRDefault="00080E9F" w:rsidP="00080E9F">
            <w:pPr>
              <w:jc w:val="center"/>
              <w:rPr>
                <w:rFonts w:eastAsia="Times New Roman" w:cs="Times New Roman"/>
                <w:sz w:val="28"/>
                <w:szCs w:val="28"/>
                <w:lang w:eastAsia="lv-LV"/>
              </w:rPr>
            </w:pPr>
            <w:r w:rsidRPr="009F551B">
              <w:rPr>
                <w:rFonts w:eastAsia="Times New Roman" w:cs="Times New Roman"/>
                <w:sz w:val="28"/>
                <w:szCs w:val="28"/>
                <w:lang w:eastAsia="lv-LV"/>
              </w:rPr>
              <w:t>5.</w:t>
            </w:r>
          </w:p>
        </w:tc>
        <w:tc>
          <w:tcPr>
            <w:tcW w:w="2552" w:type="dxa"/>
            <w:shd w:val="clear" w:color="auto" w:fill="FFFFFF"/>
          </w:tcPr>
          <w:p w:rsidR="00080E9F" w:rsidRPr="009F551B" w:rsidRDefault="00080E9F" w:rsidP="00080E9F">
            <w:pPr>
              <w:ind w:left="17"/>
              <w:rPr>
                <w:rFonts w:eastAsia="Times New Roman" w:cs="Times New Roman"/>
                <w:sz w:val="28"/>
                <w:szCs w:val="28"/>
                <w:lang w:eastAsia="lv-LV"/>
              </w:rPr>
            </w:pPr>
            <w:r w:rsidRPr="009F551B">
              <w:rPr>
                <w:rFonts w:eastAsia="Times New Roman" w:cs="Times New Roman"/>
                <w:sz w:val="28"/>
                <w:szCs w:val="28"/>
                <w:lang w:eastAsia="lv-LV"/>
              </w:rPr>
              <w:t>Cita informācija.</w:t>
            </w:r>
          </w:p>
        </w:tc>
        <w:tc>
          <w:tcPr>
            <w:tcW w:w="5828" w:type="dxa"/>
            <w:shd w:val="clear" w:color="auto" w:fill="FFFFFF"/>
          </w:tcPr>
          <w:p w:rsidR="00080E9F" w:rsidRPr="009F551B" w:rsidRDefault="00080E9F" w:rsidP="00080E9F">
            <w:pPr>
              <w:rPr>
                <w:rFonts w:eastAsia="Times New Roman" w:cs="Times New Roman"/>
                <w:i/>
                <w:sz w:val="28"/>
                <w:szCs w:val="28"/>
                <w:lang w:eastAsia="lv-LV"/>
              </w:rPr>
            </w:pPr>
            <w:r w:rsidRPr="009F551B">
              <w:rPr>
                <w:rFonts w:eastAsia="Times New Roman" w:cs="Times New Roman"/>
                <w:iCs/>
                <w:sz w:val="28"/>
                <w:szCs w:val="28"/>
                <w:lang w:eastAsia="lv-LV"/>
              </w:rPr>
              <w:t>Nav</w:t>
            </w:r>
            <w:r w:rsidR="00B3497C" w:rsidRPr="009F551B">
              <w:rPr>
                <w:rFonts w:eastAsia="Times New Roman" w:cs="Times New Roman"/>
                <w:iCs/>
                <w:sz w:val="28"/>
                <w:szCs w:val="28"/>
                <w:lang w:eastAsia="lv-LV"/>
              </w:rPr>
              <w:t>.</w:t>
            </w:r>
          </w:p>
        </w:tc>
      </w:tr>
    </w:tbl>
    <w:p w:rsidR="00080E9F" w:rsidRPr="009F551B" w:rsidRDefault="00080E9F">
      <w:pPr>
        <w:rPr>
          <w:rFonts w:cs="Times New Roman"/>
          <w:sz w:val="28"/>
          <w:szCs w:val="28"/>
        </w:rPr>
      </w:pPr>
    </w:p>
    <w:tbl>
      <w:tblPr>
        <w:tblW w:w="8806"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000" w:firstRow="0" w:lastRow="0" w:firstColumn="0" w:lastColumn="0" w:noHBand="0" w:noVBand="0"/>
      </w:tblPr>
      <w:tblGrid>
        <w:gridCol w:w="8806"/>
      </w:tblGrid>
      <w:tr w:rsidR="00080E9F" w:rsidRPr="00627667" w:rsidTr="0055611E">
        <w:tc>
          <w:tcPr>
            <w:tcW w:w="8806" w:type="dxa"/>
            <w:shd w:val="clear" w:color="auto" w:fill="FFFFFF"/>
          </w:tcPr>
          <w:p w:rsidR="00080E9F" w:rsidRPr="009F551B" w:rsidRDefault="00080E9F" w:rsidP="00080E9F">
            <w:pPr>
              <w:jc w:val="center"/>
              <w:rPr>
                <w:rFonts w:eastAsia="Times New Roman" w:cs="Times New Roman"/>
                <w:iCs/>
                <w:sz w:val="28"/>
                <w:szCs w:val="28"/>
                <w:lang w:eastAsia="lv-LV"/>
              </w:rPr>
            </w:pPr>
            <w:r w:rsidRPr="009F551B">
              <w:rPr>
                <w:rFonts w:cs="Times New Roman"/>
                <w:b/>
                <w:bCs/>
                <w:sz w:val="28"/>
                <w:szCs w:val="28"/>
              </w:rPr>
              <w:t>III. Tiesību akta projekta ietekme uz valsts budžetu un pašvaldību budžetiem</w:t>
            </w:r>
          </w:p>
        </w:tc>
      </w:tr>
      <w:tr w:rsidR="00080E9F" w:rsidRPr="00627667" w:rsidTr="00CC57DB">
        <w:tc>
          <w:tcPr>
            <w:tcW w:w="8806" w:type="dxa"/>
            <w:shd w:val="clear" w:color="auto" w:fill="FFFFFF"/>
          </w:tcPr>
          <w:p w:rsidR="00080E9F" w:rsidRPr="009F551B" w:rsidRDefault="009112ED" w:rsidP="009112ED">
            <w:pPr>
              <w:jc w:val="center"/>
              <w:rPr>
                <w:rFonts w:eastAsia="Times New Roman" w:cs="Times New Roman"/>
                <w:iCs/>
                <w:sz w:val="28"/>
                <w:szCs w:val="28"/>
                <w:lang w:eastAsia="lv-LV"/>
              </w:rPr>
            </w:pPr>
            <w:r w:rsidRPr="009F551B">
              <w:rPr>
                <w:rFonts w:cs="Times New Roman"/>
                <w:bCs/>
                <w:sz w:val="28"/>
                <w:szCs w:val="28"/>
              </w:rPr>
              <w:t>Projekts nerada ietekmi uz valsts vai pašvaldību budžetiem.</w:t>
            </w:r>
          </w:p>
        </w:tc>
      </w:tr>
    </w:tbl>
    <w:p w:rsidR="00AB036A" w:rsidRPr="009F551B" w:rsidRDefault="00AB036A">
      <w:pPr>
        <w:rPr>
          <w:rFonts w:cs="Times New Roman"/>
          <w:sz w:val="28"/>
          <w:szCs w:val="28"/>
        </w:rPr>
      </w:pPr>
      <w:bookmarkStart w:id="1" w:name="p54.1"/>
      <w:bookmarkStart w:id="2" w:name="p-468673"/>
      <w:bookmarkEnd w:id="1"/>
      <w:bookmarkEnd w:id="2"/>
    </w:p>
    <w:tbl>
      <w:tblPr>
        <w:tblW w:w="5248" w:type="pct"/>
        <w:tblInd w:w="-254"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0A0" w:firstRow="1" w:lastRow="0" w:firstColumn="1" w:lastColumn="0" w:noHBand="0" w:noVBand="0"/>
      </w:tblPr>
      <w:tblGrid>
        <w:gridCol w:w="425"/>
        <w:gridCol w:w="2552"/>
        <w:gridCol w:w="5810"/>
      </w:tblGrid>
      <w:tr w:rsidR="003420DB" w:rsidRPr="00627667" w:rsidTr="003420DB">
        <w:trPr>
          <w:trHeight w:val="450"/>
        </w:trPr>
        <w:tc>
          <w:tcPr>
            <w:tcW w:w="5000" w:type="pct"/>
            <w:gridSpan w:val="3"/>
            <w:tcBorders>
              <w:top w:val="outset" w:sz="6" w:space="0" w:color="414142"/>
              <w:bottom w:val="outset" w:sz="6" w:space="0" w:color="414142"/>
            </w:tcBorders>
            <w:vAlign w:val="center"/>
          </w:tcPr>
          <w:p w:rsidR="003420DB" w:rsidRPr="009F551B" w:rsidRDefault="003420DB" w:rsidP="003420DB">
            <w:pPr>
              <w:ind w:firstLine="300"/>
              <w:jc w:val="center"/>
              <w:rPr>
                <w:rFonts w:eastAsia="Calibri" w:cs="Times New Roman"/>
                <w:b/>
                <w:bCs/>
                <w:sz w:val="28"/>
                <w:szCs w:val="28"/>
                <w:lang w:eastAsia="lv-LV"/>
              </w:rPr>
            </w:pPr>
            <w:r w:rsidRPr="009F551B">
              <w:rPr>
                <w:rFonts w:eastAsia="Calibri" w:cs="Times New Roman"/>
                <w:b/>
                <w:bCs/>
                <w:sz w:val="28"/>
                <w:szCs w:val="28"/>
                <w:lang w:eastAsia="lv-LV"/>
              </w:rPr>
              <w:t>IV. Tiesību akta projekta ietekme uz spēkā esošo tiesību normu sistēmu</w:t>
            </w:r>
          </w:p>
        </w:tc>
      </w:tr>
      <w:tr w:rsidR="003420DB" w:rsidRPr="00627667" w:rsidTr="003846AC">
        <w:tc>
          <w:tcPr>
            <w:tcW w:w="242" w:type="pct"/>
            <w:tcBorders>
              <w:top w:val="outset" w:sz="6" w:space="0" w:color="414142"/>
              <w:bottom w:val="outset" w:sz="6" w:space="0" w:color="414142"/>
              <w:right w:val="outset" w:sz="6" w:space="0" w:color="414142"/>
            </w:tcBorders>
          </w:tcPr>
          <w:p w:rsidR="003420DB" w:rsidRPr="009F551B" w:rsidRDefault="003420DB" w:rsidP="003420DB">
            <w:pPr>
              <w:rPr>
                <w:rFonts w:eastAsia="Calibri" w:cs="Times New Roman"/>
                <w:sz w:val="28"/>
                <w:szCs w:val="28"/>
                <w:lang w:eastAsia="lv-LV"/>
              </w:rPr>
            </w:pPr>
            <w:r w:rsidRPr="009F551B">
              <w:rPr>
                <w:rFonts w:eastAsia="Calibri" w:cs="Times New Roman"/>
                <w:sz w:val="28"/>
                <w:szCs w:val="28"/>
                <w:lang w:eastAsia="lv-LV"/>
              </w:rPr>
              <w:t>1.</w:t>
            </w:r>
          </w:p>
        </w:tc>
        <w:tc>
          <w:tcPr>
            <w:tcW w:w="1452" w:type="pct"/>
            <w:tcBorders>
              <w:top w:val="outset" w:sz="6" w:space="0" w:color="414142"/>
              <w:left w:val="outset" w:sz="6" w:space="0" w:color="414142"/>
              <w:bottom w:val="outset" w:sz="6" w:space="0" w:color="414142"/>
              <w:right w:val="outset" w:sz="6" w:space="0" w:color="414142"/>
            </w:tcBorders>
          </w:tcPr>
          <w:p w:rsidR="003420DB" w:rsidRPr="009F551B" w:rsidRDefault="003420DB" w:rsidP="003420DB">
            <w:pPr>
              <w:rPr>
                <w:rFonts w:eastAsia="Calibri" w:cs="Times New Roman"/>
                <w:sz w:val="28"/>
                <w:szCs w:val="28"/>
                <w:lang w:eastAsia="lv-LV"/>
              </w:rPr>
            </w:pPr>
            <w:r w:rsidRPr="009F551B">
              <w:rPr>
                <w:rFonts w:eastAsia="Calibri" w:cs="Times New Roman"/>
                <w:sz w:val="28"/>
                <w:szCs w:val="28"/>
                <w:lang w:eastAsia="lv-LV"/>
              </w:rPr>
              <w:t>Nepieciešamie saistītie tiesību aktu projekti</w:t>
            </w:r>
          </w:p>
        </w:tc>
        <w:tc>
          <w:tcPr>
            <w:tcW w:w="3305" w:type="pct"/>
            <w:tcBorders>
              <w:top w:val="outset" w:sz="6" w:space="0" w:color="414142"/>
              <w:left w:val="outset" w:sz="6" w:space="0" w:color="414142"/>
              <w:bottom w:val="outset" w:sz="6" w:space="0" w:color="414142"/>
            </w:tcBorders>
          </w:tcPr>
          <w:p w:rsidR="003420DB" w:rsidRPr="009F551B" w:rsidRDefault="003420DB" w:rsidP="003420DB">
            <w:pPr>
              <w:jc w:val="both"/>
              <w:rPr>
                <w:rFonts w:eastAsia="Calibri" w:cs="Times New Roman"/>
                <w:sz w:val="28"/>
                <w:szCs w:val="28"/>
              </w:rPr>
            </w:pPr>
            <w:r w:rsidRPr="009F551B">
              <w:rPr>
                <w:rFonts w:eastAsia="Calibri" w:cs="Times New Roman"/>
                <w:sz w:val="28"/>
                <w:szCs w:val="28"/>
              </w:rPr>
              <w:t>Ņemot vērā, ka projektā ietvertais tiesiskais regulējums ir saistīts ar Ministru kabineta noteikumu projektu “Valsts pārbaudījumu informācijas sistēmas noteikumi”, projekts Ministru kabinetā jāizskata vienlaikus ar šajā sadaļā minēto normatīvā akta projektu.</w:t>
            </w:r>
          </w:p>
        </w:tc>
      </w:tr>
      <w:tr w:rsidR="003420DB" w:rsidRPr="00627667" w:rsidTr="003846AC">
        <w:tc>
          <w:tcPr>
            <w:tcW w:w="242" w:type="pct"/>
            <w:tcBorders>
              <w:top w:val="outset" w:sz="6" w:space="0" w:color="414142"/>
              <w:bottom w:val="outset" w:sz="6" w:space="0" w:color="414142"/>
              <w:right w:val="outset" w:sz="6" w:space="0" w:color="414142"/>
            </w:tcBorders>
          </w:tcPr>
          <w:p w:rsidR="003420DB" w:rsidRPr="009F551B" w:rsidRDefault="003420DB" w:rsidP="003420DB">
            <w:pPr>
              <w:rPr>
                <w:rFonts w:eastAsia="Calibri" w:cs="Times New Roman"/>
                <w:sz w:val="28"/>
                <w:szCs w:val="28"/>
                <w:lang w:eastAsia="lv-LV"/>
              </w:rPr>
            </w:pPr>
            <w:r w:rsidRPr="009F551B">
              <w:rPr>
                <w:rFonts w:eastAsia="Calibri" w:cs="Times New Roman"/>
                <w:sz w:val="28"/>
                <w:szCs w:val="28"/>
                <w:lang w:eastAsia="lv-LV"/>
              </w:rPr>
              <w:t>2.</w:t>
            </w:r>
          </w:p>
        </w:tc>
        <w:tc>
          <w:tcPr>
            <w:tcW w:w="1452" w:type="pct"/>
            <w:tcBorders>
              <w:top w:val="outset" w:sz="6" w:space="0" w:color="414142"/>
              <w:left w:val="outset" w:sz="6" w:space="0" w:color="414142"/>
              <w:bottom w:val="outset" w:sz="6" w:space="0" w:color="414142"/>
              <w:right w:val="outset" w:sz="6" w:space="0" w:color="414142"/>
            </w:tcBorders>
          </w:tcPr>
          <w:p w:rsidR="003420DB" w:rsidRPr="009F551B" w:rsidRDefault="003420DB" w:rsidP="003420DB">
            <w:pPr>
              <w:rPr>
                <w:rFonts w:eastAsia="Calibri" w:cs="Times New Roman"/>
                <w:sz w:val="28"/>
                <w:szCs w:val="28"/>
                <w:lang w:eastAsia="lv-LV"/>
              </w:rPr>
            </w:pPr>
            <w:r w:rsidRPr="009F551B">
              <w:rPr>
                <w:rFonts w:eastAsia="Calibri" w:cs="Times New Roman"/>
                <w:sz w:val="28"/>
                <w:szCs w:val="28"/>
                <w:lang w:eastAsia="lv-LV"/>
              </w:rPr>
              <w:t>Atbildīgā institūcija</w:t>
            </w:r>
          </w:p>
        </w:tc>
        <w:tc>
          <w:tcPr>
            <w:tcW w:w="3305" w:type="pct"/>
            <w:tcBorders>
              <w:top w:val="outset" w:sz="6" w:space="0" w:color="414142"/>
              <w:left w:val="outset" w:sz="6" w:space="0" w:color="414142"/>
              <w:bottom w:val="outset" w:sz="6" w:space="0" w:color="414142"/>
            </w:tcBorders>
          </w:tcPr>
          <w:p w:rsidR="003420DB" w:rsidRPr="009F551B" w:rsidRDefault="003420DB" w:rsidP="00FC019A">
            <w:pPr>
              <w:jc w:val="both"/>
              <w:rPr>
                <w:rFonts w:eastAsia="Calibri" w:cs="Times New Roman"/>
                <w:sz w:val="28"/>
                <w:szCs w:val="28"/>
                <w:lang w:eastAsia="lv-LV"/>
              </w:rPr>
            </w:pPr>
            <w:r w:rsidRPr="009F551B">
              <w:rPr>
                <w:rFonts w:eastAsia="Calibri" w:cs="Times New Roman"/>
                <w:sz w:val="28"/>
                <w:szCs w:val="28"/>
                <w:lang w:eastAsia="lv-LV"/>
              </w:rPr>
              <w:t>Izglītības un zinātnes ministrija, centrs.</w:t>
            </w:r>
          </w:p>
        </w:tc>
      </w:tr>
      <w:tr w:rsidR="003420DB" w:rsidRPr="00627667" w:rsidTr="003846AC">
        <w:tc>
          <w:tcPr>
            <w:tcW w:w="242" w:type="pct"/>
            <w:tcBorders>
              <w:top w:val="outset" w:sz="6" w:space="0" w:color="414142"/>
              <w:bottom w:val="outset" w:sz="6" w:space="0" w:color="414142"/>
              <w:right w:val="outset" w:sz="6" w:space="0" w:color="414142"/>
            </w:tcBorders>
          </w:tcPr>
          <w:p w:rsidR="003420DB" w:rsidRPr="009F551B" w:rsidRDefault="003420DB" w:rsidP="003420DB">
            <w:pPr>
              <w:rPr>
                <w:rFonts w:eastAsia="Calibri" w:cs="Times New Roman"/>
                <w:sz w:val="28"/>
                <w:szCs w:val="28"/>
                <w:lang w:eastAsia="lv-LV"/>
              </w:rPr>
            </w:pPr>
            <w:r w:rsidRPr="009F551B">
              <w:rPr>
                <w:rFonts w:eastAsia="Calibri" w:cs="Times New Roman"/>
                <w:sz w:val="28"/>
                <w:szCs w:val="28"/>
                <w:lang w:eastAsia="lv-LV"/>
              </w:rPr>
              <w:lastRenderedPageBreak/>
              <w:t>3.</w:t>
            </w:r>
          </w:p>
        </w:tc>
        <w:tc>
          <w:tcPr>
            <w:tcW w:w="1452" w:type="pct"/>
            <w:tcBorders>
              <w:top w:val="outset" w:sz="6" w:space="0" w:color="414142"/>
              <w:left w:val="outset" w:sz="6" w:space="0" w:color="414142"/>
              <w:bottom w:val="outset" w:sz="6" w:space="0" w:color="414142"/>
              <w:right w:val="outset" w:sz="6" w:space="0" w:color="414142"/>
            </w:tcBorders>
          </w:tcPr>
          <w:p w:rsidR="003420DB" w:rsidRPr="009F551B" w:rsidRDefault="003420DB" w:rsidP="003420DB">
            <w:pPr>
              <w:rPr>
                <w:rFonts w:eastAsia="Calibri" w:cs="Times New Roman"/>
                <w:sz w:val="28"/>
                <w:szCs w:val="28"/>
                <w:lang w:eastAsia="lv-LV"/>
              </w:rPr>
            </w:pPr>
            <w:r w:rsidRPr="009F551B">
              <w:rPr>
                <w:rFonts w:eastAsia="Calibri" w:cs="Times New Roman"/>
                <w:sz w:val="28"/>
                <w:szCs w:val="28"/>
                <w:lang w:eastAsia="lv-LV"/>
              </w:rPr>
              <w:t>Cita informācija</w:t>
            </w:r>
          </w:p>
        </w:tc>
        <w:tc>
          <w:tcPr>
            <w:tcW w:w="3305" w:type="pct"/>
            <w:tcBorders>
              <w:top w:val="outset" w:sz="6" w:space="0" w:color="414142"/>
              <w:left w:val="outset" w:sz="6" w:space="0" w:color="414142"/>
              <w:bottom w:val="outset" w:sz="6" w:space="0" w:color="414142"/>
            </w:tcBorders>
          </w:tcPr>
          <w:p w:rsidR="003420DB" w:rsidRPr="009F551B" w:rsidRDefault="003420DB" w:rsidP="003420DB">
            <w:pPr>
              <w:jc w:val="both"/>
              <w:rPr>
                <w:rFonts w:eastAsia="Calibri" w:cs="Times New Roman"/>
                <w:sz w:val="28"/>
                <w:szCs w:val="28"/>
                <w:lang w:eastAsia="lv-LV"/>
              </w:rPr>
            </w:pPr>
            <w:r w:rsidRPr="009F551B">
              <w:rPr>
                <w:rFonts w:eastAsia="Calibri" w:cs="Times New Roman"/>
                <w:sz w:val="28"/>
                <w:szCs w:val="28"/>
                <w:lang w:eastAsia="lv-LV"/>
              </w:rPr>
              <w:t>Nav.</w:t>
            </w:r>
          </w:p>
        </w:tc>
      </w:tr>
    </w:tbl>
    <w:p w:rsidR="003420DB" w:rsidRPr="009F551B" w:rsidRDefault="003420DB">
      <w:pPr>
        <w:rPr>
          <w:rFonts w:cs="Times New Roman"/>
          <w:sz w:val="28"/>
          <w:szCs w:val="28"/>
        </w:rPr>
      </w:pPr>
    </w:p>
    <w:tbl>
      <w:tblPr>
        <w:tblW w:w="8806"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000" w:firstRow="0" w:lastRow="0" w:firstColumn="0" w:lastColumn="0" w:noHBand="0" w:noVBand="0"/>
      </w:tblPr>
      <w:tblGrid>
        <w:gridCol w:w="8806"/>
      </w:tblGrid>
      <w:tr w:rsidR="005E15BC" w:rsidRPr="00627667" w:rsidDel="00AB036A" w:rsidTr="000F2136">
        <w:tc>
          <w:tcPr>
            <w:tcW w:w="8806" w:type="dxa"/>
            <w:shd w:val="clear" w:color="auto" w:fill="FFFFFF"/>
            <w:vAlign w:val="center"/>
          </w:tcPr>
          <w:p w:rsidR="005E15BC" w:rsidRPr="009F551B" w:rsidDel="00AB036A" w:rsidRDefault="005E15BC" w:rsidP="000F2136">
            <w:pPr>
              <w:jc w:val="center"/>
              <w:rPr>
                <w:rFonts w:cs="Times New Roman"/>
                <w:b/>
                <w:bCs/>
                <w:sz w:val="28"/>
                <w:szCs w:val="28"/>
              </w:rPr>
            </w:pPr>
            <w:r w:rsidRPr="009F551B" w:rsidDel="00AB036A">
              <w:rPr>
                <w:rFonts w:cs="Times New Roman"/>
                <w:b/>
                <w:bCs/>
                <w:sz w:val="28"/>
                <w:szCs w:val="28"/>
              </w:rPr>
              <w:t>V. Tiesību akta projekta atbilstība Latvijas Republikas starptautiskajām saistībām</w:t>
            </w:r>
          </w:p>
        </w:tc>
      </w:tr>
      <w:tr w:rsidR="005E15BC" w:rsidRPr="00627667" w:rsidDel="00AB036A" w:rsidTr="000F2136">
        <w:tc>
          <w:tcPr>
            <w:tcW w:w="8806" w:type="dxa"/>
            <w:shd w:val="clear" w:color="auto" w:fill="FFFFFF"/>
            <w:vAlign w:val="center"/>
          </w:tcPr>
          <w:p w:rsidR="005E15BC" w:rsidRPr="009F551B" w:rsidDel="00AB036A" w:rsidRDefault="005E15BC" w:rsidP="000F2136">
            <w:pPr>
              <w:jc w:val="center"/>
              <w:rPr>
                <w:rFonts w:cs="Times New Roman"/>
                <w:bCs/>
                <w:sz w:val="28"/>
                <w:szCs w:val="28"/>
              </w:rPr>
            </w:pPr>
            <w:r w:rsidRPr="009F551B" w:rsidDel="00AB036A">
              <w:rPr>
                <w:rFonts w:cs="Times New Roman"/>
                <w:bCs/>
                <w:sz w:val="28"/>
                <w:szCs w:val="28"/>
              </w:rPr>
              <w:t>Projekts šo jomu neskar.</w:t>
            </w:r>
          </w:p>
        </w:tc>
      </w:tr>
    </w:tbl>
    <w:p w:rsidR="005E15BC" w:rsidRPr="009F551B" w:rsidRDefault="005E15BC">
      <w:pPr>
        <w:rPr>
          <w:rFonts w:cs="Times New Roman"/>
          <w:sz w:val="28"/>
          <w:szCs w:val="28"/>
        </w:rPr>
      </w:pPr>
    </w:p>
    <w:tbl>
      <w:tblPr>
        <w:tblW w:w="878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000" w:firstRow="0" w:lastRow="0" w:firstColumn="0" w:lastColumn="0" w:noHBand="0" w:noVBand="0"/>
      </w:tblPr>
      <w:tblGrid>
        <w:gridCol w:w="426"/>
        <w:gridCol w:w="2552"/>
        <w:gridCol w:w="5811"/>
      </w:tblGrid>
      <w:tr w:rsidR="00080E9F" w:rsidRPr="00627667" w:rsidTr="003846AC">
        <w:tc>
          <w:tcPr>
            <w:tcW w:w="8789" w:type="dxa"/>
            <w:gridSpan w:val="3"/>
            <w:shd w:val="clear" w:color="auto" w:fill="FFFFFF"/>
          </w:tcPr>
          <w:p w:rsidR="00080E9F" w:rsidRPr="009F551B" w:rsidRDefault="00080E9F" w:rsidP="00080E9F">
            <w:pPr>
              <w:jc w:val="center"/>
              <w:rPr>
                <w:rFonts w:eastAsia="Times New Roman" w:cs="Times New Roman"/>
                <w:iCs/>
                <w:sz w:val="28"/>
                <w:szCs w:val="28"/>
                <w:lang w:eastAsia="lv-LV"/>
              </w:rPr>
            </w:pPr>
            <w:r w:rsidRPr="009F551B">
              <w:rPr>
                <w:rFonts w:eastAsia="Times New Roman" w:cs="Times New Roman"/>
                <w:b/>
                <w:bCs/>
                <w:sz w:val="28"/>
                <w:szCs w:val="28"/>
                <w:lang w:eastAsia="lv-LV"/>
              </w:rPr>
              <w:t>VI Sabiedrības līdzdalība un komunikācijas aktivitātes</w:t>
            </w:r>
          </w:p>
        </w:tc>
      </w:tr>
      <w:tr w:rsidR="00080E9F" w:rsidRPr="00627667" w:rsidTr="003846AC">
        <w:tc>
          <w:tcPr>
            <w:tcW w:w="426" w:type="dxa"/>
            <w:shd w:val="clear" w:color="auto" w:fill="FFFFFF"/>
          </w:tcPr>
          <w:p w:rsidR="00080E9F" w:rsidRPr="009F551B" w:rsidRDefault="00080E9F" w:rsidP="00080E9F">
            <w:pPr>
              <w:ind w:left="180" w:hanging="180"/>
              <w:jc w:val="center"/>
              <w:rPr>
                <w:rFonts w:eastAsia="Times New Roman" w:cs="Times New Roman"/>
                <w:sz w:val="28"/>
                <w:szCs w:val="28"/>
                <w:lang w:eastAsia="lv-LV"/>
              </w:rPr>
            </w:pPr>
            <w:r w:rsidRPr="009F551B">
              <w:rPr>
                <w:rFonts w:eastAsia="Times New Roman" w:cs="Times New Roman"/>
                <w:sz w:val="28"/>
                <w:szCs w:val="28"/>
                <w:lang w:eastAsia="lv-LV"/>
              </w:rPr>
              <w:t>1.</w:t>
            </w:r>
          </w:p>
        </w:tc>
        <w:tc>
          <w:tcPr>
            <w:tcW w:w="2552" w:type="dxa"/>
            <w:shd w:val="clear" w:color="auto" w:fill="FFFFFF"/>
          </w:tcPr>
          <w:p w:rsidR="00080E9F" w:rsidRPr="009F551B" w:rsidRDefault="00080E9F" w:rsidP="00080E9F">
            <w:pPr>
              <w:rPr>
                <w:rFonts w:eastAsia="Times New Roman" w:cs="Times New Roman"/>
                <w:sz w:val="28"/>
                <w:szCs w:val="28"/>
                <w:lang w:eastAsia="lv-LV"/>
              </w:rPr>
            </w:pPr>
            <w:r w:rsidRPr="009F551B">
              <w:rPr>
                <w:rFonts w:eastAsia="Times New Roman" w:cs="Times New Roman"/>
                <w:sz w:val="28"/>
                <w:szCs w:val="28"/>
                <w:lang w:eastAsia="lv-LV"/>
              </w:rPr>
              <w:t>Plānotās sabiedrības līdzdalības un komunikācijas aktivitātes saistībā ar projektu</w:t>
            </w:r>
          </w:p>
        </w:tc>
        <w:tc>
          <w:tcPr>
            <w:tcW w:w="5811" w:type="dxa"/>
            <w:shd w:val="clear" w:color="auto" w:fill="FFFFFF"/>
            <w:vAlign w:val="center"/>
          </w:tcPr>
          <w:p w:rsidR="00080E9F" w:rsidRPr="009F551B" w:rsidRDefault="00991F7C" w:rsidP="00BB2F77">
            <w:pPr>
              <w:jc w:val="both"/>
              <w:rPr>
                <w:rFonts w:eastAsia="Times New Roman" w:cs="Times New Roman"/>
                <w:b/>
                <w:bCs/>
                <w:sz w:val="28"/>
                <w:szCs w:val="28"/>
                <w:lang w:eastAsia="lv-LV"/>
              </w:rPr>
            </w:pPr>
            <w:r w:rsidRPr="009F551B">
              <w:rPr>
                <w:rFonts w:cs="Times New Roman"/>
                <w:sz w:val="28"/>
                <w:szCs w:val="28"/>
              </w:rPr>
              <w:t>Sabiedrības pārstāvji varēs līdzdarboties p</w:t>
            </w:r>
            <w:r w:rsidR="00BF21DB" w:rsidRPr="009F551B">
              <w:rPr>
                <w:rFonts w:cs="Times New Roman"/>
                <w:sz w:val="28"/>
                <w:szCs w:val="28"/>
              </w:rPr>
              <w:t xml:space="preserve">rojekta izstrādē, </w:t>
            </w:r>
            <w:r w:rsidRPr="009F551B">
              <w:rPr>
                <w:rFonts w:cs="Times New Roman"/>
                <w:sz w:val="28"/>
                <w:szCs w:val="28"/>
              </w:rPr>
              <w:t xml:space="preserve">rakstiski sniedzot viedokli par projektu pēc tā publiskošanas ministrijas tīmekļa vietnē internetā un </w:t>
            </w:r>
            <w:r w:rsidR="00BF21DB" w:rsidRPr="009F551B">
              <w:rPr>
                <w:rFonts w:cs="Times New Roman"/>
                <w:sz w:val="28"/>
                <w:szCs w:val="28"/>
              </w:rPr>
              <w:t xml:space="preserve">Ministru kabineta </w:t>
            </w:r>
            <w:r w:rsidRPr="009F551B">
              <w:rPr>
                <w:rFonts w:cs="Times New Roman"/>
                <w:sz w:val="28"/>
                <w:szCs w:val="28"/>
              </w:rPr>
              <w:t xml:space="preserve">tīmekļa vietnē </w:t>
            </w:r>
            <w:proofErr w:type="spellStart"/>
            <w:r w:rsidRPr="009F551B">
              <w:rPr>
                <w:rFonts w:cs="Times New Roman"/>
                <w:sz w:val="28"/>
                <w:szCs w:val="28"/>
              </w:rPr>
              <w:t>www.mk.gov.lv</w:t>
            </w:r>
            <w:proofErr w:type="spellEnd"/>
            <w:r w:rsidRPr="009F551B">
              <w:rPr>
                <w:rFonts w:cs="Times New Roman"/>
                <w:sz w:val="28"/>
                <w:szCs w:val="28"/>
              </w:rPr>
              <w:t>.</w:t>
            </w:r>
          </w:p>
        </w:tc>
      </w:tr>
      <w:tr w:rsidR="00080E9F" w:rsidRPr="00627667" w:rsidTr="003846AC">
        <w:tc>
          <w:tcPr>
            <w:tcW w:w="426" w:type="dxa"/>
            <w:shd w:val="clear" w:color="auto" w:fill="FFFFFF"/>
          </w:tcPr>
          <w:p w:rsidR="00080E9F" w:rsidRPr="009F551B" w:rsidRDefault="00080E9F" w:rsidP="00080E9F">
            <w:pPr>
              <w:ind w:left="180" w:hanging="180"/>
              <w:jc w:val="center"/>
              <w:rPr>
                <w:rFonts w:eastAsia="Times New Roman" w:cs="Times New Roman"/>
                <w:sz w:val="28"/>
                <w:szCs w:val="28"/>
                <w:lang w:eastAsia="lv-LV"/>
              </w:rPr>
            </w:pPr>
            <w:r w:rsidRPr="009F551B">
              <w:rPr>
                <w:rFonts w:eastAsia="Times New Roman" w:cs="Times New Roman"/>
                <w:sz w:val="28"/>
                <w:szCs w:val="28"/>
                <w:lang w:eastAsia="lv-LV"/>
              </w:rPr>
              <w:t>2.</w:t>
            </w:r>
          </w:p>
        </w:tc>
        <w:tc>
          <w:tcPr>
            <w:tcW w:w="2552" w:type="dxa"/>
            <w:shd w:val="clear" w:color="auto" w:fill="FFFFFF"/>
          </w:tcPr>
          <w:p w:rsidR="00080E9F" w:rsidRPr="009F551B" w:rsidRDefault="00080E9F" w:rsidP="00080E9F">
            <w:pPr>
              <w:rPr>
                <w:rFonts w:eastAsia="Times New Roman" w:cs="Times New Roman"/>
                <w:sz w:val="28"/>
                <w:szCs w:val="28"/>
                <w:lang w:eastAsia="lv-LV"/>
              </w:rPr>
            </w:pPr>
            <w:r w:rsidRPr="009F551B">
              <w:rPr>
                <w:rFonts w:eastAsia="Times New Roman" w:cs="Times New Roman"/>
                <w:sz w:val="28"/>
                <w:szCs w:val="28"/>
                <w:lang w:eastAsia="lv-LV"/>
              </w:rPr>
              <w:t>Sabiedrības līdzdalība projekta izstrādē</w:t>
            </w:r>
          </w:p>
        </w:tc>
        <w:tc>
          <w:tcPr>
            <w:tcW w:w="5811" w:type="dxa"/>
            <w:shd w:val="clear" w:color="auto" w:fill="FFFFFF"/>
            <w:vAlign w:val="center"/>
          </w:tcPr>
          <w:p w:rsidR="00991F7C" w:rsidRPr="009F551B" w:rsidRDefault="00991F7C" w:rsidP="00991F7C">
            <w:pPr>
              <w:jc w:val="both"/>
              <w:rPr>
                <w:rFonts w:eastAsia="Times New Roman" w:cs="Times New Roman"/>
                <w:sz w:val="28"/>
                <w:szCs w:val="28"/>
                <w:lang w:eastAsia="lv-LV"/>
              </w:rPr>
            </w:pPr>
            <w:r w:rsidRPr="009F551B">
              <w:rPr>
                <w:rFonts w:eastAsia="Times New Roman" w:cs="Times New Roman"/>
                <w:sz w:val="28"/>
                <w:szCs w:val="28"/>
                <w:lang w:eastAsia="lv-LV"/>
              </w:rPr>
              <w:t>Sabiedrības informēšanas pasākumi:</w:t>
            </w:r>
          </w:p>
          <w:p w:rsidR="00991F7C" w:rsidRPr="009F551B" w:rsidRDefault="00991F7C" w:rsidP="00991F7C">
            <w:pPr>
              <w:jc w:val="both"/>
              <w:rPr>
                <w:rFonts w:eastAsia="Times New Roman" w:cs="Times New Roman"/>
                <w:sz w:val="28"/>
                <w:szCs w:val="28"/>
                <w:lang w:eastAsia="lv-LV"/>
              </w:rPr>
            </w:pPr>
            <w:r w:rsidRPr="009F551B">
              <w:rPr>
                <w:rFonts w:eastAsia="Times New Roman" w:cs="Times New Roman"/>
                <w:sz w:val="28"/>
                <w:szCs w:val="28"/>
                <w:lang w:eastAsia="lv-LV"/>
              </w:rPr>
              <w:t xml:space="preserve">- </w:t>
            </w:r>
            <w:r w:rsidR="00073A36" w:rsidRPr="009F551B">
              <w:rPr>
                <w:rFonts w:eastAsia="Times New Roman" w:cs="Times New Roman"/>
                <w:sz w:val="28"/>
                <w:szCs w:val="28"/>
                <w:lang w:eastAsia="lv-LV"/>
              </w:rPr>
              <w:t xml:space="preserve">2018.gada 16.oktobrī </w:t>
            </w:r>
            <w:r w:rsidRPr="009F551B">
              <w:rPr>
                <w:rFonts w:eastAsia="Times New Roman" w:cs="Times New Roman"/>
                <w:sz w:val="28"/>
                <w:szCs w:val="28"/>
                <w:lang w:eastAsia="lv-LV"/>
              </w:rPr>
              <w:t>projekts</w:t>
            </w:r>
            <w:r w:rsidR="00AB036A" w:rsidRPr="009F551B">
              <w:rPr>
                <w:rFonts w:eastAsia="Times New Roman" w:cs="Times New Roman"/>
                <w:sz w:val="28"/>
                <w:szCs w:val="28"/>
                <w:lang w:eastAsia="lv-LV"/>
              </w:rPr>
              <w:t xml:space="preserve"> tika</w:t>
            </w:r>
            <w:r w:rsidRPr="009F551B">
              <w:rPr>
                <w:rFonts w:eastAsia="Times New Roman" w:cs="Times New Roman"/>
                <w:sz w:val="28"/>
                <w:szCs w:val="28"/>
                <w:lang w:eastAsia="lv-LV"/>
              </w:rPr>
              <w:t xml:space="preserve"> izskatīts novadu un republikas pilsētu izglītības speciālistu seminārā;</w:t>
            </w:r>
          </w:p>
          <w:p w:rsidR="00080E9F" w:rsidRDefault="00BF21DB" w:rsidP="0066310C">
            <w:pPr>
              <w:jc w:val="both"/>
              <w:rPr>
                <w:rFonts w:eastAsia="Times New Roman" w:cs="Times New Roman"/>
                <w:sz w:val="28"/>
                <w:szCs w:val="28"/>
                <w:lang w:eastAsia="lv-LV"/>
              </w:rPr>
            </w:pPr>
            <w:r w:rsidRPr="009F551B">
              <w:rPr>
                <w:rFonts w:eastAsia="Times New Roman" w:cs="Times New Roman"/>
                <w:sz w:val="28"/>
                <w:szCs w:val="28"/>
                <w:lang w:eastAsia="lv-LV"/>
              </w:rPr>
              <w:t xml:space="preserve">- </w:t>
            </w:r>
            <w:r w:rsidR="0066310C">
              <w:rPr>
                <w:rFonts w:eastAsia="Times New Roman" w:cs="Times New Roman"/>
                <w:sz w:val="28"/>
                <w:szCs w:val="28"/>
                <w:lang w:eastAsia="lv-LV"/>
              </w:rPr>
              <w:t>2019</w:t>
            </w:r>
            <w:r w:rsidR="00073A36" w:rsidRPr="009F551B">
              <w:rPr>
                <w:rFonts w:eastAsia="Times New Roman" w:cs="Times New Roman"/>
                <w:sz w:val="28"/>
                <w:szCs w:val="28"/>
                <w:lang w:eastAsia="lv-LV"/>
              </w:rPr>
              <w:t xml:space="preserve">.gada </w:t>
            </w:r>
            <w:r w:rsidR="0066310C">
              <w:rPr>
                <w:rFonts w:eastAsia="Times New Roman" w:cs="Times New Roman"/>
                <w:sz w:val="28"/>
                <w:szCs w:val="28"/>
                <w:lang w:eastAsia="lv-LV"/>
              </w:rPr>
              <w:t>8.janvārī</w:t>
            </w:r>
            <w:r w:rsidR="00073A36" w:rsidRPr="009F551B">
              <w:rPr>
                <w:rFonts w:eastAsia="Times New Roman" w:cs="Times New Roman"/>
                <w:sz w:val="28"/>
                <w:szCs w:val="28"/>
                <w:lang w:eastAsia="lv-LV"/>
              </w:rPr>
              <w:t xml:space="preserve"> </w:t>
            </w:r>
            <w:r w:rsidR="00991F7C" w:rsidRPr="009F551B">
              <w:rPr>
                <w:rFonts w:eastAsia="Times New Roman" w:cs="Times New Roman"/>
                <w:sz w:val="28"/>
                <w:szCs w:val="28"/>
                <w:lang w:eastAsia="lv-LV"/>
              </w:rPr>
              <w:t>projekts</w:t>
            </w:r>
            <w:r w:rsidR="00AB036A" w:rsidRPr="009F551B">
              <w:rPr>
                <w:rFonts w:eastAsia="Times New Roman" w:cs="Times New Roman"/>
                <w:sz w:val="28"/>
                <w:szCs w:val="28"/>
                <w:lang w:eastAsia="lv-LV"/>
              </w:rPr>
              <w:t xml:space="preserve"> tika</w:t>
            </w:r>
            <w:r w:rsidR="00991F7C" w:rsidRPr="009F551B">
              <w:rPr>
                <w:rFonts w:eastAsia="Times New Roman" w:cs="Times New Roman"/>
                <w:sz w:val="28"/>
                <w:szCs w:val="28"/>
                <w:lang w:eastAsia="lv-LV"/>
              </w:rPr>
              <w:t xml:space="preserve"> </w:t>
            </w:r>
            <w:r w:rsidR="00C45F57" w:rsidRPr="009F551B">
              <w:rPr>
                <w:rFonts w:eastAsia="Times New Roman" w:cs="Times New Roman"/>
                <w:sz w:val="28"/>
                <w:szCs w:val="28"/>
                <w:lang w:eastAsia="lv-LV"/>
              </w:rPr>
              <w:t>nosūtītai saskaņošanai arodbiedrībai</w:t>
            </w:r>
            <w:r w:rsidR="00991F7C" w:rsidRPr="009F551B">
              <w:rPr>
                <w:rFonts w:eastAsia="Times New Roman" w:cs="Times New Roman"/>
                <w:sz w:val="28"/>
                <w:szCs w:val="28"/>
                <w:lang w:eastAsia="lv-LV"/>
              </w:rPr>
              <w:t xml:space="preserve"> „Latvijas izglītības vadītā</w:t>
            </w:r>
            <w:r w:rsidR="00AB036A" w:rsidRPr="009F551B">
              <w:rPr>
                <w:rFonts w:eastAsia="Times New Roman" w:cs="Times New Roman"/>
                <w:sz w:val="28"/>
                <w:szCs w:val="28"/>
                <w:lang w:eastAsia="lv-LV"/>
              </w:rPr>
              <w:t>ju asociācija” (turpmāk – LIVA) un</w:t>
            </w:r>
            <w:r w:rsidR="00991F7C" w:rsidRPr="009F551B">
              <w:rPr>
                <w:rFonts w:eastAsia="Times New Roman" w:cs="Times New Roman"/>
                <w:sz w:val="28"/>
                <w:szCs w:val="28"/>
                <w:lang w:eastAsia="lv-LV"/>
              </w:rPr>
              <w:t xml:space="preserve"> Latvijas Izglītības un zinātnes darbinieku arodbiedrībai (turpmāk – LIZDA), </w:t>
            </w:r>
            <w:r w:rsidR="00AB036A" w:rsidRPr="009F551B">
              <w:rPr>
                <w:rFonts w:eastAsia="Times New Roman" w:cs="Times New Roman"/>
                <w:sz w:val="28"/>
                <w:szCs w:val="28"/>
                <w:lang w:eastAsia="lv-LV"/>
              </w:rPr>
              <w:t>kā arī</w:t>
            </w:r>
            <w:r w:rsidR="00991F7C" w:rsidRPr="009F551B">
              <w:rPr>
                <w:rFonts w:eastAsia="Times New Roman" w:cs="Times New Roman"/>
                <w:sz w:val="28"/>
                <w:szCs w:val="28"/>
                <w:lang w:eastAsia="lv-LV"/>
              </w:rPr>
              <w:t xml:space="preserve"> Latvijas Rektoru Padomei (turpmāk – LRP)</w:t>
            </w:r>
            <w:r w:rsidR="00AB036A" w:rsidRPr="009F551B">
              <w:rPr>
                <w:rFonts w:eastAsia="Times New Roman" w:cs="Times New Roman"/>
                <w:sz w:val="28"/>
                <w:szCs w:val="28"/>
                <w:lang w:eastAsia="lv-LV"/>
              </w:rPr>
              <w:t>.</w:t>
            </w:r>
          </w:p>
          <w:p w:rsidR="00C45F57" w:rsidRPr="009F551B" w:rsidRDefault="0095310B" w:rsidP="0066310C">
            <w:pPr>
              <w:jc w:val="both"/>
              <w:rPr>
                <w:rFonts w:eastAsia="Times New Roman" w:cs="Times New Roman"/>
                <w:sz w:val="28"/>
                <w:szCs w:val="28"/>
                <w:lang w:eastAsia="lv-LV"/>
              </w:rPr>
            </w:pPr>
            <w:r>
              <w:rPr>
                <w:rFonts w:eastAsia="Times New Roman" w:cs="Times New Roman"/>
                <w:sz w:val="28"/>
                <w:szCs w:val="28"/>
                <w:lang w:eastAsia="lv-LV"/>
              </w:rPr>
              <w:t>Projekts 2019. gada 26</w:t>
            </w:r>
            <w:r w:rsidR="00C45F57">
              <w:rPr>
                <w:rFonts w:eastAsia="Times New Roman" w:cs="Times New Roman"/>
                <w:sz w:val="28"/>
                <w:szCs w:val="28"/>
                <w:lang w:eastAsia="lv-LV"/>
              </w:rPr>
              <w:t>. martā publiskots ministrijas tīmekļa vietnē.</w:t>
            </w:r>
          </w:p>
        </w:tc>
      </w:tr>
      <w:tr w:rsidR="00080E9F" w:rsidRPr="00627667" w:rsidTr="003846AC">
        <w:tc>
          <w:tcPr>
            <w:tcW w:w="426" w:type="dxa"/>
            <w:shd w:val="clear" w:color="auto" w:fill="FFFFFF"/>
          </w:tcPr>
          <w:p w:rsidR="00080E9F" w:rsidRPr="009F551B" w:rsidRDefault="00080E9F" w:rsidP="00080E9F">
            <w:pPr>
              <w:ind w:left="180" w:hanging="180"/>
              <w:jc w:val="center"/>
              <w:rPr>
                <w:rFonts w:eastAsia="Times New Roman" w:cs="Times New Roman"/>
                <w:sz w:val="28"/>
                <w:szCs w:val="28"/>
                <w:lang w:eastAsia="lv-LV"/>
              </w:rPr>
            </w:pPr>
            <w:r w:rsidRPr="009F551B">
              <w:rPr>
                <w:rFonts w:eastAsia="Times New Roman" w:cs="Times New Roman"/>
                <w:sz w:val="28"/>
                <w:szCs w:val="28"/>
                <w:lang w:eastAsia="lv-LV"/>
              </w:rPr>
              <w:t>3.</w:t>
            </w:r>
          </w:p>
        </w:tc>
        <w:tc>
          <w:tcPr>
            <w:tcW w:w="2552" w:type="dxa"/>
            <w:shd w:val="clear" w:color="auto" w:fill="FFFFFF"/>
          </w:tcPr>
          <w:p w:rsidR="00080E9F" w:rsidRPr="009F551B" w:rsidRDefault="00080E9F" w:rsidP="00080E9F">
            <w:pPr>
              <w:rPr>
                <w:rFonts w:eastAsia="Times New Roman" w:cs="Times New Roman"/>
                <w:sz w:val="28"/>
                <w:szCs w:val="28"/>
                <w:lang w:eastAsia="lv-LV"/>
              </w:rPr>
            </w:pPr>
            <w:r w:rsidRPr="009F551B">
              <w:rPr>
                <w:rFonts w:eastAsia="Times New Roman" w:cs="Times New Roman"/>
                <w:sz w:val="28"/>
                <w:szCs w:val="28"/>
                <w:lang w:eastAsia="lv-LV"/>
              </w:rPr>
              <w:t>Sabiedrības līdzdalības rezultāti</w:t>
            </w:r>
          </w:p>
        </w:tc>
        <w:tc>
          <w:tcPr>
            <w:tcW w:w="5811" w:type="dxa"/>
            <w:shd w:val="clear" w:color="auto" w:fill="FFFFFF"/>
            <w:vAlign w:val="center"/>
          </w:tcPr>
          <w:p w:rsidR="00727CBD" w:rsidRDefault="00DF622F" w:rsidP="00080E9F">
            <w:pPr>
              <w:jc w:val="both"/>
              <w:rPr>
                <w:rFonts w:eastAsia="Times New Roman" w:cs="Times New Roman"/>
                <w:sz w:val="28"/>
                <w:szCs w:val="28"/>
                <w:lang w:eastAsia="lv-LV"/>
              </w:rPr>
            </w:pPr>
            <w:r>
              <w:rPr>
                <w:rFonts w:eastAsia="Times New Roman" w:cs="Times New Roman"/>
                <w:sz w:val="28"/>
                <w:szCs w:val="28"/>
                <w:lang w:eastAsia="lv-LV"/>
              </w:rPr>
              <w:t>LIVA, LIZDA un LRP atbalsta projekta tālāko virzību</w:t>
            </w:r>
            <w:r w:rsidR="00695D8B">
              <w:rPr>
                <w:rFonts w:eastAsia="Times New Roman" w:cs="Times New Roman"/>
                <w:sz w:val="28"/>
                <w:szCs w:val="28"/>
                <w:lang w:eastAsia="lv-LV"/>
              </w:rPr>
              <w:t>.</w:t>
            </w:r>
          </w:p>
          <w:p w:rsidR="00C45F57" w:rsidRPr="009F551B" w:rsidRDefault="00C45F57" w:rsidP="00080E9F">
            <w:pPr>
              <w:jc w:val="both"/>
              <w:rPr>
                <w:rFonts w:eastAsia="Times New Roman" w:cs="Times New Roman"/>
                <w:sz w:val="28"/>
                <w:szCs w:val="28"/>
                <w:lang w:eastAsia="lv-LV"/>
              </w:rPr>
            </w:pPr>
            <w:r>
              <w:rPr>
                <w:rFonts w:eastAsia="Times New Roman" w:cs="Times New Roman"/>
                <w:sz w:val="28"/>
                <w:szCs w:val="28"/>
                <w:lang w:eastAsia="lv-LV"/>
              </w:rPr>
              <w:t>Sadaļa tiks papildināta pēc projekta publiskās</w:t>
            </w:r>
            <w:r w:rsidR="004023DD">
              <w:rPr>
                <w:rFonts w:eastAsia="Times New Roman" w:cs="Times New Roman"/>
                <w:sz w:val="28"/>
                <w:szCs w:val="28"/>
                <w:lang w:eastAsia="lv-LV"/>
              </w:rPr>
              <w:t xml:space="preserve"> </w:t>
            </w:r>
            <w:r>
              <w:rPr>
                <w:rFonts w:eastAsia="Times New Roman" w:cs="Times New Roman"/>
                <w:sz w:val="28"/>
                <w:szCs w:val="28"/>
                <w:lang w:eastAsia="lv-LV"/>
              </w:rPr>
              <w:t>apspriešanas</w:t>
            </w:r>
            <w:r w:rsidR="004023DD">
              <w:rPr>
                <w:rFonts w:eastAsia="Times New Roman" w:cs="Times New Roman"/>
                <w:sz w:val="28"/>
                <w:szCs w:val="28"/>
                <w:lang w:eastAsia="lv-LV"/>
              </w:rPr>
              <w:t>.</w:t>
            </w:r>
          </w:p>
        </w:tc>
      </w:tr>
      <w:tr w:rsidR="00080E9F" w:rsidRPr="00627667" w:rsidTr="003846AC">
        <w:tc>
          <w:tcPr>
            <w:tcW w:w="426" w:type="dxa"/>
            <w:shd w:val="clear" w:color="auto" w:fill="FFFFFF"/>
          </w:tcPr>
          <w:p w:rsidR="00080E9F" w:rsidRPr="009F551B" w:rsidRDefault="00080E9F" w:rsidP="00080E9F">
            <w:pPr>
              <w:ind w:left="180" w:hanging="180"/>
              <w:jc w:val="center"/>
              <w:rPr>
                <w:rFonts w:eastAsia="Times New Roman" w:cs="Times New Roman"/>
                <w:sz w:val="28"/>
                <w:szCs w:val="28"/>
                <w:lang w:eastAsia="lv-LV"/>
              </w:rPr>
            </w:pPr>
            <w:r w:rsidRPr="009F551B">
              <w:rPr>
                <w:rFonts w:eastAsia="Times New Roman" w:cs="Times New Roman"/>
                <w:sz w:val="28"/>
                <w:szCs w:val="28"/>
                <w:lang w:eastAsia="lv-LV"/>
              </w:rPr>
              <w:t>4.</w:t>
            </w:r>
          </w:p>
        </w:tc>
        <w:tc>
          <w:tcPr>
            <w:tcW w:w="2552" w:type="dxa"/>
            <w:shd w:val="clear" w:color="auto" w:fill="FFFFFF"/>
          </w:tcPr>
          <w:p w:rsidR="00080E9F" w:rsidRPr="009F551B" w:rsidRDefault="00080E9F" w:rsidP="00080E9F">
            <w:pPr>
              <w:rPr>
                <w:rFonts w:eastAsia="Times New Roman" w:cs="Times New Roman"/>
                <w:sz w:val="28"/>
                <w:szCs w:val="28"/>
                <w:lang w:eastAsia="lv-LV"/>
              </w:rPr>
            </w:pPr>
            <w:r w:rsidRPr="009F551B">
              <w:rPr>
                <w:rFonts w:eastAsia="Times New Roman" w:cs="Times New Roman"/>
                <w:sz w:val="28"/>
                <w:szCs w:val="28"/>
                <w:lang w:eastAsia="lv-LV"/>
              </w:rPr>
              <w:t>Cita informācija</w:t>
            </w:r>
          </w:p>
        </w:tc>
        <w:tc>
          <w:tcPr>
            <w:tcW w:w="5811" w:type="dxa"/>
            <w:shd w:val="clear" w:color="auto" w:fill="FFFFFF"/>
          </w:tcPr>
          <w:p w:rsidR="00080E9F" w:rsidRPr="009F551B" w:rsidRDefault="00080E9F" w:rsidP="00080E9F">
            <w:pPr>
              <w:rPr>
                <w:rFonts w:eastAsia="Times New Roman" w:cs="Times New Roman"/>
                <w:iCs/>
                <w:sz w:val="28"/>
                <w:szCs w:val="28"/>
                <w:lang w:eastAsia="lv-LV"/>
              </w:rPr>
            </w:pPr>
            <w:r w:rsidRPr="009F551B">
              <w:rPr>
                <w:rFonts w:eastAsia="Times New Roman" w:cs="Times New Roman"/>
                <w:iCs/>
                <w:sz w:val="28"/>
                <w:szCs w:val="28"/>
                <w:lang w:eastAsia="lv-LV"/>
              </w:rPr>
              <w:t>Nav.</w:t>
            </w:r>
          </w:p>
        </w:tc>
      </w:tr>
    </w:tbl>
    <w:p w:rsidR="00080E9F" w:rsidRPr="009F551B" w:rsidRDefault="00080E9F">
      <w:pPr>
        <w:rPr>
          <w:rFonts w:cs="Times New Roman"/>
          <w:sz w:val="28"/>
          <w:szCs w:val="28"/>
        </w:rPr>
      </w:pPr>
    </w:p>
    <w:tbl>
      <w:tblPr>
        <w:tblW w:w="8806"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000" w:firstRow="0" w:lastRow="0" w:firstColumn="0" w:lastColumn="0" w:noHBand="0" w:noVBand="0"/>
      </w:tblPr>
      <w:tblGrid>
        <w:gridCol w:w="426"/>
        <w:gridCol w:w="2552"/>
        <w:gridCol w:w="5828"/>
      </w:tblGrid>
      <w:tr w:rsidR="00080E9F" w:rsidRPr="00627667" w:rsidTr="00301F83">
        <w:tc>
          <w:tcPr>
            <w:tcW w:w="8806" w:type="dxa"/>
            <w:gridSpan w:val="3"/>
            <w:shd w:val="clear" w:color="auto" w:fill="FFFFFF"/>
          </w:tcPr>
          <w:p w:rsidR="00080E9F" w:rsidRPr="009F551B" w:rsidRDefault="00080E9F" w:rsidP="00080E9F">
            <w:pPr>
              <w:jc w:val="center"/>
              <w:rPr>
                <w:rFonts w:eastAsia="Times New Roman" w:cs="Times New Roman"/>
                <w:iCs/>
                <w:sz w:val="28"/>
                <w:szCs w:val="28"/>
                <w:lang w:eastAsia="lv-LV"/>
              </w:rPr>
            </w:pPr>
            <w:r w:rsidRPr="009F551B">
              <w:rPr>
                <w:rFonts w:eastAsia="Times New Roman" w:cs="Times New Roman"/>
                <w:b/>
                <w:bCs/>
                <w:sz w:val="28"/>
                <w:szCs w:val="28"/>
                <w:lang w:eastAsia="lv-LV"/>
              </w:rPr>
              <w:t>VII Tiesību akta projekta izpildes nodrošināšana un tās ietekme uz institūcijām</w:t>
            </w:r>
          </w:p>
        </w:tc>
      </w:tr>
      <w:tr w:rsidR="00080E9F" w:rsidRPr="00627667" w:rsidTr="003846AC">
        <w:tc>
          <w:tcPr>
            <w:tcW w:w="426" w:type="dxa"/>
            <w:shd w:val="clear" w:color="auto" w:fill="FFFFFF"/>
          </w:tcPr>
          <w:p w:rsidR="00080E9F" w:rsidRPr="009F551B" w:rsidRDefault="00080E9F" w:rsidP="00080E9F">
            <w:pPr>
              <w:ind w:left="181" w:hanging="181"/>
              <w:jc w:val="center"/>
              <w:rPr>
                <w:rFonts w:eastAsia="Times New Roman" w:cs="Times New Roman"/>
                <w:bCs/>
                <w:sz w:val="28"/>
                <w:szCs w:val="28"/>
                <w:lang w:eastAsia="lv-LV"/>
              </w:rPr>
            </w:pPr>
            <w:r w:rsidRPr="009F551B">
              <w:rPr>
                <w:rFonts w:eastAsia="Times New Roman" w:cs="Times New Roman"/>
                <w:bCs/>
                <w:sz w:val="28"/>
                <w:szCs w:val="28"/>
                <w:lang w:eastAsia="lv-LV"/>
              </w:rPr>
              <w:t>1.</w:t>
            </w:r>
          </w:p>
        </w:tc>
        <w:tc>
          <w:tcPr>
            <w:tcW w:w="2552" w:type="dxa"/>
            <w:shd w:val="clear" w:color="auto" w:fill="FFFFFF"/>
          </w:tcPr>
          <w:p w:rsidR="00080E9F" w:rsidRPr="009F551B" w:rsidRDefault="00080E9F" w:rsidP="00080E9F">
            <w:pPr>
              <w:rPr>
                <w:rFonts w:eastAsia="Times New Roman" w:cs="Times New Roman"/>
                <w:sz w:val="28"/>
                <w:szCs w:val="28"/>
                <w:lang w:eastAsia="lv-LV"/>
              </w:rPr>
            </w:pPr>
            <w:r w:rsidRPr="009F551B">
              <w:rPr>
                <w:rFonts w:eastAsia="Times New Roman" w:cs="Times New Roman"/>
                <w:sz w:val="28"/>
                <w:szCs w:val="28"/>
                <w:lang w:eastAsia="lv-LV"/>
              </w:rPr>
              <w:t xml:space="preserve">Projekta izpildē iesaistītās institūcijas </w:t>
            </w:r>
          </w:p>
        </w:tc>
        <w:tc>
          <w:tcPr>
            <w:tcW w:w="5828" w:type="dxa"/>
            <w:shd w:val="clear" w:color="auto" w:fill="FFFFFF"/>
          </w:tcPr>
          <w:p w:rsidR="00080E9F" w:rsidRPr="009F551B" w:rsidRDefault="0062105D" w:rsidP="00080E9F">
            <w:pPr>
              <w:jc w:val="both"/>
              <w:rPr>
                <w:rFonts w:eastAsia="Times New Roman" w:cs="Times New Roman"/>
                <w:bCs/>
                <w:sz w:val="28"/>
                <w:szCs w:val="28"/>
                <w:lang w:eastAsia="lv-LV"/>
              </w:rPr>
            </w:pPr>
            <w:r w:rsidRPr="009F551B">
              <w:rPr>
                <w:rFonts w:eastAsia="Times New Roman" w:cs="Times New Roman"/>
                <w:bCs/>
                <w:iCs/>
                <w:sz w:val="28"/>
                <w:szCs w:val="28"/>
                <w:lang w:eastAsia="lv-LV"/>
              </w:rPr>
              <w:t>Izglītības iestādes – 443</w:t>
            </w:r>
            <w:r w:rsidR="00080E9F" w:rsidRPr="009F551B">
              <w:rPr>
                <w:rFonts w:eastAsia="Times New Roman" w:cs="Times New Roman"/>
                <w:bCs/>
                <w:iCs/>
                <w:sz w:val="28"/>
                <w:szCs w:val="28"/>
                <w:lang w:eastAsia="lv-LV"/>
              </w:rPr>
              <w:t>, kuras īsteno vispārējās pamatizglītības programmas, vispārējās vidējās izglītības programmas, profesionālās vidējās izglītības un arodizglītības programmas, p</w:t>
            </w:r>
            <w:r w:rsidR="00080E9F" w:rsidRPr="009F551B">
              <w:rPr>
                <w:rFonts w:eastAsia="Times New Roman" w:cs="Times New Roman"/>
                <w:bCs/>
                <w:sz w:val="28"/>
                <w:szCs w:val="28"/>
                <w:lang w:eastAsia="lv-LV"/>
              </w:rPr>
              <w:t>ašvaldības izglītības speciālisti vai izglītības pārvaldes iestādes – 109, augstākās izg</w:t>
            </w:r>
            <w:r w:rsidR="00701399">
              <w:rPr>
                <w:rFonts w:eastAsia="Times New Roman" w:cs="Times New Roman"/>
                <w:bCs/>
                <w:sz w:val="28"/>
                <w:szCs w:val="28"/>
                <w:lang w:eastAsia="lv-LV"/>
              </w:rPr>
              <w:t>lītības iestādes – 4, ar kurām c</w:t>
            </w:r>
            <w:r w:rsidR="00080E9F" w:rsidRPr="009F551B">
              <w:rPr>
                <w:rFonts w:eastAsia="Times New Roman" w:cs="Times New Roman"/>
                <w:bCs/>
                <w:sz w:val="28"/>
                <w:szCs w:val="28"/>
                <w:lang w:eastAsia="lv-LV"/>
              </w:rPr>
              <w:t>entrs ir noslēdzis līgumu par valsts pārbaudījumu norises organizēšanu</w:t>
            </w:r>
            <w:r w:rsidR="00701399">
              <w:rPr>
                <w:rFonts w:eastAsia="Times New Roman" w:cs="Times New Roman"/>
                <w:bCs/>
                <w:sz w:val="28"/>
                <w:szCs w:val="28"/>
                <w:lang w:eastAsia="lv-LV"/>
              </w:rPr>
              <w:t>, centrs.</w:t>
            </w:r>
          </w:p>
        </w:tc>
      </w:tr>
      <w:tr w:rsidR="00080E9F" w:rsidRPr="00627667" w:rsidTr="003846AC">
        <w:tc>
          <w:tcPr>
            <w:tcW w:w="426" w:type="dxa"/>
            <w:shd w:val="clear" w:color="auto" w:fill="FFFFFF"/>
          </w:tcPr>
          <w:p w:rsidR="00080E9F" w:rsidRPr="009F551B" w:rsidRDefault="00080E9F" w:rsidP="00080E9F">
            <w:pPr>
              <w:jc w:val="center"/>
              <w:rPr>
                <w:rFonts w:eastAsia="Times New Roman" w:cs="Times New Roman"/>
                <w:bCs/>
                <w:sz w:val="28"/>
                <w:szCs w:val="28"/>
                <w:lang w:eastAsia="lv-LV"/>
              </w:rPr>
            </w:pPr>
            <w:r w:rsidRPr="009F551B">
              <w:rPr>
                <w:rFonts w:eastAsia="Times New Roman" w:cs="Times New Roman"/>
                <w:bCs/>
                <w:sz w:val="28"/>
                <w:szCs w:val="28"/>
                <w:lang w:eastAsia="lv-LV"/>
              </w:rPr>
              <w:lastRenderedPageBreak/>
              <w:t>2.</w:t>
            </w:r>
          </w:p>
        </w:tc>
        <w:tc>
          <w:tcPr>
            <w:tcW w:w="2552" w:type="dxa"/>
            <w:shd w:val="clear" w:color="auto" w:fill="FFFFFF"/>
          </w:tcPr>
          <w:p w:rsidR="00080E9F" w:rsidRPr="009F551B" w:rsidRDefault="00080E9F" w:rsidP="00080E9F">
            <w:pPr>
              <w:rPr>
                <w:rFonts w:eastAsia="Times New Roman" w:cs="Times New Roman"/>
                <w:sz w:val="28"/>
                <w:szCs w:val="28"/>
                <w:lang w:eastAsia="lv-LV"/>
              </w:rPr>
            </w:pPr>
            <w:r w:rsidRPr="009F551B">
              <w:rPr>
                <w:rFonts w:eastAsia="Times New Roman" w:cs="Times New Roman"/>
                <w:sz w:val="28"/>
                <w:szCs w:val="28"/>
                <w:lang w:eastAsia="lv-LV"/>
              </w:rPr>
              <w:t>Projekta izpildes ietekme uz pārvaldes funkcijām un institucionālo struktūru.</w:t>
            </w:r>
          </w:p>
          <w:p w:rsidR="00080E9F" w:rsidRPr="009F551B" w:rsidRDefault="00080E9F" w:rsidP="00080E9F">
            <w:pPr>
              <w:rPr>
                <w:rFonts w:eastAsia="Times New Roman" w:cs="Times New Roman"/>
                <w:sz w:val="28"/>
                <w:szCs w:val="28"/>
                <w:lang w:eastAsia="lv-LV"/>
              </w:rPr>
            </w:pPr>
            <w:r w:rsidRPr="009F551B">
              <w:rPr>
                <w:rFonts w:eastAsia="Times New Roman" w:cs="Times New Roman"/>
                <w:sz w:val="28"/>
                <w:szCs w:val="28"/>
                <w:lang w:eastAsia="lv-LV"/>
              </w:rPr>
              <w:t>Jaunu institūciju izveide, esošu institūciju likvidācija vai reorganizācija, to ietekme uz institūcijas cilvēkresursiem</w:t>
            </w:r>
          </w:p>
        </w:tc>
        <w:tc>
          <w:tcPr>
            <w:tcW w:w="5828" w:type="dxa"/>
            <w:shd w:val="clear" w:color="auto" w:fill="FFFFFF"/>
          </w:tcPr>
          <w:p w:rsidR="00080E9F" w:rsidRPr="009F551B" w:rsidRDefault="00080E9F" w:rsidP="00080E9F">
            <w:pPr>
              <w:jc w:val="both"/>
              <w:rPr>
                <w:rFonts w:eastAsia="Times New Roman" w:cs="Times New Roman"/>
                <w:bCs/>
                <w:sz w:val="28"/>
                <w:szCs w:val="28"/>
                <w:lang w:eastAsia="lv-LV"/>
              </w:rPr>
            </w:pPr>
            <w:r w:rsidRPr="009F551B">
              <w:rPr>
                <w:rFonts w:eastAsia="Times New Roman" w:cs="Times New Roman"/>
                <w:bCs/>
                <w:iCs/>
                <w:sz w:val="28"/>
                <w:szCs w:val="28"/>
                <w:lang w:eastAsia="lv-LV"/>
              </w:rPr>
              <w:t>Projekta izpilde nepaplašina un nesašaurina iesaistīto institūciju funkcijas.</w:t>
            </w:r>
          </w:p>
          <w:p w:rsidR="00080E9F" w:rsidRPr="009F551B" w:rsidRDefault="00080E9F" w:rsidP="00080E9F">
            <w:pPr>
              <w:jc w:val="both"/>
              <w:rPr>
                <w:rFonts w:eastAsia="Times New Roman" w:cs="Times New Roman"/>
                <w:bCs/>
                <w:sz w:val="28"/>
                <w:szCs w:val="28"/>
                <w:lang w:eastAsia="lv-LV"/>
              </w:rPr>
            </w:pPr>
            <w:r w:rsidRPr="009F551B">
              <w:rPr>
                <w:rFonts w:eastAsia="Times New Roman" w:cs="Times New Roman"/>
                <w:sz w:val="28"/>
                <w:szCs w:val="28"/>
                <w:lang w:eastAsia="lv-LV"/>
              </w:rPr>
              <w:t>Projekta izpilde tiks nodrošināta esošo institūciju ietvaros.</w:t>
            </w:r>
          </w:p>
        </w:tc>
      </w:tr>
      <w:tr w:rsidR="00080E9F" w:rsidRPr="00627667" w:rsidTr="003846AC">
        <w:tc>
          <w:tcPr>
            <w:tcW w:w="426" w:type="dxa"/>
            <w:tcBorders>
              <w:bottom w:val="single" w:sz="4" w:space="0" w:color="000000" w:themeColor="text1"/>
            </w:tcBorders>
            <w:shd w:val="clear" w:color="auto" w:fill="FFFFFF"/>
          </w:tcPr>
          <w:p w:rsidR="00080E9F" w:rsidRPr="009F551B" w:rsidRDefault="00080E9F" w:rsidP="00080E9F">
            <w:pPr>
              <w:jc w:val="center"/>
              <w:rPr>
                <w:rFonts w:eastAsia="Times New Roman" w:cs="Times New Roman"/>
                <w:sz w:val="28"/>
                <w:szCs w:val="28"/>
                <w:lang w:eastAsia="lv-LV"/>
              </w:rPr>
            </w:pPr>
            <w:r w:rsidRPr="009F551B">
              <w:rPr>
                <w:rFonts w:eastAsia="Times New Roman" w:cs="Times New Roman"/>
                <w:sz w:val="28"/>
                <w:szCs w:val="28"/>
                <w:lang w:eastAsia="lv-LV"/>
              </w:rPr>
              <w:t>3.</w:t>
            </w:r>
          </w:p>
        </w:tc>
        <w:tc>
          <w:tcPr>
            <w:tcW w:w="2552" w:type="dxa"/>
            <w:tcBorders>
              <w:bottom w:val="single" w:sz="4" w:space="0" w:color="000000" w:themeColor="text1"/>
            </w:tcBorders>
            <w:shd w:val="clear" w:color="auto" w:fill="FFFFFF"/>
          </w:tcPr>
          <w:p w:rsidR="00080E9F" w:rsidRPr="009F551B" w:rsidRDefault="00080E9F" w:rsidP="00080E9F">
            <w:pPr>
              <w:rPr>
                <w:rFonts w:eastAsia="Times New Roman" w:cs="Times New Roman"/>
                <w:sz w:val="28"/>
                <w:szCs w:val="28"/>
                <w:lang w:eastAsia="lv-LV"/>
              </w:rPr>
            </w:pPr>
            <w:r w:rsidRPr="009F551B">
              <w:rPr>
                <w:rFonts w:eastAsia="Times New Roman" w:cs="Times New Roman"/>
                <w:sz w:val="28"/>
                <w:szCs w:val="28"/>
                <w:lang w:eastAsia="lv-LV"/>
              </w:rPr>
              <w:t>Cita informācija.</w:t>
            </w:r>
          </w:p>
        </w:tc>
        <w:tc>
          <w:tcPr>
            <w:tcW w:w="5828" w:type="dxa"/>
            <w:shd w:val="clear" w:color="auto" w:fill="FFFFFF"/>
          </w:tcPr>
          <w:p w:rsidR="00080E9F" w:rsidRPr="009F551B" w:rsidRDefault="00080E9F" w:rsidP="00080E9F">
            <w:pPr>
              <w:jc w:val="both"/>
              <w:rPr>
                <w:rFonts w:eastAsia="Times New Roman" w:cs="Times New Roman"/>
                <w:sz w:val="28"/>
                <w:szCs w:val="28"/>
                <w:lang w:eastAsia="lv-LV"/>
              </w:rPr>
            </w:pPr>
            <w:r w:rsidRPr="009F551B">
              <w:rPr>
                <w:rFonts w:eastAsia="Times New Roman" w:cs="Times New Roman"/>
                <w:sz w:val="28"/>
                <w:szCs w:val="28"/>
                <w:lang w:eastAsia="lv-LV"/>
              </w:rPr>
              <w:t>Nav</w:t>
            </w:r>
            <w:r w:rsidR="00B3497C" w:rsidRPr="009F551B">
              <w:rPr>
                <w:rFonts w:eastAsia="Times New Roman" w:cs="Times New Roman"/>
                <w:sz w:val="28"/>
                <w:szCs w:val="28"/>
                <w:lang w:eastAsia="lv-LV"/>
              </w:rPr>
              <w:t>.</w:t>
            </w:r>
          </w:p>
        </w:tc>
      </w:tr>
    </w:tbl>
    <w:p w:rsidR="0062105D" w:rsidRPr="00023448" w:rsidRDefault="0062105D" w:rsidP="001B4291">
      <w:pPr>
        <w:keepNext/>
        <w:tabs>
          <w:tab w:val="right" w:pos="8364"/>
        </w:tabs>
        <w:ind w:firstLine="426"/>
        <w:outlineLvl w:val="4"/>
        <w:rPr>
          <w:rFonts w:eastAsia="Times New Roman" w:cs="Times New Roman"/>
          <w:sz w:val="28"/>
          <w:szCs w:val="28"/>
        </w:rPr>
      </w:pPr>
    </w:p>
    <w:p w:rsidR="007A5FB9" w:rsidRDefault="007A5FB9" w:rsidP="001B4291">
      <w:pPr>
        <w:keepNext/>
        <w:tabs>
          <w:tab w:val="right" w:pos="8364"/>
        </w:tabs>
        <w:ind w:firstLine="426"/>
        <w:outlineLvl w:val="4"/>
        <w:rPr>
          <w:rFonts w:eastAsia="Times New Roman" w:cs="Times New Roman"/>
          <w:szCs w:val="24"/>
        </w:rPr>
      </w:pPr>
    </w:p>
    <w:p w:rsidR="007A5FB9" w:rsidRDefault="007A5FB9" w:rsidP="001B4291">
      <w:pPr>
        <w:keepNext/>
        <w:tabs>
          <w:tab w:val="right" w:pos="8364"/>
        </w:tabs>
        <w:ind w:firstLine="426"/>
        <w:outlineLvl w:val="4"/>
        <w:rPr>
          <w:rFonts w:eastAsia="Times New Roman" w:cs="Times New Roman"/>
          <w:szCs w:val="24"/>
        </w:rPr>
      </w:pPr>
    </w:p>
    <w:p w:rsidR="007A5FB9" w:rsidRDefault="007A5FB9" w:rsidP="001B4291">
      <w:pPr>
        <w:keepNext/>
        <w:tabs>
          <w:tab w:val="right" w:pos="8364"/>
        </w:tabs>
        <w:ind w:firstLine="426"/>
        <w:outlineLvl w:val="4"/>
        <w:rPr>
          <w:rFonts w:eastAsia="Times New Roman" w:cs="Times New Roman"/>
          <w:szCs w:val="24"/>
        </w:rPr>
      </w:pPr>
    </w:p>
    <w:p w:rsidR="00627667" w:rsidRPr="00627667" w:rsidRDefault="00627667" w:rsidP="00023448">
      <w:pPr>
        <w:pStyle w:val="naisf"/>
        <w:tabs>
          <w:tab w:val="right" w:pos="8364"/>
        </w:tabs>
        <w:ind w:firstLine="425"/>
        <w:jc w:val="left"/>
        <w:rPr>
          <w:color w:val="0F243E"/>
          <w:sz w:val="28"/>
          <w:szCs w:val="28"/>
          <w:lang w:val="lv-LV"/>
        </w:rPr>
      </w:pPr>
      <w:r w:rsidRPr="00627667">
        <w:rPr>
          <w:color w:val="0F243E"/>
          <w:sz w:val="28"/>
          <w:szCs w:val="28"/>
          <w:lang w:val="lv-LV"/>
        </w:rPr>
        <w:t>Izglītīb</w:t>
      </w:r>
      <w:r w:rsidR="00DF622F">
        <w:rPr>
          <w:color w:val="0F243E"/>
          <w:sz w:val="28"/>
          <w:szCs w:val="28"/>
          <w:lang w:val="lv-LV"/>
        </w:rPr>
        <w:t>as un zinātnes ministre</w:t>
      </w:r>
      <w:r w:rsidR="00023448">
        <w:rPr>
          <w:color w:val="0F243E"/>
          <w:sz w:val="28"/>
          <w:szCs w:val="28"/>
          <w:lang w:val="lv-LV"/>
        </w:rPr>
        <w:tab/>
        <w:t xml:space="preserve">Ilga </w:t>
      </w:r>
      <w:proofErr w:type="spellStart"/>
      <w:r w:rsidR="00023448">
        <w:rPr>
          <w:color w:val="0F243E"/>
          <w:sz w:val="28"/>
          <w:szCs w:val="28"/>
          <w:lang w:val="lv-LV"/>
        </w:rPr>
        <w:t>Šuplinska</w:t>
      </w:r>
      <w:proofErr w:type="spellEnd"/>
    </w:p>
    <w:p w:rsidR="005D1491" w:rsidRPr="009F551B" w:rsidRDefault="005D1491" w:rsidP="00874215">
      <w:pPr>
        <w:tabs>
          <w:tab w:val="right" w:pos="8789"/>
        </w:tabs>
        <w:ind w:firstLine="426"/>
        <w:rPr>
          <w:rFonts w:eastAsia="Times New Roman" w:cs="Times New Roman"/>
          <w:sz w:val="28"/>
          <w:szCs w:val="28"/>
          <w:lang w:eastAsia="lv-LV"/>
        </w:rPr>
      </w:pPr>
    </w:p>
    <w:p w:rsidR="007A5FB9" w:rsidRPr="009F551B" w:rsidRDefault="007A5FB9" w:rsidP="00AF4FD5">
      <w:pPr>
        <w:tabs>
          <w:tab w:val="right" w:pos="8364"/>
        </w:tabs>
        <w:ind w:firstLine="426"/>
        <w:rPr>
          <w:rFonts w:eastAsia="Times New Roman" w:cs="Times New Roman"/>
          <w:sz w:val="28"/>
          <w:szCs w:val="28"/>
          <w:lang w:eastAsia="lv-LV"/>
        </w:rPr>
      </w:pPr>
    </w:p>
    <w:p w:rsidR="00C871F7" w:rsidRPr="009F551B" w:rsidRDefault="00874215" w:rsidP="00023448">
      <w:pPr>
        <w:tabs>
          <w:tab w:val="right" w:pos="8364"/>
        </w:tabs>
        <w:ind w:firstLine="425"/>
        <w:rPr>
          <w:rFonts w:eastAsia="Calibri" w:cs="Times New Roman"/>
          <w:sz w:val="28"/>
          <w:szCs w:val="28"/>
        </w:rPr>
      </w:pPr>
      <w:r w:rsidRPr="009F551B">
        <w:rPr>
          <w:rFonts w:eastAsia="Times New Roman" w:cs="Times New Roman"/>
          <w:sz w:val="28"/>
          <w:szCs w:val="28"/>
          <w:lang w:eastAsia="lv-LV"/>
        </w:rPr>
        <w:t xml:space="preserve">Vizē: </w:t>
      </w:r>
      <w:r w:rsidRPr="009F551B">
        <w:rPr>
          <w:rFonts w:eastAsia="Calibri" w:cs="Times New Roman"/>
          <w:sz w:val="28"/>
          <w:szCs w:val="28"/>
        </w:rPr>
        <w:t>Valsts sekretāre</w:t>
      </w:r>
      <w:r w:rsidRPr="009F551B">
        <w:rPr>
          <w:rFonts w:eastAsia="Calibri" w:cs="Times New Roman"/>
          <w:sz w:val="28"/>
          <w:szCs w:val="28"/>
        </w:rPr>
        <w:tab/>
      </w:r>
      <w:r w:rsidR="002A5C18" w:rsidRPr="009F551B">
        <w:rPr>
          <w:rFonts w:eastAsia="Times New Roman" w:cs="Times New Roman"/>
          <w:bCs/>
          <w:sz w:val="28"/>
          <w:szCs w:val="28"/>
        </w:rPr>
        <w:t xml:space="preserve">Līga </w:t>
      </w:r>
      <w:r w:rsidRPr="009F551B">
        <w:rPr>
          <w:rFonts w:eastAsia="Times New Roman" w:cs="Times New Roman"/>
          <w:bCs/>
          <w:sz w:val="28"/>
          <w:szCs w:val="28"/>
        </w:rPr>
        <w:t>Lejiņa</w:t>
      </w:r>
    </w:p>
    <w:p w:rsidR="007A5FB9" w:rsidRPr="00023448" w:rsidRDefault="007A5FB9" w:rsidP="00874215">
      <w:pPr>
        <w:rPr>
          <w:rFonts w:eastAsia="Times New Roman" w:cs="Times New Roman"/>
          <w:sz w:val="28"/>
          <w:szCs w:val="28"/>
          <w:lang w:eastAsia="lv-LV"/>
        </w:rPr>
      </w:pPr>
    </w:p>
    <w:p w:rsidR="007A5FB9" w:rsidRPr="00023448" w:rsidRDefault="007A5FB9" w:rsidP="00874215">
      <w:pPr>
        <w:rPr>
          <w:rFonts w:eastAsia="Times New Roman" w:cs="Times New Roman"/>
          <w:sz w:val="28"/>
          <w:szCs w:val="28"/>
          <w:lang w:eastAsia="lv-LV"/>
        </w:rPr>
      </w:pPr>
    </w:p>
    <w:p w:rsidR="007A5FB9" w:rsidRPr="00023448" w:rsidRDefault="007A5FB9" w:rsidP="00874215">
      <w:pPr>
        <w:rPr>
          <w:rFonts w:eastAsia="Times New Roman" w:cs="Times New Roman"/>
          <w:sz w:val="28"/>
          <w:szCs w:val="28"/>
          <w:lang w:eastAsia="lv-LV"/>
        </w:rPr>
      </w:pPr>
    </w:p>
    <w:p w:rsidR="007A5FB9" w:rsidRPr="00023448" w:rsidRDefault="007A5FB9" w:rsidP="00874215">
      <w:pPr>
        <w:rPr>
          <w:rFonts w:eastAsia="Times New Roman" w:cs="Times New Roman"/>
          <w:sz w:val="28"/>
          <w:szCs w:val="28"/>
          <w:lang w:eastAsia="lv-LV"/>
        </w:rPr>
      </w:pPr>
    </w:p>
    <w:p w:rsidR="007A5FB9" w:rsidRPr="00023448" w:rsidRDefault="007A5FB9" w:rsidP="00874215">
      <w:pPr>
        <w:rPr>
          <w:rFonts w:eastAsia="Times New Roman" w:cs="Times New Roman"/>
          <w:sz w:val="28"/>
          <w:szCs w:val="28"/>
          <w:lang w:eastAsia="lv-LV"/>
        </w:rPr>
      </w:pPr>
    </w:p>
    <w:p w:rsidR="007A5FB9" w:rsidRPr="00023448" w:rsidRDefault="007A5FB9" w:rsidP="00874215">
      <w:pPr>
        <w:rPr>
          <w:rFonts w:eastAsia="Times New Roman" w:cs="Times New Roman"/>
          <w:sz w:val="28"/>
          <w:szCs w:val="28"/>
          <w:lang w:eastAsia="lv-LV"/>
        </w:rPr>
      </w:pPr>
    </w:p>
    <w:p w:rsidR="0066310C" w:rsidRPr="00023448" w:rsidRDefault="0066310C" w:rsidP="00874215">
      <w:pPr>
        <w:rPr>
          <w:rFonts w:eastAsia="Times New Roman" w:cs="Times New Roman"/>
          <w:sz w:val="28"/>
          <w:szCs w:val="28"/>
          <w:lang w:eastAsia="lv-LV"/>
        </w:rPr>
      </w:pPr>
    </w:p>
    <w:p w:rsidR="0066310C" w:rsidRPr="00023448" w:rsidRDefault="0066310C" w:rsidP="00874215">
      <w:pPr>
        <w:rPr>
          <w:rFonts w:eastAsia="Times New Roman" w:cs="Times New Roman"/>
          <w:sz w:val="28"/>
          <w:szCs w:val="28"/>
          <w:lang w:eastAsia="lv-LV"/>
        </w:rPr>
      </w:pPr>
    </w:p>
    <w:p w:rsidR="0066310C" w:rsidRDefault="0066310C" w:rsidP="00874215">
      <w:pPr>
        <w:rPr>
          <w:rFonts w:eastAsia="Times New Roman" w:cs="Times New Roman"/>
          <w:sz w:val="28"/>
          <w:szCs w:val="28"/>
          <w:lang w:eastAsia="lv-LV"/>
        </w:rPr>
      </w:pPr>
    </w:p>
    <w:p w:rsidR="00586116" w:rsidRPr="00023448" w:rsidRDefault="00586116" w:rsidP="00874215">
      <w:pPr>
        <w:rPr>
          <w:rFonts w:eastAsia="Times New Roman" w:cs="Times New Roman"/>
          <w:sz w:val="28"/>
          <w:szCs w:val="28"/>
          <w:lang w:eastAsia="lv-LV"/>
        </w:rPr>
      </w:pPr>
    </w:p>
    <w:p w:rsidR="0066310C" w:rsidRPr="00023448" w:rsidRDefault="0066310C" w:rsidP="00874215">
      <w:pPr>
        <w:rPr>
          <w:rFonts w:eastAsia="Times New Roman" w:cs="Times New Roman"/>
          <w:sz w:val="28"/>
          <w:szCs w:val="28"/>
          <w:lang w:eastAsia="lv-LV"/>
        </w:rPr>
      </w:pPr>
    </w:p>
    <w:p w:rsidR="0066310C" w:rsidRPr="00023448" w:rsidRDefault="0066310C" w:rsidP="00874215">
      <w:pPr>
        <w:rPr>
          <w:rFonts w:eastAsia="Times New Roman" w:cs="Times New Roman"/>
          <w:sz w:val="28"/>
          <w:szCs w:val="28"/>
          <w:lang w:eastAsia="lv-LV"/>
        </w:rPr>
      </w:pPr>
    </w:p>
    <w:p w:rsidR="0066310C" w:rsidRPr="00023448" w:rsidRDefault="0066310C" w:rsidP="00874215">
      <w:pPr>
        <w:rPr>
          <w:rFonts w:eastAsia="Times New Roman" w:cs="Times New Roman"/>
          <w:sz w:val="28"/>
          <w:szCs w:val="28"/>
          <w:lang w:eastAsia="lv-LV"/>
        </w:rPr>
      </w:pPr>
    </w:p>
    <w:p w:rsidR="0066310C" w:rsidRPr="00023448" w:rsidRDefault="0066310C" w:rsidP="00874215">
      <w:pPr>
        <w:rPr>
          <w:rFonts w:eastAsia="Times New Roman" w:cs="Times New Roman"/>
          <w:sz w:val="28"/>
          <w:szCs w:val="28"/>
          <w:lang w:eastAsia="lv-LV"/>
        </w:rPr>
      </w:pPr>
    </w:p>
    <w:p w:rsidR="0066310C" w:rsidRPr="00023448" w:rsidRDefault="0066310C" w:rsidP="00874215">
      <w:pPr>
        <w:rPr>
          <w:rFonts w:eastAsia="Times New Roman" w:cs="Times New Roman"/>
          <w:sz w:val="28"/>
          <w:szCs w:val="28"/>
          <w:lang w:eastAsia="lv-LV"/>
        </w:rPr>
      </w:pPr>
    </w:p>
    <w:p w:rsidR="00023448" w:rsidRPr="00023448" w:rsidRDefault="00023448" w:rsidP="00874215">
      <w:pPr>
        <w:rPr>
          <w:rFonts w:eastAsia="Times New Roman" w:cs="Times New Roman"/>
          <w:sz w:val="28"/>
          <w:szCs w:val="28"/>
          <w:lang w:eastAsia="lv-LV"/>
        </w:rPr>
      </w:pPr>
    </w:p>
    <w:p w:rsidR="00023448" w:rsidRDefault="00023448" w:rsidP="00874215">
      <w:pPr>
        <w:rPr>
          <w:rFonts w:eastAsia="Times New Roman" w:cs="Times New Roman"/>
          <w:sz w:val="28"/>
          <w:szCs w:val="28"/>
          <w:lang w:eastAsia="lv-LV"/>
        </w:rPr>
      </w:pPr>
    </w:p>
    <w:p w:rsidR="004023DD" w:rsidRDefault="004023DD" w:rsidP="00874215">
      <w:pPr>
        <w:rPr>
          <w:rFonts w:eastAsia="Times New Roman" w:cs="Times New Roman"/>
          <w:sz w:val="28"/>
          <w:szCs w:val="28"/>
          <w:lang w:eastAsia="lv-LV"/>
        </w:rPr>
      </w:pPr>
    </w:p>
    <w:p w:rsidR="004023DD" w:rsidRDefault="004023DD" w:rsidP="00874215">
      <w:pPr>
        <w:rPr>
          <w:rFonts w:eastAsia="Times New Roman" w:cs="Times New Roman"/>
          <w:sz w:val="28"/>
          <w:szCs w:val="28"/>
          <w:lang w:eastAsia="lv-LV"/>
        </w:rPr>
      </w:pPr>
    </w:p>
    <w:p w:rsidR="004023DD" w:rsidRPr="00023448" w:rsidRDefault="004023DD" w:rsidP="00874215">
      <w:pPr>
        <w:rPr>
          <w:rFonts w:eastAsia="Times New Roman" w:cs="Times New Roman"/>
          <w:sz w:val="28"/>
          <w:szCs w:val="28"/>
          <w:lang w:eastAsia="lv-LV"/>
        </w:rPr>
      </w:pPr>
    </w:p>
    <w:p w:rsidR="00874215" w:rsidRPr="0062105D" w:rsidRDefault="00874215" w:rsidP="00874215">
      <w:pPr>
        <w:rPr>
          <w:rFonts w:eastAsia="Times New Roman" w:cs="Times New Roman"/>
          <w:sz w:val="18"/>
          <w:szCs w:val="18"/>
          <w:lang w:eastAsia="lv-LV"/>
        </w:rPr>
      </w:pPr>
      <w:proofErr w:type="spellStart"/>
      <w:r w:rsidRPr="0062105D">
        <w:rPr>
          <w:rFonts w:eastAsia="Times New Roman" w:cs="Times New Roman"/>
          <w:sz w:val="18"/>
          <w:szCs w:val="18"/>
          <w:lang w:eastAsia="lv-LV"/>
        </w:rPr>
        <w:t>Kamarūte</w:t>
      </w:r>
      <w:proofErr w:type="spellEnd"/>
    </w:p>
    <w:p w:rsidR="00874215" w:rsidRPr="005D1491" w:rsidRDefault="00874215">
      <w:pPr>
        <w:rPr>
          <w:rFonts w:eastAsia="Times New Roman" w:cs="Times New Roman"/>
          <w:sz w:val="20"/>
          <w:szCs w:val="24"/>
          <w:lang w:eastAsia="lv-LV"/>
        </w:rPr>
      </w:pPr>
      <w:r w:rsidRPr="0062105D">
        <w:rPr>
          <w:rFonts w:eastAsia="Times New Roman" w:cs="Times New Roman"/>
          <w:sz w:val="18"/>
          <w:szCs w:val="18"/>
          <w:lang w:eastAsia="lv-LV"/>
        </w:rPr>
        <w:t>67814478,</w:t>
      </w:r>
      <w:r w:rsidR="007A5FB9">
        <w:rPr>
          <w:rFonts w:eastAsia="Times New Roman" w:cs="Times New Roman"/>
          <w:sz w:val="18"/>
          <w:szCs w:val="18"/>
          <w:lang w:eastAsia="lv-LV"/>
        </w:rPr>
        <w:t xml:space="preserve"> </w:t>
      </w:r>
      <w:r w:rsidRPr="0062105D">
        <w:rPr>
          <w:rFonts w:eastAsia="Times New Roman" w:cs="Times New Roman"/>
          <w:sz w:val="18"/>
          <w:szCs w:val="18"/>
          <w:lang w:eastAsia="lv-LV"/>
        </w:rPr>
        <w:t>ingrida.kamarute@visc.gov.lv</w:t>
      </w:r>
    </w:p>
    <w:sectPr w:rsidR="00874215" w:rsidRPr="005D1491" w:rsidSect="00C0623E">
      <w:headerReference w:type="default" r:id="rId8"/>
      <w:footerReference w:type="default" r:id="rId9"/>
      <w:footerReference w:type="first" r:id="rId10"/>
      <w:pgSz w:w="11906" w:h="16838"/>
      <w:pgMar w:top="1418" w:right="1797" w:bottom="1418" w:left="1797"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971374" w15:done="0"/>
  <w15:commentEx w15:paraId="60D1EE61" w15:done="0"/>
  <w15:commentEx w15:paraId="70B2E3A4" w15:done="0"/>
  <w15:commentEx w15:paraId="19D3F3B5" w15:done="0"/>
  <w15:commentEx w15:paraId="6FCA2573" w15:done="0"/>
  <w15:commentEx w15:paraId="390B9D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75F" w:rsidRDefault="00BE175F" w:rsidP="00874215">
      <w:r>
        <w:separator/>
      </w:r>
    </w:p>
  </w:endnote>
  <w:endnote w:type="continuationSeparator" w:id="0">
    <w:p w:rsidR="00BE175F" w:rsidRDefault="00BE175F" w:rsidP="0087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15" w:rsidRPr="00393333" w:rsidRDefault="00393333" w:rsidP="00393333">
    <w:pPr>
      <w:pStyle w:val="Footer"/>
    </w:pPr>
    <w:r w:rsidRPr="00393333">
      <w:rPr>
        <w:rFonts w:eastAsia="Times New Roman" w:cs="Times New Roman"/>
        <w:sz w:val="20"/>
        <w:szCs w:val="24"/>
        <w:lang w:eastAsia="lv-LV"/>
      </w:rPr>
      <w:t>IZMAnot_</w:t>
    </w:r>
    <w:r w:rsidR="002E3976">
      <w:rPr>
        <w:rFonts w:eastAsia="Times New Roman" w:cs="Times New Roman"/>
        <w:sz w:val="20"/>
        <w:szCs w:val="24"/>
        <w:lang w:eastAsia="lv-LV"/>
      </w:rPr>
      <w:t>25</w:t>
    </w:r>
    <w:r w:rsidR="00701399">
      <w:rPr>
        <w:rFonts w:eastAsia="Times New Roman" w:cs="Times New Roman"/>
        <w:sz w:val="20"/>
        <w:szCs w:val="24"/>
        <w:lang w:eastAsia="lv-LV"/>
      </w:rPr>
      <w:t>03</w:t>
    </w:r>
    <w:r w:rsidR="00B130D5">
      <w:rPr>
        <w:rFonts w:eastAsia="Times New Roman" w:cs="Times New Roman"/>
        <w:sz w:val="20"/>
        <w:szCs w:val="24"/>
        <w:lang w:eastAsia="lv-LV"/>
      </w:rPr>
      <w:t>19</w:t>
    </w:r>
    <w:r w:rsidRPr="00393333">
      <w:rPr>
        <w:rFonts w:eastAsia="Times New Roman" w:cs="Times New Roman"/>
        <w:sz w:val="20"/>
        <w:szCs w:val="24"/>
        <w:lang w:eastAsia="lv-LV"/>
      </w:rPr>
      <w:t>_eks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215" w:rsidRPr="00606925" w:rsidRDefault="00B90930" w:rsidP="00606925">
    <w:pPr>
      <w:tabs>
        <w:tab w:val="center" w:pos="4153"/>
        <w:tab w:val="right" w:pos="8306"/>
      </w:tabs>
      <w:jc w:val="both"/>
      <w:rPr>
        <w:rFonts w:eastAsia="Times New Roman" w:cs="Times New Roman"/>
        <w:szCs w:val="24"/>
        <w:lang w:eastAsia="lv-LV"/>
      </w:rPr>
    </w:pPr>
    <w:r>
      <w:rPr>
        <w:rFonts w:eastAsia="Times New Roman" w:cs="Times New Roman"/>
        <w:sz w:val="20"/>
        <w:szCs w:val="24"/>
        <w:lang w:eastAsia="lv-LV"/>
      </w:rPr>
      <w:t>I</w:t>
    </w:r>
    <w:r w:rsidR="00F85295">
      <w:rPr>
        <w:rFonts w:eastAsia="Times New Roman" w:cs="Times New Roman"/>
        <w:sz w:val="20"/>
        <w:szCs w:val="24"/>
        <w:lang w:eastAsia="lv-LV"/>
      </w:rPr>
      <w:t>ZMAnot_</w:t>
    </w:r>
    <w:r w:rsidR="002E3976">
      <w:rPr>
        <w:rFonts w:eastAsia="Times New Roman" w:cs="Times New Roman"/>
        <w:sz w:val="20"/>
        <w:szCs w:val="24"/>
        <w:lang w:eastAsia="lv-LV"/>
      </w:rPr>
      <w:t>25</w:t>
    </w:r>
    <w:r w:rsidR="00701399">
      <w:rPr>
        <w:rFonts w:eastAsia="Times New Roman" w:cs="Times New Roman"/>
        <w:sz w:val="20"/>
        <w:szCs w:val="24"/>
        <w:lang w:eastAsia="lv-LV"/>
      </w:rPr>
      <w:t>03</w:t>
    </w:r>
    <w:r w:rsidR="00B130D5">
      <w:rPr>
        <w:rFonts w:eastAsia="Times New Roman" w:cs="Times New Roman"/>
        <w:sz w:val="20"/>
        <w:szCs w:val="24"/>
        <w:lang w:eastAsia="lv-LV"/>
      </w:rPr>
      <w:t>19</w:t>
    </w:r>
    <w:r w:rsidR="00393333">
      <w:rPr>
        <w:rFonts w:eastAsia="Times New Roman" w:cs="Times New Roman"/>
        <w:sz w:val="20"/>
        <w:szCs w:val="24"/>
        <w:lang w:eastAsia="lv-LV"/>
      </w:rPr>
      <w:t>_eks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75F" w:rsidRDefault="00BE175F" w:rsidP="00874215">
      <w:r>
        <w:separator/>
      </w:r>
    </w:p>
  </w:footnote>
  <w:footnote w:type="continuationSeparator" w:id="0">
    <w:p w:rsidR="00BE175F" w:rsidRDefault="00BE175F" w:rsidP="00874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628151"/>
      <w:docPartObj>
        <w:docPartGallery w:val="Page Numbers (Top of Page)"/>
        <w:docPartUnique/>
      </w:docPartObj>
    </w:sdtPr>
    <w:sdtEndPr>
      <w:rPr>
        <w:noProof/>
      </w:rPr>
    </w:sdtEndPr>
    <w:sdtContent>
      <w:p w:rsidR="00874215" w:rsidRDefault="00874215">
        <w:pPr>
          <w:pStyle w:val="Header"/>
          <w:jc w:val="center"/>
        </w:pPr>
        <w:r>
          <w:fldChar w:fldCharType="begin"/>
        </w:r>
        <w:r>
          <w:instrText xml:space="preserve"> PAGE   \* MERGEFORMAT </w:instrText>
        </w:r>
        <w:r>
          <w:fldChar w:fldCharType="separate"/>
        </w:r>
        <w:r w:rsidR="002E3976">
          <w:rPr>
            <w:noProof/>
          </w:rPr>
          <w:t>3</w:t>
        </w:r>
        <w:r>
          <w:rPr>
            <w:noProof/>
          </w:rPr>
          <w:fldChar w:fldCharType="end"/>
        </w:r>
      </w:p>
    </w:sdtContent>
  </w:sdt>
  <w:p w:rsidR="00874215" w:rsidRDefault="00874215">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ntra Kušķe">
    <w15:presenceInfo w15:providerId="AD" w15:userId="S-1-5-21-924060480-1444801791-4070566659-1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822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215"/>
    <w:rsid w:val="00004FDA"/>
    <w:rsid w:val="00023448"/>
    <w:rsid w:val="0002356B"/>
    <w:rsid w:val="000245AE"/>
    <w:rsid w:val="00030121"/>
    <w:rsid w:val="00031738"/>
    <w:rsid w:val="00033598"/>
    <w:rsid w:val="000335C4"/>
    <w:rsid w:val="000338DB"/>
    <w:rsid w:val="0004224B"/>
    <w:rsid w:val="00066040"/>
    <w:rsid w:val="00073A36"/>
    <w:rsid w:val="00080E9F"/>
    <w:rsid w:val="00086A1F"/>
    <w:rsid w:val="00090C34"/>
    <w:rsid w:val="0009321E"/>
    <w:rsid w:val="000937F6"/>
    <w:rsid w:val="000958D1"/>
    <w:rsid w:val="000B334B"/>
    <w:rsid w:val="0011635C"/>
    <w:rsid w:val="00121AF6"/>
    <w:rsid w:val="00131358"/>
    <w:rsid w:val="001333B6"/>
    <w:rsid w:val="00133A4F"/>
    <w:rsid w:val="001342A3"/>
    <w:rsid w:val="00140E48"/>
    <w:rsid w:val="0014690E"/>
    <w:rsid w:val="00182D96"/>
    <w:rsid w:val="00186024"/>
    <w:rsid w:val="001A323D"/>
    <w:rsid w:val="001B3A15"/>
    <w:rsid w:val="001B4291"/>
    <w:rsid w:val="001C1220"/>
    <w:rsid w:val="001C4C5E"/>
    <w:rsid w:val="001D2E16"/>
    <w:rsid w:val="001F0384"/>
    <w:rsid w:val="002122E2"/>
    <w:rsid w:val="00241E51"/>
    <w:rsid w:val="00243521"/>
    <w:rsid w:val="00245E00"/>
    <w:rsid w:val="002565E6"/>
    <w:rsid w:val="00265E37"/>
    <w:rsid w:val="0028622A"/>
    <w:rsid w:val="002A5C18"/>
    <w:rsid w:val="002C2F3A"/>
    <w:rsid w:val="002C4578"/>
    <w:rsid w:val="002D562B"/>
    <w:rsid w:val="002E3976"/>
    <w:rsid w:val="003041A2"/>
    <w:rsid w:val="003232F1"/>
    <w:rsid w:val="00333795"/>
    <w:rsid w:val="003343FB"/>
    <w:rsid w:val="00336859"/>
    <w:rsid w:val="003420DB"/>
    <w:rsid w:val="00344BFA"/>
    <w:rsid w:val="00346D14"/>
    <w:rsid w:val="003505D4"/>
    <w:rsid w:val="0036170E"/>
    <w:rsid w:val="003846AC"/>
    <w:rsid w:val="00393333"/>
    <w:rsid w:val="003F176D"/>
    <w:rsid w:val="003F236B"/>
    <w:rsid w:val="00400FF9"/>
    <w:rsid w:val="004023DD"/>
    <w:rsid w:val="004342B2"/>
    <w:rsid w:val="00446434"/>
    <w:rsid w:val="0045220A"/>
    <w:rsid w:val="0047041D"/>
    <w:rsid w:val="00480F10"/>
    <w:rsid w:val="0048559B"/>
    <w:rsid w:val="0049668B"/>
    <w:rsid w:val="004A65D7"/>
    <w:rsid w:val="004B398B"/>
    <w:rsid w:val="004B6040"/>
    <w:rsid w:val="004D1E22"/>
    <w:rsid w:val="004D3B26"/>
    <w:rsid w:val="004D4DC6"/>
    <w:rsid w:val="004E7085"/>
    <w:rsid w:val="005103CF"/>
    <w:rsid w:val="00510980"/>
    <w:rsid w:val="00516B34"/>
    <w:rsid w:val="00520FE7"/>
    <w:rsid w:val="0052151C"/>
    <w:rsid w:val="005232D1"/>
    <w:rsid w:val="0053616A"/>
    <w:rsid w:val="0055504E"/>
    <w:rsid w:val="005671C8"/>
    <w:rsid w:val="00576B32"/>
    <w:rsid w:val="00581053"/>
    <w:rsid w:val="00586116"/>
    <w:rsid w:val="00587E38"/>
    <w:rsid w:val="0059238B"/>
    <w:rsid w:val="005A0168"/>
    <w:rsid w:val="005B12D1"/>
    <w:rsid w:val="005D1491"/>
    <w:rsid w:val="005E15BC"/>
    <w:rsid w:val="005E2FF0"/>
    <w:rsid w:val="005E4A8D"/>
    <w:rsid w:val="005E5570"/>
    <w:rsid w:val="00606925"/>
    <w:rsid w:val="006140F2"/>
    <w:rsid w:val="006147A2"/>
    <w:rsid w:val="0062105D"/>
    <w:rsid w:val="006250DD"/>
    <w:rsid w:val="00626E10"/>
    <w:rsid w:val="00627667"/>
    <w:rsid w:val="006348C3"/>
    <w:rsid w:val="0064758C"/>
    <w:rsid w:val="006538E5"/>
    <w:rsid w:val="00655062"/>
    <w:rsid w:val="0066310C"/>
    <w:rsid w:val="00673A61"/>
    <w:rsid w:val="0068256E"/>
    <w:rsid w:val="006855EC"/>
    <w:rsid w:val="00690FD4"/>
    <w:rsid w:val="00691F71"/>
    <w:rsid w:val="0069579D"/>
    <w:rsid w:val="00695D8B"/>
    <w:rsid w:val="006B03A4"/>
    <w:rsid w:val="006D47BE"/>
    <w:rsid w:val="006D56BA"/>
    <w:rsid w:val="006F594D"/>
    <w:rsid w:val="00700802"/>
    <w:rsid w:val="00701399"/>
    <w:rsid w:val="007123FE"/>
    <w:rsid w:val="00727CBD"/>
    <w:rsid w:val="00745CE8"/>
    <w:rsid w:val="007503D4"/>
    <w:rsid w:val="007573C8"/>
    <w:rsid w:val="00766967"/>
    <w:rsid w:val="0077437E"/>
    <w:rsid w:val="00777BCA"/>
    <w:rsid w:val="007A167F"/>
    <w:rsid w:val="007A1D2A"/>
    <w:rsid w:val="007A40E5"/>
    <w:rsid w:val="007A5FB9"/>
    <w:rsid w:val="007B08AD"/>
    <w:rsid w:val="007B56E8"/>
    <w:rsid w:val="00811AD9"/>
    <w:rsid w:val="00815804"/>
    <w:rsid w:val="00822DC9"/>
    <w:rsid w:val="0086077B"/>
    <w:rsid w:val="00873327"/>
    <w:rsid w:val="008733EF"/>
    <w:rsid w:val="00874215"/>
    <w:rsid w:val="008744F0"/>
    <w:rsid w:val="008A7A18"/>
    <w:rsid w:val="008C0551"/>
    <w:rsid w:val="008C2406"/>
    <w:rsid w:val="008D228C"/>
    <w:rsid w:val="008D6E78"/>
    <w:rsid w:val="008E392E"/>
    <w:rsid w:val="008E41DD"/>
    <w:rsid w:val="008E4C9B"/>
    <w:rsid w:val="008E6512"/>
    <w:rsid w:val="008F66B3"/>
    <w:rsid w:val="008F739C"/>
    <w:rsid w:val="00900C1C"/>
    <w:rsid w:val="009112ED"/>
    <w:rsid w:val="009275FE"/>
    <w:rsid w:val="009344CE"/>
    <w:rsid w:val="00947949"/>
    <w:rsid w:val="00950DBB"/>
    <w:rsid w:val="0095310B"/>
    <w:rsid w:val="00967EC9"/>
    <w:rsid w:val="00976869"/>
    <w:rsid w:val="00981F75"/>
    <w:rsid w:val="0098521A"/>
    <w:rsid w:val="00990CAF"/>
    <w:rsid w:val="00991F7C"/>
    <w:rsid w:val="009A2883"/>
    <w:rsid w:val="009A4CD8"/>
    <w:rsid w:val="009A5C02"/>
    <w:rsid w:val="009D2120"/>
    <w:rsid w:val="009D3B04"/>
    <w:rsid w:val="009D4ABD"/>
    <w:rsid w:val="009F03B7"/>
    <w:rsid w:val="009F551B"/>
    <w:rsid w:val="00A005FA"/>
    <w:rsid w:val="00A06E55"/>
    <w:rsid w:val="00A07244"/>
    <w:rsid w:val="00A2438E"/>
    <w:rsid w:val="00A30D2D"/>
    <w:rsid w:val="00A34CDF"/>
    <w:rsid w:val="00A45D14"/>
    <w:rsid w:val="00A74429"/>
    <w:rsid w:val="00A83C5B"/>
    <w:rsid w:val="00A8517D"/>
    <w:rsid w:val="00AA2D70"/>
    <w:rsid w:val="00AA4581"/>
    <w:rsid w:val="00AA6801"/>
    <w:rsid w:val="00AB036A"/>
    <w:rsid w:val="00AB4D76"/>
    <w:rsid w:val="00AD2B4A"/>
    <w:rsid w:val="00AE11B9"/>
    <w:rsid w:val="00AF1C8B"/>
    <w:rsid w:val="00AF4FD5"/>
    <w:rsid w:val="00B130D5"/>
    <w:rsid w:val="00B26F38"/>
    <w:rsid w:val="00B3497C"/>
    <w:rsid w:val="00B3622E"/>
    <w:rsid w:val="00B36351"/>
    <w:rsid w:val="00B43936"/>
    <w:rsid w:val="00B46778"/>
    <w:rsid w:val="00B66C66"/>
    <w:rsid w:val="00B82F02"/>
    <w:rsid w:val="00B85A55"/>
    <w:rsid w:val="00B87D90"/>
    <w:rsid w:val="00B90930"/>
    <w:rsid w:val="00BA02B2"/>
    <w:rsid w:val="00BA2486"/>
    <w:rsid w:val="00BA362C"/>
    <w:rsid w:val="00BB2F77"/>
    <w:rsid w:val="00BD3229"/>
    <w:rsid w:val="00BD6F54"/>
    <w:rsid w:val="00BE175F"/>
    <w:rsid w:val="00BE2DF7"/>
    <w:rsid w:val="00BE7B25"/>
    <w:rsid w:val="00BF21DB"/>
    <w:rsid w:val="00BF5C70"/>
    <w:rsid w:val="00BF6E60"/>
    <w:rsid w:val="00C0623E"/>
    <w:rsid w:val="00C06D46"/>
    <w:rsid w:val="00C22EDD"/>
    <w:rsid w:val="00C23C9B"/>
    <w:rsid w:val="00C412C1"/>
    <w:rsid w:val="00C453BC"/>
    <w:rsid w:val="00C45F57"/>
    <w:rsid w:val="00C51454"/>
    <w:rsid w:val="00C67A84"/>
    <w:rsid w:val="00C714AE"/>
    <w:rsid w:val="00C77768"/>
    <w:rsid w:val="00C85C86"/>
    <w:rsid w:val="00C871F7"/>
    <w:rsid w:val="00CA5F78"/>
    <w:rsid w:val="00CB368C"/>
    <w:rsid w:val="00CB3E0C"/>
    <w:rsid w:val="00CD6FAC"/>
    <w:rsid w:val="00CD7489"/>
    <w:rsid w:val="00CE2219"/>
    <w:rsid w:val="00CE79BD"/>
    <w:rsid w:val="00CF002C"/>
    <w:rsid w:val="00CF5043"/>
    <w:rsid w:val="00CF71CD"/>
    <w:rsid w:val="00D04CF3"/>
    <w:rsid w:val="00D14776"/>
    <w:rsid w:val="00D23573"/>
    <w:rsid w:val="00D346BE"/>
    <w:rsid w:val="00D355CB"/>
    <w:rsid w:val="00D45FED"/>
    <w:rsid w:val="00D52E1D"/>
    <w:rsid w:val="00D7242E"/>
    <w:rsid w:val="00D755EA"/>
    <w:rsid w:val="00D95F69"/>
    <w:rsid w:val="00DA09FD"/>
    <w:rsid w:val="00DC097D"/>
    <w:rsid w:val="00DC1311"/>
    <w:rsid w:val="00DC5C15"/>
    <w:rsid w:val="00DC7F0D"/>
    <w:rsid w:val="00DD0590"/>
    <w:rsid w:val="00DD7F0E"/>
    <w:rsid w:val="00DF11C9"/>
    <w:rsid w:val="00DF622F"/>
    <w:rsid w:val="00E04DE4"/>
    <w:rsid w:val="00E057CF"/>
    <w:rsid w:val="00E1694E"/>
    <w:rsid w:val="00E20C86"/>
    <w:rsid w:val="00E30F12"/>
    <w:rsid w:val="00E40863"/>
    <w:rsid w:val="00E42236"/>
    <w:rsid w:val="00E47C38"/>
    <w:rsid w:val="00E625C0"/>
    <w:rsid w:val="00E676FC"/>
    <w:rsid w:val="00E67EF7"/>
    <w:rsid w:val="00E7313B"/>
    <w:rsid w:val="00E82B0B"/>
    <w:rsid w:val="00E830AF"/>
    <w:rsid w:val="00E977C4"/>
    <w:rsid w:val="00EA004F"/>
    <w:rsid w:val="00EA56E7"/>
    <w:rsid w:val="00EB2A99"/>
    <w:rsid w:val="00EB64CF"/>
    <w:rsid w:val="00EB7B2B"/>
    <w:rsid w:val="00ED0E55"/>
    <w:rsid w:val="00ED1D02"/>
    <w:rsid w:val="00ED4C43"/>
    <w:rsid w:val="00EF3CC7"/>
    <w:rsid w:val="00F00566"/>
    <w:rsid w:val="00F030F7"/>
    <w:rsid w:val="00F3408F"/>
    <w:rsid w:val="00F3782D"/>
    <w:rsid w:val="00F44D41"/>
    <w:rsid w:val="00F46911"/>
    <w:rsid w:val="00F70C3A"/>
    <w:rsid w:val="00F80A65"/>
    <w:rsid w:val="00F84E3F"/>
    <w:rsid w:val="00F85295"/>
    <w:rsid w:val="00F862F6"/>
    <w:rsid w:val="00F92C67"/>
    <w:rsid w:val="00FA1995"/>
    <w:rsid w:val="00FC019A"/>
    <w:rsid w:val="00FC4E7E"/>
    <w:rsid w:val="00FE3B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215"/>
    <w:pPr>
      <w:tabs>
        <w:tab w:val="center" w:pos="4153"/>
        <w:tab w:val="right" w:pos="8306"/>
      </w:tabs>
    </w:pPr>
  </w:style>
  <w:style w:type="character" w:customStyle="1" w:styleId="HeaderChar">
    <w:name w:val="Header Char"/>
    <w:basedOn w:val="DefaultParagraphFont"/>
    <w:link w:val="Header"/>
    <w:uiPriority w:val="99"/>
    <w:rsid w:val="00874215"/>
  </w:style>
  <w:style w:type="paragraph" w:styleId="Footer">
    <w:name w:val="footer"/>
    <w:basedOn w:val="Normal"/>
    <w:link w:val="FooterChar"/>
    <w:uiPriority w:val="99"/>
    <w:unhideWhenUsed/>
    <w:rsid w:val="00874215"/>
    <w:pPr>
      <w:tabs>
        <w:tab w:val="center" w:pos="4153"/>
        <w:tab w:val="right" w:pos="8306"/>
      </w:tabs>
    </w:pPr>
  </w:style>
  <w:style w:type="character" w:customStyle="1" w:styleId="FooterChar">
    <w:name w:val="Footer Char"/>
    <w:basedOn w:val="DefaultParagraphFont"/>
    <w:link w:val="Footer"/>
    <w:uiPriority w:val="99"/>
    <w:rsid w:val="00874215"/>
  </w:style>
  <w:style w:type="paragraph" w:customStyle="1" w:styleId="RakstzCharCharRakstzCharCharRakstz">
    <w:name w:val="Rakstz. Char Char Rakstz. Char Char Rakstz."/>
    <w:basedOn w:val="Normal"/>
    <w:rsid w:val="00333795"/>
    <w:pPr>
      <w:spacing w:after="160" w:line="240" w:lineRule="exact"/>
    </w:pPr>
    <w:rPr>
      <w:rFonts w:ascii="Tahoma" w:eastAsia="Times New Roman" w:hAnsi="Tahoma" w:cs="Times New Roman"/>
      <w:sz w:val="20"/>
      <w:szCs w:val="20"/>
      <w:lang w:val="en-US"/>
    </w:rPr>
  </w:style>
  <w:style w:type="paragraph" w:styleId="BalloonText">
    <w:name w:val="Balloon Text"/>
    <w:basedOn w:val="Normal"/>
    <w:link w:val="BalloonTextChar"/>
    <w:uiPriority w:val="99"/>
    <w:semiHidden/>
    <w:unhideWhenUsed/>
    <w:rsid w:val="00E82B0B"/>
    <w:rPr>
      <w:rFonts w:ascii="Tahoma" w:hAnsi="Tahoma" w:cs="Tahoma"/>
      <w:sz w:val="16"/>
      <w:szCs w:val="16"/>
    </w:rPr>
  </w:style>
  <w:style w:type="character" w:customStyle="1" w:styleId="BalloonTextChar">
    <w:name w:val="Balloon Text Char"/>
    <w:basedOn w:val="DefaultParagraphFont"/>
    <w:link w:val="BalloonText"/>
    <w:uiPriority w:val="99"/>
    <w:semiHidden/>
    <w:rsid w:val="00E82B0B"/>
    <w:rPr>
      <w:rFonts w:ascii="Tahoma" w:hAnsi="Tahoma" w:cs="Tahoma"/>
      <w:sz w:val="16"/>
      <w:szCs w:val="16"/>
    </w:rPr>
  </w:style>
  <w:style w:type="character" w:styleId="CommentReference">
    <w:name w:val="annotation reference"/>
    <w:basedOn w:val="DefaultParagraphFont"/>
    <w:uiPriority w:val="99"/>
    <w:semiHidden/>
    <w:unhideWhenUsed/>
    <w:rsid w:val="00E82B0B"/>
    <w:rPr>
      <w:sz w:val="16"/>
      <w:szCs w:val="16"/>
    </w:rPr>
  </w:style>
  <w:style w:type="paragraph" w:styleId="CommentText">
    <w:name w:val="annotation text"/>
    <w:basedOn w:val="Normal"/>
    <w:link w:val="CommentTextChar"/>
    <w:uiPriority w:val="99"/>
    <w:unhideWhenUsed/>
    <w:rsid w:val="00E82B0B"/>
    <w:rPr>
      <w:sz w:val="20"/>
      <w:szCs w:val="20"/>
    </w:rPr>
  </w:style>
  <w:style w:type="character" w:customStyle="1" w:styleId="CommentTextChar">
    <w:name w:val="Comment Text Char"/>
    <w:basedOn w:val="DefaultParagraphFont"/>
    <w:link w:val="CommentText"/>
    <w:uiPriority w:val="99"/>
    <w:rsid w:val="00E82B0B"/>
    <w:rPr>
      <w:sz w:val="20"/>
      <w:szCs w:val="20"/>
    </w:rPr>
  </w:style>
  <w:style w:type="paragraph" w:styleId="CommentSubject">
    <w:name w:val="annotation subject"/>
    <w:basedOn w:val="CommentText"/>
    <w:next w:val="CommentText"/>
    <w:link w:val="CommentSubjectChar"/>
    <w:uiPriority w:val="99"/>
    <w:semiHidden/>
    <w:unhideWhenUsed/>
    <w:rsid w:val="00E82B0B"/>
    <w:rPr>
      <w:b/>
      <w:bCs/>
    </w:rPr>
  </w:style>
  <w:style w:type="character" w:customStyle="1" w:styleId="CommentSubjectChar">
    <w:name w:val="Comment Subject Char"/>
    <w:basedOn w:val="CommentTextChar"/>
    <w:link w:val="CommentSubject"/>
    <w:uiPriority w:val="99"/>
    <w:semiHidden/>
    <w:rsid w:val="00E82B0B"/>
    <w:rPr>
      <w:b/>
      <w:bCs/>
      <w:sz w:val="20"/>
      <w:szCs w:val="20"/>
    </w:rPr>
  </w:style>
  <w:style w:type="paragraph" w:customStyle="1" w:styleId="tvhtml">
    <w:name w:val="tv_html"/>
    <w:basedOn w:val="Normal"/>
    <w:rsid w:val="0014690E"/>
    <w:pPr>
      <w:spacing w:before="100" w:beforeAutospacing="1" w:after="100" w:afterAutospacing="1"/>
    </w:pPr>
    <w:rPr>
      <w:rFonts w:eastAsia="Times New Roman" w:cs="Times New Roman"/>
      <w:szCs w:val="24"/>
      <w:lang w:eastAsia="lv-LV"/>
    </w:rPr>
  </w:style>
  <w:style w:type="paragraph" w:customStyle="1" w:styleId="tv213">
    <w:name w:val="tv213"/>
    <w:basedOn w:val="Normal"/>
    <w:rsid w:val="00C23C9B"/>
    <w:pPr>
      <w:spacing w:before="100" w:beforeAutospacing="1" w:after="100" w:afterAutospacing="1"/>
    </w:pPr>
    <w:rPr>
      <w:rFonts w:eastAsia="Times New Roman" w:cs="Times New Roman"/>
      <w:szCs w:val="24"/>
      <w:lang w:eastAsia="lv-LV"/>
    </w:rPr>
  </w:style>
  <w:style w:type="character" w:styleId="Hyperlink">
    <w:name w:val="Hyperlink"/>
    <w:basedOn w:val="DefaultParagraphFont"/>
    <w:uiPriority w:val="99"/>
    <w:semiHidden/>
    <w:unhideWhenUsed/>
    <w:rsid w:val="00C23C9B"/>
    <w:rPr>
      <w:color w:val="0000FF"/>
      <w:u w:val="single"/>
    </w:rPr>
  </w:style>
  <w:style w:type="paragraph" w:customStyle="1" w:styleId="labojumupamats">
    <w:name w:val="labojumu_pamats"/>
    <w:basedOn w:val="Normal"/>
    <w:rsid w:val="00C23C9B"/>
    <w:pPr>
      <w:spacing w:before="100" w:beforeAutospacing="1" w:after="100" w:afterAutospacing="1"/>
    </w:pPr>
    <w:rPr>
      <w:rFonts w:eastAsia="Times New Roman" w:cs="Times New Roman"/>
      <w:szCs w:val="24"/>
      <w:lang w:eastAsia="lv-LV"/>
    </w:rPr>
  </w:style>
  <w:style w:type="paragraph" w:styleId="BodyTextIndent">
    <w:name w:val="Body Text Indent"/>
    <w:basedOn w:val="Normal"/>
    <w:link w:val="BodyTextIndentChar"/>
    <w:semiHidden/>
    <w:rsid w:val="000338DB"/>
    <w:pPr>
      <w:suppressAutoHyphens/>
      <w:ind w:firstLine="709"/>
    </w:pPr>
    <w:rPr>
      <w:rFonts w:eastAsia="Times New Roman" w:cs="Times New Roman"/>
      <w:szCs w:val="24"/>
      <w:lang w:eastAsia="ar-SA"/>
    </w:rPr>
  </w:style>
  <w:style w:type="character" w:customStyle="1" w:styleId="BodyTextIndentChar">
    <w:name w:val="Body Text Indent Char"/>
    <w:basedOn w:val="DefaultParagraphFont"/>
    <w:link w:val="BodyTextIndent"/>
    <w:semiHidden/>
    <w:rsid w:val="000338DB"/>
    <w:rPr>
      <w:rFonts w:eastAsia="Times New Roman" w:cs="Times New Roman"/>
      <w:szCs w:val="24"/>
      <w:lang w:eastAsia="ar-SA"/>
    </w:rPr>
  </w:style>
  <w:style w:type="paragraph" w:customStyle="1" w:styleId="naisf">
    <w:name w:val="naisf"/>
    <w:basedOn w:val="Normal"/>
    <w:rsid w:val="00627667"/>
    <w:pPr>
      <w:spacing w:before="75" w:after="75"/>
      <w:ind w:firstLine="375"/>
      <w:jc w:val="both"/>
    </w:pPr>
    <w:rPr>
      <w:rFonts w:eastAsia="Times New Roman" w:cs="Times New Roman"/>
      <w:szCs w:val="24"/>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215"/>
    <w:pPr>
      <w:tabs>
        <w:tab w:val="center" w:pos="4153"/>
        <w:tab w:val="right" w:pos="8306"/>
      </w:tabs>
    </w:pPr>
  </w:style>
  <w:style w:type="character" w:customStyle="1" w:styleId="HeaderChar">
    <w:name w:val="Header Char"/>
    <w:basedOn w:val="DefaultParagraphFont"/>
    <w:link w:val="Header"/>
    <w:uiPriority w:val="99"/>
    <w:rsid w:val="00874215"/>
  </w:style>
  <w:style w:type="paragraph" w:styleId="Footer">
    <w:name w:val="footer"/>
    <w:basedOn w:val="Normal"/>
    <w:link w:val="FooterChar"/>
    <w:uiPriority w:val="99"/>
    <w:unhideWhenUsed/>
    <w:rsid w:val="00874215"/>
    <w:pPr>
      <w:tabs>
        <w:tab w:val="center" w:pos="4153"/>
        <w:tab w:val="right" w:pos="8306"/>
      </w:tabs>
    </w:pPr>
  </w:style>
  <w:style w:type="character" w:customStyle="1" w:styleId="FooterChar">
    <w:name w:val="Footer Char"/>
    <w:basedOn w:val="DefaultParagraphFont"/>
    <w:link w:val="Footer"/>
    <w:uiPriority w:val="99"/>
    <w:rsid w:val="00874215"/>
  </w:style>
  <w:style w:type="paragraph" w:customStyle="1" w:styleId="RakstzCharCharRakstzCharCharRakstz">
    <w:name w:val="Rakstz. Char Char Rakstz. Char Char Rakstz."/>
    <w:basedOn w:val="Normal"/>
    <w:rsid w:val="00333795"/>
    <w:pPr>
      <w:spacing w:after="160" w:line="240" w:lineRule="exact"/>
    </w:pPr>
    <w:rPr>
      <w:rFonts w:ascii="Tahoma" w:eastAsia="Times New Roman" w:hAnsi="Tahoma" w:cs="Times New Roman"/>
      <w:sz w:val="20"/>
      <w:szCs w:val="20"/>
      <w:lang w:val="en-US"/>
    </w:rPr>
  </w:style>
  <w:style w:type="paragraph" w:styleId="BalloonText">
    <w:name w:val="Balloon Text"/>
    <w:basedOn w:val="Normal"/>
    <w:link w:val="BalloonTextChar"/>
    <w:uiPriority w:val="99"/>
    <w:semiHidden/>
    <w:unhideWhenUsed/>
    <w:rsid w:val="00E82B0B"/>
    <w:rPr>
      <w:rFonts w:ascii="Tahoma" w:hAnsi="Tahoma" w:cs="Tahoma"/>
      <w:sz w:val="16"/>
      <w:szCs w:val="16"/>
    </w:rPr>
  </w:style>
  <w:style w:type="character" w:customStyle="1" w:styleId="BalloonTextChar">
    <w:name w:val="Balloon Text Char"/>
    <w:basedOn w:val="DefaultParagraphFont"/>
    <w:link w:val="BalloonText"/>
    <w:uiPriority w:val="99"/>
    <w:semiHidden/>
    <w:rsid w:val="00E82B0B"/>
    <w:rPr>
      <w:rFonts w:ascii="Tahoma" w:hAnsi="Tahoma" w:cs="Tahoma"/>
      <w:sz w:val="16"/>
      <w:szCs w:val="16"/>
    </w:rPr>
  </w:style>
  <w:style w:type="character" w:styleId="CommentReference">
    <w:name w:val="annotation reference"/>
    <w:basedOn w:val="DefaultParagraphFont"/>
    <w:uiPriority w:val="99"/>
    <w:semiHidden/>
    <w:unhideWhenUsed/>
    <w:rsid w:val="00E82B0B"/>
    <w:rPr>
      <w:sz w:val="16"/>
      <w:szCs w:val="16"/>
    </w:rPr>
  </w:style>
  <w:style w:type="paragraph" w:styleId="CommentText">
    <w:name w:val="annotation text"/>
    <w:basedOn w:val="Normal"/>
    <w:link w:val="CommentTextChar"/>
    <w:uiPriority w:val="99"/>
    <w:unhideWhenUsed/>
    <w:rsid w:val="00E82B0B"/>
    <w:rPr>
      <w:sz w:val="20"/>
      <w:szCs w:val="20"/>
    </w:rPr>
  </w:style>
  <w:style w:type="character" w:customStyle="1" w:styleId="CommentTextChar">
    <w:name w:val="Comment Text Char"/>
    <w:basedOn w:val="DefaultParagraphFont"/>
    <w:link w:val="CommentText"/>
    <w:uiPriority w:val="99"/>
    <w:rsid w:val="00E82B0B"/>
    <w:rPr>
      <w:sz w:val="20"/>
      <w:szCs w:val="20"/>
    </w:rPr>
  </w:style>
  <w:style w:type="paragraph" w:styleId="CommentSubject">
    <w:name w:val="annotation subject"/>
    <w:basedOn w:val="CommentText"/>
    <w:next w:val="CommentText"/>
    <w:link w:val="CommentSubjectChar"/>
    <w:uiPriority w:val="99"/>
    <w:semiHidden/>
    <w:unhideWhenUsed/>
    <w:rsid w:val="00E82B0B"/>
    <w:rPr>
      <w:b/>
      <w:bCs/>
    </w:rPr>
  </w:style>
  <w:style w:type="character" w:customStyle="1" w:styleId="CommentSubjectChar">
    <w:name w:val="Comment Subject Char"/>
    <w:basedOn w:val="CommentTextChar"/>
    <w:link w:val="CommentSubject"/>
    <w:uiPriority w:val="99"/>
    <w:semiHidden/>
    <w:rsid w:val="00E82B0B"/>
    <w:rPr>
      <w:b/>
      <w:bCs/>
      <w:sz w:val="20"/>
      <w:szCs w:val="20"/>
    </w:rPr>
  </w:style>
  <w:style w:type="paragraph" w:customStyle="1" w:styleId="tvhtml">
    <w:name w:val="tv_html"/>
    <w:basedOn w:val="Normal"/>
    <w:rsid w:val="0014690E"/>
    <w:pPr>
      <w:spacing w:before="100" w:beforeAutospacing="1" w:after="100" w:afterAutospacing="1"/>
    </w:pPr>
    <w:rPr>
      <w:rFonts w:eastAsia="Times New Roman" w:cs="Times New Roman"/>
      <w:szCs w:val="24"/>
      <w:lang w:eastAsia="lv-LV"/>
    </w:rPr>
  </w:style>
  <w:style w:type="paragraph" w:customStyle="1" w:styleId="tv213">
    <w:name w:val="tv213"/>
    <w:basedOn w:val="Normal"/>
    <w:rsid w:val="00C23C9B"/>
    <w:pPr>
      <w:spacing w:before="100" w:beforeAutospacing="1" w:after="100" w:afterAutospacing="1"/>
    </w:pPr>
    <w:rPr>
      <w:rFonts w:eastAsia="Times New Roman" w:cs="Times New Roman"/>
      <w:szCs w:val="24"/>
      <w:lang w:eastAsia="lv-LV"/>
    </w:rPr>
  </w:style>
  <w:style w:type="character" w:styleId="Hyperlink">
    <w:name w:val="Hyperlink"/>
    <w:basedOn w:val="DefaultParagraphFont"/>
    <w:uiPriority w:val="99"/>
    <w:semiHidden/>
    <w:unhideWhenUsed/>
    <w:rsid w:val="00C23C9B"/>
    <w:rPr>
      <w:color w:val="0000FF"/>
      <w:u w:val="single"/>
    </w:rPr>
  </w:style>
  <w:style w:type="paragraph" w:customStyle="1" w:styleId="labojumupamats">
    <w:name w:val="labojumu_pamats"/>
    <w:basedOn w:val="Normal"/>
    <w:rsid w:val="00C23C9B"/>
    <w:pPr>
      <w:spacing w:before="100" w:beforeAutospacing="1" w:after="100" w:afterAutospacing="1"/>
    </w:pPr>
    <w:rPr>
      <w:rFonts w:eastAsia="Times New Roman" w:cs="Times New Roman"/>
      <w:szCs w:val="24"/>
      <w:lang w:eastAsia="lv-LV"/>
    </w:rPr>
  </w:style>
  <w:style w:type="paragraph" w:styleId="BodyTextIndent">
    <w:name w:val="Body Text Indent"/>
    <w:basedOn w:val="Normal"/>
    <w:link w:val="BodyTextIndentChar"/>
    <w:semiHidden/>
    <w:rsid w:val="000338DB"/>
    <w:pPr>
      <w:suppressAutoHyphens/>
      <w:ind w:firstLine="709"/>
    </w:pPr>
    <w:rPr>
      <w:rFonts w:eastAsia="Times New Roman" w:cs="Times New Roman"/>
      <w:szCs w:val="24"/>
      <w:lang w:eastAsia="ar-SA"/>
    </w:rPr>
  </w:style>
  <w:style w:type="character" w:customStyle="1" w:styleId="BodyTextIndentChar">
    <w:name w:val="Body Text Indent Char"/>
    <w:basedOn w:val="DefaultParagraphFont"/>
    <w:link w:val="BodyTextIndent"/>
    <w:semiHidden/>
    <w:rsid w:val="000338DB"/>
    <w:rPr>
      <w:rFonts w:eastAsia="Times New Roman" w:cs="Times New Roman"/>
      <w:szCs w:val="24"/>
      <w:lang w:eastAsia="ar-SA"/>
    </w:rPr>
  </w:style>
  <w:style w:type="paragraph" w:customStyle="1" w:styleId="naisf">
    <w:name w:val="naisf"/>
    <w:basedOn w:val="Normal"/>
    <w:rsid w:val="00627667"/>
    <w:pPr>
      <w:spacing w:before="75" w:after="75"/>
      <w:ind w:firstLine="375"/>
      <w:jc w:val="both"/>
    </w:pPr>
    <w:rPr>
      <w:rFonts w:eastAsia="Times New Roman" w:cs="Times New Roman"/>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67737">
      <w:bodyDiv w:val="1"/>
      <w:marLeft w:val="0"/>
      <w:marRight w:val="0"/>
      <w:marTop w:val="0"/>
      <w:marBottom w:val="0"/>
      <w:divBdr>
        <w:top w:val="none" w:sz="0" w:space="0" w:color="auto"/>
        <w:left w:val="none" w:sz="0" w:space="0" w:color="auto"/>
        <w:bottom w:val="none" w:sz="0" w:space="0" w:color="auto"/>
        <w:right w:val="none" w:sz="0" w:space="0" w:color="auto"/>
      </w:divBdr>
      <w:divsChild>
        <w:div w:id="307445841">
          <w:marLeft w:val="0"/>
          <w:marRight w:val="0"/>
          <w:marTop w:val="0"/>
          <w:marBottom w:val="0"/>
          <w:divBdr>
            <w:top w:val="none" w:sz="0" w:space="0" w:color="auto"/>
            <w:left w:val="none" w:sz="0" w:space="0" w:color="auto"/>
            <w:bottom w:val="none" w:sz="0" w:space="0" w:color="auto"/>
            <w:right w:val="none" w:sz="0" w:space="0" w:color="auto"/>
          </w:divBdr>
        </w:div>
        <w:div w:id="2070182111">
          <w:marLeft w:val="0"/>
          <w:marRight w:val="0"/>
          <w:marTop w:val="0"/>
          <w:marBottom w:val="0"/>
          <w:divBdr>
            <w:top w:val="none" w:sz="0" w:space="0" w:color="auto"/>
            <w:left w:val="none" w:sz="0" w:space="0" w:color="auto"/>
            <w:bottom w:val="none" w:sz="0" w:space="0" w:color="auto"/>
            <w:right w:val="none" w:sz="0" w:space="0" w:color="auto"/>
          </w:divBdr>
        </w:div>
      </w:divsChild>
    </w:div>
    <w:div w:id="8081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FB371-B322-4D34-A617-97D17A7BC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7371</Words>
  <Characters>4203</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2010.gada 6.aprīļa noteikumos Nr.335 "Noteikumi par ceralizēto eksāmenu saturu un norises kārtību"" sākotnējās ietekmes novērtējuma ziņojums (anotācija)</vt:lpstr>
    </vt:vector>
  </TitlesOfParts>
  <Manager>Valsts izglītības satura centrs</Manager>
  <Company>Izglītības un zinātnes ministrija</Company>
  <LinksUpToDate>false</LinksUpToDate>
  <CharactersWithSpaces>11551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2010.gada 6.aprīļa noteikumos Nr.335 "Noteikumi par ceralizēto eksāmenu saturu un norises kārtību"" sākotnējās ietekmes novērtējuma ziņojums (anotācija)</dc:title>
  <dc:subject>anotācija</dc:subject>
  <dc:creator>Ingrida Kamarute</dc:creator>
  <cp:lastModifiedBy>Ingrida Kamarute</cp:lastModifiedBy>
  <cp:revision>4</cp:revision>
  <cp:lastPrinted>2018-12-14T09:04:00Z</cp:lastPrinted>
  <dcterms:created xsi:type="dcterms:W3CDTF">2019-03-25T11:11:00Z</dcterms:created>
  <dcterms:modified xsi:type="dcterms:W3CDTF">2019-03-25T11:11:00Z</dcterms:modified>
</cp:coreProperties>
</file>