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8D5C8" w14:textId="77777777" w:rsidR="002D4307" w:rsidRDefault="002D4307" w:rsidP="0015241F">
      <w:pPr>
        <w:jc w:val="center"/>
        <w:rPr>
          <w:b/>
        </w:rPr>
      </w:pPr>
      <w:r w:rsidRPr="002D4307">
        <w:rPr>
          <w:b/>
        </w:rPr>
        <w:t xml:space="preserve">Ministru kabineta noteikumu </w:t>
      </w:r>
      <w:r>
        <w:rPr>
          <w:b/>
        </w:rPr>
        <w:t>projekta</w:t>
      </w:r>
    </w:p>
    <w:p w14:paraId="62AA926C" w14:textId="77777777" w:rsidR="002D4307" w:rsidRDefault="002D4307" w:rsidP="0015241F">
      <w:pPr>
        <w:jc w:val="center"/>
        <w:rPr>
          <w:b/>
        </w:rPr>
      </w:pPr>
      <w:r w:rsidRPr="002D4307">
        <w:rPr>
          <w:b/>
        </w:rPr>
        <w:t xml:space="preserv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p>
    <w:p w14:paraId="4A0644E9" w14:textId="44C028E1" w:rsidR="00AE1DA4" w:rsidRDefault="002D4307" w:rsidP="0015241F">
      <w:pPr>
        <w:jc w:val="center"/>
        <w:rPr>
          <w:b/>
        </w:rPr>
      </w:pPr>
      <w:r w:rsidRPr="002D4307">
        <w:rPr>
          <w:b/>
        </w:rPr>
        <w:t>sākotnējās ietekmes novērtējuma ziņojums (anotācija)</w:t>
      </w:r>
    </w:p>
    <w:p w14:paraId="1AED0BF1" w14:textId="77777777" w:rsidR="002D4307" w:rsidRPr="00600B68" w:rsidRDefault="002D4307" w:rsidP="001524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600B68" w:rsidRPr="00600B68" w14:paraId="374AF7B2"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Tiesību akta projekta anotācijas kopsavilkums</w:t>
            </w:r>
          </w:p>
        </w:tc>
      </w:tr>
      <w:tr w:rsidR="00600B68" w:rsidRPr="00600B68" w14:paraId="6457A4FB"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520D2D7F" w14:textId="446A0AB5" w:rsidR="000952B3" w:rsidRPr="00600B68" w:rsidRDefault="00B650B7" w:rsidP="001351FC">
            <w:pPr>
              <w:tabs>
                <w:tab w:val="left" w:pos="1904"/>
              </w:tabs>
              <w:rPr>
                <w:lang w:eastAsia="en-US"/>
              </w:rPr>
            </w:pPr>
            <w:r w:rsidRPr="00600B68">
              <w:t>Mērķis, risinājums u</w:t>
            </w:r>
            <w:r w:rsidR="004210D4" w:rsidRPr="00600B68">
              <w:t>n projekta spēkā stāšanās laiks</w:t>
            </w:r>
            <w:r w:rsidR="00B023C3" w:rsidRPr="00600B68">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780A8970" w14:textId="3D0FF522" w:rsidR="00214730" w:rsidRDefault="00214730" w:rsidP="00214730">
            <w:pPr>
              <w:jc w:val="both"/>
              <w:rPr>
                <w:rFonts w:eastAsiaTheme="minorEastAsia"/>
              </w:rPr>
            </w:pPr>
            <w:r w:rsidRPr="00214730">
              <w:rPr>
                <w:rFonts w:eastAsiaTheme="minorEastAsia"/>
              </w:rPr>
              <w:t>Noteikumu projekts sagatavots, lai nodrošinātu MK 24.03.2009. noteikumu Nr.</w:t>
            </w:r>
            <w:r w:rsidR="00C84132">
              <w:rPr>
                <w:rFonts w:eastAsiaTheme="minorEastAsia"/>
              </w:rPr>
              <w:t> </w:t>
            </w:r>
            <w:r w:rsidRPr="00214730">
              <w:rPr>
                <w:rFonts w:eastAsiaTheme="minorEastAsia"/>
              </w:rPr>
              <w:t>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atbilstību EK valsts atbalsta modernizācijas iniciatīvām, nemainot sākotnējā nacionālā normatīvā akta būtību.</w:t>
            </w:r>
          </w:p>
          <w:p w14:paraId="6C67C759" w14:textId="47478280" w:rsidR="000952B3" w:rsidRPr="00600B68" w:rsidRDefault="00B000A1" w:rsidP="00214730">
            <w:pPr>
              <w:jc w:val="both"/>
              <w:rPr>
                <w:rFonts w:eastAsiaTheme="minorEastAsia"/>
              </w:rPr>
            </w:pPr>
            <w:r w:rsidRPr="00600B68">
              <w:rPr>
                <w:rFonts w:eastAsiaTheme="minorEastAsia"/>
              </w:rPr>
              <w:t>Noteikumu projekts stāsies spēkā Oficiālo publikāciju un tiesiskās informācijas likumā noteiktajā kārtībā.</w:t>
            </w:r>
          </w:p>
        </w:tc>
      </w:tr>
    </w:tbl>
    <w:p w14:paraId="11611092" w14:textId="62CCBDEA" w:rsidR="000952B3" w:rsidRPr="00600B68" w:rsidRDefault="00046435" w:rsidP="00785EFA">
      <w:pPr>
        <w:tabs>
          <w:tab w:val="left" w:pos="5388"/>
        </w:tabs>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949"/>
        <w:gridCol w:w="6322"/>
      </w:tblGrid>
      <w:tr w:rsidR="00600B68" w:rsidRPr="00600B68" w14:paraId="57FE3E7E" w14:textId="77777777" w:rsidTr="005302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 Tiesību akta projekta izstrādes nepieciešamība</w:t>
            </w:r>
          </w:p>
        </w:tc>
      </w:tr>
      <w:tr w:rsidR="00600B68" w:rsidRPr="00600B68" w14:paraId="64D4EB35"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600B68" w:rsidRDefault="00B650B7" w:rsidP="001351FC">
            <w:pPr>
              <w:jc w:val="center"/>
              <w:rPr>
                <w:lang w:eastAsia="en-US"/>
              </w:rPr>
            </w:pPr>
            <w:r w:rsidRPr="00600B68">
              <w:t>1.</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600B68" w:rsidRDefault="00B650B7" w:rsidP="001351FC">
            <w:pPr>
              <w:tabs>
                <w:tab w:val="left" w:pos="1904"/>
              </w:tabs>
              <w:rPr>
                <w:lang w:eastAsia="en-US"/>
              </w:rPr>
            </w:pPr>
            <w:r w:rsidRPr="00600B68">
              <w:t>Pamatojums</w:t>
            </w:r>
          </w:p>
        </w:tc>
        <w:tc>
          <w:tcPr>
            <w:tcW w:w="3495" w:type="pct"/>
            <w:tcBorders>
              <w:top w:val="single" w:sz="4" w:space="0" w:color="auto"/>
              <w:left w:val="single" w:sz="4" w:space="0" w:color="auto"/>
              <w:bottom w:val="single" w:sz="4" w:space="0" w:color="auto"/>
              <w:right w:val="single" w:sz="4" w:space="0" w:color="auto"/>
            </w:tcBorders>
            <w:shd w:val="clear" w:color="auto" w:fill="auto"/>
            <w:vAlign w:val="center"/>
          </w:tcPr>
          <w:p w14:paraId="4D5F8743" w14:textId="431E0445" w:rsidR="005C1803" w:rsidRPr="00600B68" w:rsidRDefault="00C84132" w:rsidP="00C84132">
            <w:pPr>
              <w:pStyle w:val="ListParagraph"/>
              <w:spacing w:before="60" w:after="60"/>
              <w:ind w:left="101" w:right="102"/>
              <w:jc w:val="both"/>
              <w:rPr>
                <w:rFonts w:eastAsiaTheme="minorEastAsia"/>
                <w:sz w:val="24"/>
                <w:szCs w:val="24"/>
              </w:rPr>
            </w:pPr>
            <w:r w:rsidRPr="00C84132">
              <w:rPr>
                <w:rFonts w:eastAsiaTheme="minorEastAsia"/>
                <w:sz w:val="24"/>
                <w:szCs w:val="24"/>
              </w:rPr>
              <w:t xml:space="preserve">Ministru kabineta noteikumu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r w:rsidR="00214730" w:rsidRPr="00214730">
              <w:rPr>
                <w:rFonts w:eastAsiaTheme="minorEastAsia"/>
                <w:sz w:val="24"/>
                <w:szCs w:val="24"/>
              </w:rPr>
              <w:t xml:space="preserve">projekts </w:t>
            </w:r>
            <w:r>
              <w:rPr>
                <w:rFonts w:eastAsiaTheme="minorEastAsia"/>
                <w:sz w:val="24"/>
                <w:szCs w:val="24"/>
              </w:rPr>
              <w:t xml:space="preserve">(turpmāk – noteikumu projekts) </w:t>
            </w:r>
            <w:r w:rsidR="00214730" w:rsidRPr="00214730">
              <w:rPr>
                <w:rFonts w:eastAsiaTheme="minorEastAsia"/>
                <w:sz w:val="24"/>
                <w:szCs w:val="24"/>
              </w:rPr>
              <w:t>sagatavots pēc Izglītības un zinātnes ministrijas iniciatīvas saskaņā ar Eiropas Savienības struktūrfondu un Kohēzijas fonda vadības likuma 18. panta 10. punktu.</w:t>
            </w:r>
          </w:p>
        </w:tc>
      </w:tr>
      <w:tr w:rsidR="00600B68" w:rsidRPr="00600B68" w14:paraId="0CFF28F5"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5750303C" w14:textId="71E30869" w:rsidR="00055596" w:rsidRPr="00600B68" w:rsidRDefault="00B650B7" w:rsidP="001351FC">
            <w:pPr>
              <w:jc w:val="center"/>
              <w:rPr>
                <w:lang w:eastAsia="en-US"/>
              </w:rPr>
            </w:pPr>
            <w:r w:rsidRPr="00600B68">
              <w:t>2.</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600B68" w:rsidRDefault="00B650B7" w:rsidP="001351FC">
            <w:pPr>
              <w:jc w:val="both"/>
              <w:rPr>
                <w:lang w:eastAsia="en-US"/>
              </w:rPr>
            </w:pPr>
            <w:r w:rsidRPr="00600B68">
              <w:t xml:space="preserve">Pašreizējā situācija un problēmas, kuru risināšanai tiesību akta projekts izstrādāts, tiesiskā regulējuma mērķis un būtība </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136C41CD" w14:textId="2D6F576D" w:rsidR="00214730" w:rsidRPr="00214730" w:rsidRDefault="00C84132" w:rsidP="00214730">
            <w:pPr>
              <w:pStyle w:val="ListParagraph"/>
              <w:spacing w:before="60" w:after="60"/>
              <w:ind w:left="101" w:right="102"/>
              <w:jc w:val="both"/>
              <w:rPr>
                <w:rFonts w:eastAsiaTheme="minorEastAsia"/>
                <w:sz w:val="24"/>
                <w:szCs w:val="24"/>
              </w:rPr>
            </w:pPr>
            <w:r>
              <w:rPr>
                <w:rFonts w:eastAsiaTheme="minorEastAsia"/>
                <w:sz w:val="24"/>
                <w:szCs w:val="24"/>
              </w:rPr>
              <w:t>Ministru kabineta</w:t>
            </w:r>
            <w:r w:rsidRPr="00C84132">
              <w:rPr>
                <w:rFonts w:eastAsiaTheme="minorEastAsia"/>
                <w:sz w:val="24"/>
                <w:szCs w:val="24"/>
              </w:rPr>
              <w:t xml:space="preserve"> 24.03.2009. noteikum</w:t>
            </w:r>
            <w:r>
              <w:rPr>
                <w:rFonts w:eastAsiaTheme="minorEastAsia"/>
                <w:sz w:val="24"/>
                <w:szCs w:val="24"/>
              </w:rPr>
              <w:t>i</w:t>
            </w:r>
            <w:r w:rsidRPr="00C84132">
              <w:rPr>
                <w:rFonts w:eastAsiaTheme="minorEastAsia"/>
                <w:sz w:val="24"/>
                <w:szCs w:val="24"/>
              </w:rPr>
              <w:t xml:space="preserve">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Pr>
                <w:rFonts w:eastAsiaTheme="minorEastAsia"/>
                <w:sz w:val="24"/>
                <w:szCs w:val="24"/>
              </w:rPr>
              <w:t xml:space="preserve"> (turpmāk – </w:t>
            </w:r>
            <w:r w:rsidR="00214730" w:rsidRPr="00214730">
              <w:rPr>
                <w:rFonts w:eastAsiaTheme="minorEastAsia"/>
                <w:sz w:val="24"/>
                <w:szCs w:val="24"/>
              </w:rPr>
              <w:t>MK noteikumi Nr.</w:t>
            </w:r>
            <w:r>
              <w:rPr>
                <w:rFonts w:eastAsiaTheme="minorEastAsia"/>
                <w:sz w:val="24"/>
                <w:szCs w:val="24"/>
              </w:rPr>
              <w:t> </w:t>
            </w:r>
            <w:r w:rsidR="00214730" w:rsidRPr="00214730">
              <w:rPr>
                <w:rFonts w:eastAsiaTheme="minorEastAsia"/>
                <w:sz w:val="24"/>
                <w:szCs w:val="24"/>
              </w:rPr>
              <w:t>265</w:t>
            </w:r>
            <w:r>
              <w:rPr>
                <w:rFonts w:eastAsiaTheme="minorEastAsia"/>
                <w:sz w:val="24"/>
                <w:szCs w:val="24"/>
              </w:rPr>
              <w:t>)</w:t>
            </w:r>
            <w:r w:rsidR="00214730" w:rsidRPr="00214730">
              <w:rPr>
                <w:rFonts w:eastAsiaTheme="minorEastAsia"/>
                <w:sz w:val="24"/>
                <w:szCs w:val="24"/>
              </w:rPr>
              <w:t xml:space="preserve"> nosaka kārtību, kādā tiek īstenoti 3.1.2.1.1. </w:t>
            </w:r>
            <w:proofErr w:type="spellStart"/>
            <w:r w:rsidR="00214730" w:rsidRPr="00214730">
              <w:rPr>
                <w:rFonts w:eastAsiaTheme="minorEastAsia"/>
                <w:sz w:val="24"/>
                <w:szCs w:val="24"/>
              </w:rPr>
              <w:t>apakšaktivitātes</w:t>
            </w:r>
            <w:proofErr w:type="spellEnd"/>
            <w:r w:rsidR="00214730" w:rsidRPr="00214730">
              <w:rPr>
                <w:rFonts w:eastAsiaTheme="minorEastAsia"/>
                <w:sz w:val="24"/>
                <w:szCs w:val="24"/>
              </w:rPr>
              <w:t xml:space="preserve"> ""Augstākās izglītības iestāžu telpu un iekārtu modernizēšana studiju programmu kvalitātes uzlabošanai, tajā skaitā nodrošinot izglītības programmu apgūšanas iespējas arī personām ar funkcionāliem traucējumiem" (turpmāk – 3.1.2.1.1. aktivitāte) pirmās projektu iesniegumu atlases kārtas projekti (turpmāk </w:t>
            </w:r>
            <w:r w:rsidR="00C7680B">
              <w:rPr>
                <w:rFonts w:eastAsiaTheme="minorEastAsia"/>
                <w:sz w:val="24"/>
                <w:szCs w:val="24"/>
              </w:rPr>
              <w:t>– projekts</w:t>
            </w:r>
            <w:r w:rsidR="00214730" w:rsidRPr="00214730">
              <w:rPr>
                <w:rFonts w:eastAsiaTheme="minorEastAsia"/>
                <w:sz w:val="24"/>
                <w:szCs w:val="24"/>
              </w:rPr>
              <w:t xml:space="preserve">). </w:t>
            </w:r>
          </w:p>
          <w:p w14:paraId="3B252439" w14:textId="77777777" w:rsidR="00214730" w:rsidRPr="00214730"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Saskaņā ar MK noteikumiem Nr. 265 3.1.2.1.1 aktivitātes ietvaros atbalstu sniedza studiju programmu īstenošanai </w:t>
            </w:r>
            <w:r w:rsidRPr="00214730">
              <w:rPr>
                <w:rFonts w:eastAsiaTheme="minorEastAsia"/>
                <w:sz w:val="24"/>
                <w:szCs w:val="24"/>
              </w:rPr>
              <w:lastRenderedPageBreak/>
              <w:t xml:space="preserve">nepieciešamās infrastruktūras modernizēšanai augstākās izglītības institūcijās, tai skaitā: </w:t>
            </w:r>
          </w:p>
          <w:p w14:paraId="1AEB74E1" w14:textId="6BFDE064"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Baltijas Starptautiskā Akadēmija;</w:t>
            </w:r>
          </w:p>
          <w:p w14:paraId="55EF8ADE" w14:textId="0143A66A"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Daugavpils medicīnas koledža;</w:t>
            </w:r>
          </w:p>
          <w:p w14:paraId="61AF4A27" w14:textId="1B53D680"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Daugavpils Universitāte;</w:t>
            </w:r>
          </w:p>
          <w:p w14:paraId="1CBC9C67" w14:textId="7A58BA7E"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Informācijas sistēmu menedžmenta augstskola;</w:t>
            </w:r>
          </w:p>
          <w:p w14:paraId="0AC8D3EB" w14:textId="38F76434"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Jāzepa Vītola Latvijas Mūzikas akadēmija;</w:t>
            </w:r>
          </w:p>
          <w:p w14:paraId="55769033" w14:textId="05CBFAD5"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 xml:space="preserve">Latvijas Jūras akadēmija;  </w:t>
            </w:r>
          </w:p>
          <w:p w14:paraId="4086C659" w14:textId="7D626BFB"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Kultūras akadēmija;</w:t>
            </w:r>
          </w:p>
          <w:p w14:paraId="0D742BA9" w14:textId="43D57BA3"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Lauksaimniecības universitāte;</w:t>
            </w:r>
          </w:p>
          <w:p w14:paraId="3CBBB861" w14:textId="6FF4F50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Mākslas akadēmija;</w:t>
            </w:r>
          </w:p>
          <w:p w14:paraId="089D2DBE" w14:textId="23680A92"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Sporta pedagoģijas akadēmija;</w:t>
            </w:r>
          </w:p>
          <w:p w14:paraId="10F096F6" w14:textId="5D357BDE"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Universitāte, t</w:t>
            </w:r>
            <w:r w:rsidR="000142D2">
              <w:rPr>
                <w:rFonts w:eastAsiaTheme="minorEastAsia"/>
                <w:sz w:val="24"/>
                <w:szCs w:val="24"/>
              </w:rPr>
              <w:t>ai skaitā</w:t>
            </w:r>
            <w:r w:rsidR="00C7680B">
              <w:rPr>
                <w:rFonts w:eastAsiaTheme="minorEastAsia"/>
                <w:sz w:val="24"/>
                <w:szCs w:val="24"/>
              </w:rPr>
              <w:t xml:space="preserve"> reorganizācijas rezultātā</w:t>
            </w:r>
            <w:r w:rsidRPr="00214730">
              <w:rPr>
                <w:rFonts w:eastAsiaTheme="minorEastAsia"/>
                <w:sz w:val="24"/>
                <w:szCs w:val="24"/>
              </w:rPr>
              <w:t>:</w:t>
            </w:r>
          </w:p>
          <w:p w14:paraId="78DC1309" w14:textId="2D8E9709" w:rsidR="00214730" w:rsidRPr="00214730" w:rsidRDefault="00214730" w:rsidP="00B42F43">
            <w:pPr>
              <w:pStyle w:val="ListParagraph"/>
              <w:numPr>
                <w:ilvl w:val="1"/>
                <w:numId w:val="21"/>
              </w:numPr>
              <w:spacing w:before="60" w:after="60"/>
              <w:ind w:right="102"/>
              <w:jc w:val="both"/>
              <w:rPr>
                <w:rFonts w:eastAsiaTheme="minorEastAsia"/>
                <w:sz w:val="24"/>
                <w:szCs w:val="24"/>
              </w:rPr>
            </w:pPr>
            <w:r w:rsidRPr="00214730">
              <w:rPr>
                <w:rFonts w:eastAsiaTheme="minorEastAsia"/>
                <w:sz w:val="24"/>
                <w:szCs w:val="24"/>
              </w:rPr>
              <w:t>Rīgas Pedagoģijas un izglītības vadības akadēmijas projekts;</w:t>
            </w:r>
          </w:p>
          <w:p w14:paraId="2DD33EE6" w14:textId="64CDED73" w:rsidR="00214730" w:rsidRPr="00214730" w:rsidRDefault="00214730" w:rsidP="00B42F43">
            <w:pPr>
              <w:pStyle w:val="ListParagraph"/>
              <w:numPr>
                <w:ilvl w:val="1"/>
                <w:numId w:val="21"/>
              </w:numPr>
              <w:spacing w:before="60" w:after="60"/>
              <w:ind w:right="102"/>
              <w:jc w:val="both"/>
              <w:rPr>
                <w:rFonts w:eastAsiaTheme="minorEastAsia"/>
                <w:sz w:val="24"/>
                <w:szCs w:val="24"/>
              </w:rPr>
            </w:pPr>
            <w:r w:rsidRPr="00214730">
              <w:rPr>
                <w:rFonts w:eastAsiaTheme="minorEastAsia"/>
                <w:sz w:val="24"/>
                <w:szCs w:val="24"/>
              </w:rPr>
              <w:t>Latvijas Universitātes P. Stradiņa medicīnas koledžas projekts;</w:t>
            </w:r>
          </w:p>
          <w:p w14:paraId="1C20D67F" w14:textId="4B1B39A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Liepājas Jūrniecības koledža;</w:t>
            </w:r>
          </w:p>
          <w:p w14:paraId="2CB1457D" w14:textId="0FE79ADC"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Liepājas Universitāte;</w:t>
            </w:r>
          </w:p>
          <w:p w14:paraId="27C39624" w14:textId="432CA27E"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Malnavas koledža;</w:t>
            </w:r>
          </w:p>
          <w:p w14:paraId="1563B2BB" w14:textId="22629AEF"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Olaines Mehānikas un tehnoloģijas koledža;</w:t>
            </w:r>
          </w:p>
          <w:p w14:paraId="2CCC66A2" w14:textId="3BDE9087"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Rēzeknes Augstskola;</w:t>
            </w:r>
          </w:p>
          <w:p w14:paraId="388A1F42" w14:textId="645B4C6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1. medicīnas koledža;</w:t>
            </w:r>
          </w:p>
          <w:p w14:paraId="25DDE89E" w14:textId="1D8E0E1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Celtniecības koledža;</w:t>
            </w:r>
          </w:p>
          <w:p w14:paraId="4D31AD5F" w14:textId="6DBE5A12"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Medicīnas koledža;</w:t>
            </w:r>
          </w:p>
          <w:p w14:paraId="4559F418" w14:textId="77777777" w:rsidR="000142D2"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Stradiņa universitāte</w:t>
            </w:r>
            <w:r w:rsidR="000142D2">
              <w:rPr>
                <w:rFonts w:eastAsiaTheme="minorEastAsia"/>
                <w:sz w:val="24"/>
                <w:szCs w:val="24"/>
              </w:rPr>
              <w:t>, tai skaitā reorganizācijas rezultātā:</w:t>
            </w:r>
          </w:p>
          <w:p w14:paraId="05D4E34B" w14:textId="3EEF65C4" w:rsidR="00214730" w:rsidRPr="00214730" w:rsidRDefault="000142D2" w:rsidP="000142D2">
            <w:pPr>
              <w:pStyle w:val="ListParagraph"/>
              <w:numPr>
                <w:ilvl w:val="1"/>
                <w:numId w:val="21"/>
              </w:numPr>
              <w:spacing w:before="60" w:after="60"/>
              <w:ind w:right="102"/>
              <w:jc w:val="both"/>
              <w:rPr>
                <w:rFonts w:eastAsiaTheme="minorEastAsia"/>
                <w:sz w:val="24"/>
                <w:szCs w:val="24"/>
              </w:rPr>
            </w:pPr>
            <w:r w:rsidRPr="00214730">
              <w:rPr>
                <w:rFonts w:eastAsiaTheme="minorEastAsia"/>
                <w:sz w:val="24"/>
                <w:szCs w:val="24"/>
              </w:rPr>
              <w:t>Liepājas medicīnas koledža</w:t>
            </w:r>
            <w:r w:rsidR="00214730" w:rsidRPr="00214730">
              <w:rPr>
                <w:rFonts w:eastAsiaTheme="minorEastAsia"/>
                <w:sz w:val="24"/>
                <w:szCs w:val="24"/>
              </w:rPr>
              <w:t>;</w:t>
            </w:r>
          </w:p>
          <w:p w14:paraId="53205630" w14:textId="1A557F9F"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Tehniskā koledža;</w:t>
            </w:r>
          </w:p>
          <w:p w14:paraId="1A975425" w14:textId="5D0DBBB2"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Tehniskā universitāte;</w:t>
            </w:r>
          </w:p>
          <w:p w14:paraId="3A83C7B7" w14:textId="72E679B2"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Sarkanā Krusta medicīnas koledža;</w:t>
            </w:r>
          </w:p>
          <w:p w14:paraId="6C917AC4" w14:textId="0ED7A04C"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 xml:space="preserve">Sociālās integrācijas valsts aģentūra; </w:t>
            </w:r>
          </w:p>
          <w:p w14:paraId="241F8F64" w14:textId="012D363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Transporta un sakaru institūts;</w:t>
            </w:r>
          </w:p>
          <w:p w14:paraId="69CCAF3D" w14:textId="3E849A37"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Ventspils Augstskola;</w:t>
            </w:r>
          </w:p>
          <w:p w14:paraId="6C6BB50A" w14:textId="1E50D225" w:rsid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Vidzemes Augstskola.</w:t>
            </w:r>
          </w:p>
          <w:p w14:paraId="6C1F0A82" w14:textId="6115179E" w:rsidR="00E970CE" w:rsidRPr="00E970CE" w:rsidRDefault="00C1100C" w:rsidP="00E970CE">
            <w:pPr>
              <w:spacing w:before="60" w:after="60"/>
              <w:ind w:right="102"/>
              <w:jc w:val="both"/>
              <w:rPr>
                <w:rFonts w:eastAsiaTheme="minorEastAsia"/>
                <w:b/>
              </w:rPr>
            </w:pPr>
            <w:r>
              <w:rPr>
                <w:rFonts w:eastAsiaTheme="minorEastAsia"/>
                <w:b/>
              </w:rPr>
              <w:t>I. </w:t>
            </w:r>
            <w:r w:rsidR="00E970CE" w:rsidRPr="00E970CE">
              <w:rPr>
                <w:rFonts w:eastAsiaTheme="minorEastAsia"/>
                <w:b/>
              </w:rPr>
              <w:t>Valsts atbalsta modernizācijas iniciatīvu ieviešana</w:t>
            </w:r>
          </w:p>
          <w:p w14:paraId="5E62E28D" w14:textId="54E1A5FA" w:rsidR="00E970CE" w:rsidRPr="00E970CE" w:rsidRDefault="00E970CE" w:rsidP="00E970CE">
            <w:pPr>
              <w:spacing w:before="60" w:after="60"/>
              <w:ind w:right="102"/>
              <w:jc w:val="both"/>
              <w:rPr>
                <w:rFonts w:eastAsiaTheme="minorEastAsia"/>
              </w:rPr>
            </w:pPr>
            <w:r>
              <w:rPr>
                <w:rFonts w:eastAsiaTheme="minorEastAsia"/>
              </w:rPr>
              <w:t>Pēc MK noteikumu Nr. 265 spēkā stāšanās Eiropas Komisija ir īstenojusi</w:t>
            </w:r>
            <w:r w:rsidRPr="00214730">
              <w:rPr>
                <w:rFonts w:eastAsiaTheme="minorEastAsia"/>
              </w:rPr>
              <w:t xml:space="preserve"> valsts atbalsta modernizācijas iniciatīvas</w:t>
            </w:r>
            <w:r>
              <w:rPr>
                <w:rFonts w:eastAsiaTheme="minorEastAsia"/>
              </w:rPr>
              <w:t xml:space="preserve">, kas ietvertas vairākos EK izstrādātos dokumentos, tai skaitā </w:t>
            </w:r>
            <w:proofErr w:type="spellStart"/>
            <w:r w:rsidRPr="003A7EE0">
              <w:rPr>
                <w:rFonts w:eastAsiaTheme="minorEastAsia"/>
                <w:bCs/>
                <w:i/>
                <w:lang w:val="en-US"/>
              </w:rPr>
              <w:t>Komisijas</w:t>
            </w:r>
            <w:proofErr w:type="spellEnd"/>
            <w:r w:rsidRPr="003A7EE0">
              <w:rPr>
                <w:rFonts w:eastAsiaTheme="minorEastAsia"/>
                <w:bCs/>
                <w:i/>
                <w:lang w:val="en-US"/>
              </w:rPr>
              <w:t xml:space="preserve"> </w:t>
            </w:r>
            <w:proofErr w:type="spellStart"/>
            <w:r w:rsidRPr="003A7EE0">
              <w:rPr>
                <w:rFonts w:eastAsiaTheme="minorEastAsia"/>
                <w:bCs/>
                <w:i/>
                <w:lang w:val="en-US"/>
              </w:rPr>
              <w:t>paziņojum</w:t>
            </w:r>
            <w:r>
              <w:rPr>
                <w:rFonts w:eastAsiaTheme="minorEastAsia"/>
                <w:bCs/>
                <w:i/>
                <w:lang w:val="en-US"/>
              </w:rPr>
              <w:t>s</w:t>
            </w:r>
            <w:proofErr w:type="spellEnd"/>
            <w:r w:rsidRPr="003A7EE0">
              <w:rPr>
                <w:rFonts w:eastAsiaTheme="minorEastAsia"/>
                <w:bCs/>
                <w:i/>
                <w:lang w:val="en-US"/>
              </w:rPr>
              <w:t xml:space="preserve"> par </w:t>
            </w:r>
            <w:proofErr w:type="spellStart"/>
            <w:r w:rsidRPr="003A7EE0">
              <w:rPr>
                <w:rFonts w:eastAsiaTheme="minorEastAsia"/>
                <w:bCs/>
                <w:i/>
                <w:lang w:val="en-US"/>
              </w:rPr>
              <w:t>Līguma</w:t>
            </w:r>
            <w:proofErr w:type="spellEnd"/>
            <w:r w:rsidRPr="003A7EE0">
              <w:rPr>
                <w:rFonts w:eastAsiaTheme="minorEastAsia"/>
                <w:bCs/>
                <w:i/>
                <w:lang w:val="en-US"/>
              </w:rPr>
              <w:t xml:space="preserve"> par Eiropas </w:t>
            </w:r>
            <w:proofErr w:type="spellStart"/>
            <w:r w:rsidRPr="003A7EE0">
              <w:rPr>
                <w:rFonts w:eastAsiaTheme="minorEastAsia"/>
                <w:bCs/>
                <w:i/>
                <w:lang w:val="en-US"/>
              </w:rPr>
              <w:t>Savienības</w:t>
            </w:r>
            <w:proofErr w:type="spellEnd"/>
            <w:r w:rsidRPr="003A7EE0">
              <w:rPr>
                <w:rFonts w:eastAsiaTheme="minorEastAsia"/>
                <w:bCs/>
                <w:i/>
                <w:lang w:val="en-US"/>
              </w:rPr>
              <w:t xml:space="preserve"> </w:t>
            </w:r>
            <w:proofErr w:type="spellStart"/>
            <w:r w:rsidRPr="003A7EE0">
              <w:rPr>
                <w:rFonts w:eastAsiaTheme="minorEastAsia"/>
                <w:bCs/>
                <w:i/>
                <w:lang w:val="en-US"/>
              </w:rPr>
              <w:t>darbību</w:t>
            </w:r>
            <w:proofErr w:type="spellEnd"/>
            <w:r w:rsidRPr="003A7EE0">
              <w:rPr>
                <w:rFonts w:eastAsiaTheme="minorEastAsia"/>
                <w:bCs/>
                <w:i/>
                <w:lang w:val="en-US"/>
              </w:rPr>
              <w:t xml:space="preserve"> 107. </w:t>
            </w:r>
            <w:proofErr w:type="spellStart"/>
            <w:proofErr w:type="gramStart"/>
            <w:r w:rsidRPr="003A7EE0">
              <w:rPr>
                <w:rFonts w:eastAsiaTheme="minorEastAsia"/>
                <w:bCs/>
                <w:i/>
                <w:lang w:val="en-US"/>
              </w:rPr>
              <w:t>panta</w:t>
            </w:r>
            <w:proofErr w:type="spellEnd"/>
            <w:proofErr w:type="gramEnd"/>
            <w:r w:rsidRPr="003A7EE0">
              <w:rPr>
                <w:rFonts w:eastAsiaTheme="minorEastAsia"/>
                <w:bCs/>
                <w:i/>
                <w:lang w:val="en-US"/>
              </w:rPr>
              <w:t xml:space="preserve"> 1. </w:t>
            </w:r>
            <w:proofErr w:type="spellStart"/>
            <w:r w:rsidRPr="003A7EE0">
              <w:rPr>
                <w:rFonts w:eastAsiaTheme="minorEastAsia"/>
                <w:bCs/>
                <w:i/>
                <w:lang w:val="en-US"/>
              </w:rPr>
              <w:t>punktā</w:t>
            </w:r>
            <w:proofErr w:type="spellEnd"/>
            <w:r w:rsidRPr="003A7EE0">
              <w:rPr>
                <w:rFonts w:eastAsiaTheme="minorEastAsia"/>
                <w:bCs/>
                <w:i/>
                <w:lang w:val="en-US"/>
              </w:rPr>
              <w:t xml:space="preserve"> </w:t>
            </w:r>
            <w:proofErr w:type="spellStart"/>
            <w:r w:rsidRPr="003A7EE0">
              <w:rPr>
                <w:rFonts w:eastAsiaTheme="minorEastAsia"/>
                <w:bCs/>
                <w:i/>
                <w:lang w:val="en-US"/>
              </w:rPr>
              <w:t>minēto</w:t>
            </w:r>
            <w:proofErr w:type="spellEnd"/>
            <w:r w:rsidRPr="003A7EE0">
              <w:rPr>
                <w:rFonts w:eastAsiaTheme="minorEastAsia"/>
                <w:bCs/>
                <w:i/>
                <w:lang w:val="en-US"/>
              </w:rPr>
              <w:t xml:space="preserve"> </w:t>
            </w:r>
            <w:proofErr w:type="spellStart"/>
            <w:r w:rsidRPr="003A7EE0">
              <w:rPr>
                <w:rFonts w:eastAsiaTheme="minorEastAsia"/>
                <w:bCs/>
                <w:i/>
                <w:lang w:val="en-US"/>
              </w:rPr>
              <w:t>valsts</w:t>
            </w:r>
            <w:proofErr w:type="spellEnd"/>
            <w:r w:rsidRPr="003A7EE0">
              <w:rPr>
                <w:rFonts w:eastAsiaTheme="minorEastAsia"/>
                <w:bCs/>
                <w:i/>
                <w:lang w:val="en-US"/>
              </w:rPr>
              <w:t xml:space="preserve"> </w:t>
            </w:r>
            <w:proofErr w:type="spellStart"/>
            <w:r w:rsidRPr="003A7EE0">
              <w:rPr>
                <w:rFonts w:eastAsiaTheme="minorEastAsia"/>
                <w:bCs/>
                <w:i/>
                <w:lang w:val="en-US"/>
              </w:rPr>
              <w:t>atbalsta</w:t>
            </w:r>
            <w:proofErr w:type="spellEnd"/>
            <w:r w:rsidRPr="003A7EE0">
              <w:rPr>
                <w:rFonts w:eastAsiaTheme="minorEastAsia"/>
                <w:bCs/>
                <w:i/>
                <w:lang w:val="en-US"/>
              </w:rPr>
              <w:t xml:space="preserve"> </w:t>
            </w:r>
            <w:proofErr w:type="spellStart"/>
            <w:r w:rsidRPr="003A7EE0">
              <w:rPr>
                <w:rFonts w:eastAsiaTheme="minorEastAsia"/>
                <w:bCs/>
                <w:i/>
                <w:lang w:val="en-US"/>
              </w:rPr>
              <w:t>jēdzienu</w:t>
            </w:r>
            <w:proofErr w:type="spellEnd"/>
            <w:r>
              <w:rPr>
                <w:rFonts w:eastAsiaTheme="minorEastAsia"/>
                <w:bCs/>
                <w:i/>
                <w:lang w:val="en-US"/>
              </w:rPr>
              <w:t xml:space="preserve"> </w:t>
            </w:r>
            <w:r w:rsidRPr="00214730">
              <w:rPr>
                <w:rFonts w:eastAsiaTheme="minorEastAsia"/>
              </w:rPr>
              <w:t>(Eiropas Savienības Oficiālais Vēstnesis, 201</w:t>
            </w:r>
            <w:r>
              <w:rPr>
                <w:rFonts w:eastAsiaTheme="minorEastAsia"/>
              </w:rPr>
              <w:t>6</w:t>
            </w:r>
            <w:r w:rsidRPr="00214730">
              <w:rPr>
                <w:rFonts w:eastAsiaTheme="minorEastAsia"/>
              </w:rPr>
              <w:t xml:space="preserve">. gada </w:t>
            </w:r>
            <w:r>
              <w:rPr>
                <w:rFonts w:eastAsiaTheme="minorEastAsia"/>
              </w:rPr>
              <w:t>19</w:t>
            </w:r>
            <w:r w:rsidRPr="00214730">
              <w:rPr>
                <w:rFonts w:eastAsiaTheme="minorEastAsia"/>
              </w:rPr>
              <w:t>. jū</w:t>
            </w:r>
            <w:r>
              <w:rPr>
                <w:rFonts w:eastAsiaTheme="minorEastAsia"/>
              </w:rPr>
              <w:t>l</w:t>
            </w:r>
            <w:r w:rsidRPr="00214730">
              <w:rPr>
                <w:rFonts w:eastAsiaTheme="minorEastAsia"/>
              </w:rPr>
              <w:t xml:space="preserve">ijs, Nr. C </w:t>
            </w:r>
            <w:r>
              <w:rPr>
                <w:rFonts w:eastAsiaTheme="minorEastAsia"/>
              </w:rPr>
              <w:t>262</w:t>
            </w:r>
            <w:r w:rsidRPr="00214730">
              <w:rPr>
                <w:rFonts w:eastAsiaTheme="minorEastAsia"/>
              </w:rPr>
              <w:t xml:space="preserve">/1) (turpmāk – </w:t>
            </w:r>
            <w:r>
              <w:rPr>
                <w:rFonts w:eastAsiaTheme="minorEastAsia"/>
              </w:rPr>
              <w:t>Komisijas paziņojums</w:t>
            </w:r>
            <w:r w:rsidRPr="00214730">
              <w:rPr>
                <w:rFonts w:eastAsiaTheme="minorEastAsia"/>
              </w:rPr>
              <w:t>)</w:t>
            </w:r>
            <w:r>
              <w:rPr>
                <w:rFonts w:eastAsiaTheme="minorEastAsia"/>
              </w:rPr>
              <w:t>:</w:t>
            </w:r>
          </w:p>
          <w:p w14:paraId="32E82C08" w14:textId="6FA95690" w:rsidR="003A7EE0" w:rsidRDefault="003A7EE0" w:rsidP="00214730">
            <w:pPr>
              <w:pStyle w:val="ListParagraph"/>
              <w:spacing w:before="60" w:after="60"/>
              <w:ind w:left="101" w:right="102"/>
              <w:jc w:val="both"/>
              <w:rPr>
                <w:rFonts w:eastAsiaTheme="minorEastAsia"/>
                <w:sz w:val="24"/>
                <w:szCs w:val="24"/>
              </w:rPr>
            </w:pPr>
            <w:r>
              <w:rPr>
                <w:rFonts w:eastAsiaTheme="minorEastAsia"/>
                <w:sz w:val="24"/>
                <w:szCs w:val="24"/>
              </w:rPr>
              <w:t xml:space="preserve">Saskaņā ar </w:t>
            </w:r>
            <w:proofErr w:type="spellStart"/>
            <w:r w:rsidRPr="00C1100C">
              <w:rPr>
                <w:rFonts w:eastAsiaTheme="minorEastAsia"/>
                <w:bCs/>
                <w:lang w:val="en-US"/>
              </w:rPr>
              <w:t>Komisijas</w:t>
            </w:r>
            <w:proofErr w:type="spellEnd"/>
            <w:r w:rsidRPr="00C1100C">
              <w:rPr>
                <w:rFonts w:eastAsiaTheme="minorEastAsia"/>
                <w:bCs/>
                <w:lang w:val="en-US"/>
              </w:rPr>
              <w:t xml:space="preserve"> </w:t>
            </w:r>
            <w:proofErr w:type="spellStart"/>
            <w:r w:rsidRPr="00C1100C">
              <w:rPr>
                <w:rFonts w:eastAsiaTheme="minorEastAsia"/>
                <w:bCs/>
                <w:lang w:val="en-US"/>
              </w:rPr>
              <w:t>paziņojuma</w:t>
            </w:r>
            <w:proofErr w:type="spellEnd"/>
            <w:r>
              <w:rPr>
                <w:rFonts w:eastAsiaTheme="minorEastAsia"/>
                <w:sz w:val="24"/>
                <w:szCs w:val="24"/>
              </w:rPr>
              <w:t>:</w:t>
            </w:r>
          </w:p>
          <w:p w14:paraId="2AE0C132" w14:textId="6D20C866" w:rsidR="00B42F43" w:rsidRPr="00A82BE1" w:rsidRDefault="00A82BE1" w:rsidP="00A82BE1">
            <w:pPr>
              <w:spacing w:before="60" w:after="60"/>
              <w:ind w:left="101" w:right="102"/>
              <w:jc w:val="both"/>
              <w:rPr>
                <w:rFonts w:eastAsiaTheme="minorEastAsia"/>
              </w:rPr>
            </w:pPr>
            <w:r>
              <w:rPr>
                <w:rFonts w:eastAsiaTheme="minorEastAsia"/>
              </w:rPr>
              <w:lastRenderedPageBreak/>
              <w:t>1) </w:t>
            </w:r>
            <w:r w:rsidR="003A7EE0" w:rsidRPr="00A82BE1">
              <w:rPr>
                <w:rFonts w:eastAsiaTheme="minorEastAsia"/>
              </w:rPr>
              <w:t>28.punkt</w:t>
            </w:r>
            <w:r w:rsidR="00B42F43" w:rsidRPr="00A82BE1">
              <w:rPr>
                <w:rFonts w:eastAsiaTheme="minorEastAsia"/>
              </w:rPr>
              <w:t xml:space="preserve">u: </w:t>
            </w:r>
            <w:r w:rsidR="003A7EE0" w:rsidRPr="00A82BE1">
              <w:rPr>
                <w:rFonts w:eastAsiaTheme="minorEastAsia"/>
              </w:rPr>
              <w:t>valsts izglītības sistēmas ietvaros nodrošinātā valsts izglītība, ko finansē un uzrauga valsts, var tikt uzskatīta par nesaimniecisko darbību</w:t>
            </w:r>
            <w:r w:rsidR="00B42F43" w:rsidRPr="00A82BE1">
              <w:rPr>
                <w:rFonts w:eastAsiaTheme="minorEastAsia"/>
              </w:rPr>
              <w:t>;</w:t>
            </w:r>
          </w:p>
          <w:p w14:paraId="48C73868" w14:textId="1DB4F023" w:rsidR="00077314" w:rsidRPr="00A82BE1" w:rsidRDefault="00A82BE1" w:rsidP="00A82BE1">
            <w:pPr>
              <w:spacing w:before="60" w:after="60"/>
              <w:ind w:left="101" w:right="102"/>
              <w:jc w:val="both"/>
              <w:rPr>
                <w:rFonts w:eastAsiaTheme="minorEastAsia"/>
              </w:rPr>
            </w:pPr>
            <w:r>
              <w:rPr>
                <w:rFonts w:eastAsiaTheme="minorEastAsia"/>
              </w:rPr>
              <w:t>2) </w:t>
            </w:r>
            <w:r w:rsidR="00077314" w:rsidRPr="00A82BE1">
              <w:rPr>
                <w:rFonts w:eastAsiaTheme="minorEastAsia"/>
              </w:rPr>
              <w:t>29. punktu: saskaņā ar judikatūru valsts izglītības sistēmas ietvaros nodrošinātais valsts izglītības pakalpojums, kura tikai nelielu daļu finansē no skolēnu un to vecāku mācību un uzņemšanas maksas, jeb pārsvarā (vairāk kā 50%) šo pakalpojumu finansē no publiskajiem resursiem, var tikt uzskatīta par nesaimniecisko darbību;</w:t>
            </w:r>
          </w:p>
          <w:p w14:paraId="3A0E3A13" w14:textId="13217F56" w:rsidR="00077314" w:rsidRPr="00A82BE1" w:rsidRDefault="00A82BE1" w:rsidP="00A82BE1">
            <w:pPr>
              <w:spacing w:before="60" w:after="60"/>
              <w:ind w:left="101" w:right="102"/>
              <w:jc w:val="both"/>
              <w:rPr>
                <w:rFonts w:eastAsiaTheme="minorEastAsia"/>
              </w:rPr>
            </w:pPr>
            <w:r>
              <w:rPr>
                <w:rFonts w:eastAsiaTheme="minorEastAsia"/>
              </w:rPr>
              <w:t>3) </w:t>
            </w:r>
            <w:r w:rsidR="00077314" w:rsidRPr="00A82BE1">
              <w:rPr>
                <w:rFonts w:eastAsiaTheme="minorEastAsia"/>
              </w:rPr>
              <w:t>197. punktu: publiskais atbalsts nevar ietekmēt tirdzniecību starp dalībvalstīm. … daži šādu lietu piemēri:</w:t>
            </w:r>
          </w:p>
          <w:p w14:paraId="4ED6AD4A" w14:textId="77777777" w:rsidR="00077314" w:rsidRPr="00C1100C" w:rsidRDefault="00077314" w:rsidP="00A82BE1">
            <w:pPr>
              <w:pStyle w:val="ListParagraph"/>
              <w:numPr>
                <w:ilvl w:val="0"/>
                <w:numId w:val="25"/>
              </w:numPr>
              <w:spacing w:before="60" w:after="60"/>
              <w:ind w:right="102"/>
              <w:jc w:val="both"/>
              <w:rPr>
                <w:rFonts w:eastAsiaTheme="minorEastAsia"/>
                <w:sz w:val="24"/>
                <w:szCs w:val="24"/>
              </w:rPr>
            </w:pPr>
            <w:r>
              <w:rPr>
                <w:rFonts w:eastAsiaTheme="minorEastAsia"/>
                <w:sz w:val="24"/>
                <w:szCs w:val="24"/>
              </w:rPr>
              <w:t>…</w:t>
            </w:r>
            <w:r w:rsidRPr="00C1100C">
              <w:rPr>
                <w:rFonts w:eastAsiaTheme="minorEastAsia"/>
                <w:sz w:val="24"/>
                <w:szCs w:val="24"/>
              </w:rPr>
              <w:t xml:space="preserve"> infrastruktūra, ar kuru apkalpo pārsvarā vietēja mēroga publiku un kura diez vai piesaistītu citu dalībvalstu klientus vai ieguldījumus;</w:t>
            </w:r>
          </w:p>
          <w:p w14:paraId="1CC2C72D" w14:textId="12EC0D66" w:rsidR="00077314" w:rsidRDefault="00077314" w:rsidP="00A82BE1">
            <w:pPr>
              <w:pStyle w:val="ListParagraph"/>
              <w:numPr>
                <w:ilvl w:val="0"/>
                <w:numId w:val="25"/>
              </w:numPr>
              <w:spacing w:before="60" w:after="60"/>
              <w:ind w:right="102"/>
              <w:jc w:val="both"/>
              <w:rPr>
                <w:rFonts w:eastAsiaTheme="minorEastAsia"/>
                <w:sz w:val="24"/>
                <w:szCs w:val="24"/>
              </w:rPr>
            </w:pPr>
            <w:r>
              <w:rPr>
                <w:rFonts w:eastAsiaTheme="minorEastAsia"/>
                <w:sz w:val="24"/>
                <w:szCs w:val="24"/>
              </w:rPr>
              <w:t>…</w:t>
            </w:r>
            <w:r w:rsidRPr="00C1100C">
              <w:rPr>
                <w:rFonts w:eastAsiaTheme="minorEastAsia"/>
                <w:sz w:val="24"/>
                <w:szCs w:val="24"/>
              </w:rPr>
              <w:t xml:space="preserve"> subjekti, kuri veic saimniecisko darbību, kas tomēr diez vai pārvilinātu lietotājus vai apmeklētājus, kuri izmanto līdzīgu piedāvājumu citās dalībvalstīs (287); Komisija uzskata, ka potenciāls ietekmēt tirdzniecību starp dalībvalstīm piemīt tikai finansējumam, kuru piešķir lielām </w:t>
            </w:r>
            <w:r>
              <w:rPr>
                <w:rFonts w:eastAsiaTheme="minorEastAsia"/>
                <w:sz w:val="24"/>
                <w:szCs w:val="24"/>
              </w:rPr>
              <w:t>…</w:t>
            </w:r>
            <w:r w:rsidRPr="00C1100C">
              <w:rPr>
                <w:rFonts w:eastAsiaTheme="minorEastAsia"/>
                <w:sz w:val="24"/>
                <w:szCs w:val="24"/>
              </w:rPr>
              <w:t xml:space="preserve"> un pasākumiem, ko plaši r</w:t>
            </w:r>
            <w:r>
              <w:rPr>
                <w:rFonts w:eastAsiaTheme="minorEastAsia"/>
                <w:sz w:val="24"/>
                <w:szCs w:val="24"/>
              </w:rPr>
              <w:t>eklamē ārpus to vietējā reģiona;</w:t>
            </w:r>
          </w:p>
          <w:p w14:paraId="743804BC" w14:textId="6E5A0AE8" w:rsidR="00B42F43" w:rsidRPr="00A82BE1" w:rsidRDefault="00A82BE1" w:rsidP="00A82BE1">
            <w:pPr>
              <w:spacing w:before="60" w:after="60"/>
              <w:ind w:left="101" w:right="102"/>
              <w:jc w:val="both"/>
              <w:rPr>
                <w:rFonts w:eastAsiaTheme="minorEastAsia"/>
              </w:rPr>
            </w:pPr>
            <w:r>
              <w:rPr>
                <w:rFonts w:eastAsiaTheme="minorEastAsia"/>
              </w:rPr>
              <w:t>4) </w:t>
            </w:r>
            <w:r w:rsidR="003A7EE0" w:rsidRPr="00A82BE1">
              <w:rPr>
                <w:rFonts w:eastAsiaTheme="minorEastAsia"/>
              </w:rPr>
              <w:t>205.</w:t>
            </w:r>
            <w:r w:rsidR="00B42F43" w:rsidRPr="00A82BE1">
              <w:rPr>
                <w:rFonts w:eastAsiaTheme="minorEastAsia"/>
              </w:rPr>
              <w:t xml:space="preserve"> </w:t>
            </w:r>
            <w:r w:rsidR="003A7EE0" w:rsidRPr="00A82BE1">
              <w:rPr>
                <w:rFonts w:eastAsiaTheme="minorEastAsia"/>
              </w:rPr>
              <w:t>punkt</w:t>
            </w:r>
            <w:r w:rsidR="00B42F43" w:rsidRPr="00A82BE1">
              <w:rPr>
                <w:rFonts w:eastAsiaTheme="minorEastAsia"/>
              </w:rPr>
              <w:t>u:</w:t>
            </w:r>
            <w:r w:rsidR="003A7EE0" w:rsidRPr="00A82BE1">
              <w:rPr>
                <w:rFonts w:eastAsiaTheme="minorEastAsia"/>
              </w:rPr>
              <w:t xml:space="preserve"> ja infrastruktūru izmanto gan saimnieciskajai, gan nesaimnieciskajai darbībai, valsts atbalsta noteikumi publiskajam finansējumam ir piemērojami tikai tiktāl, cik tas sedz ar saimniecisko darbību saistītās </w:t>
            </w:r>
            <w:r w:rsidR="00B42F43" w:rsidRPr="00A82BE1">
              <w:rPr>
                <w:rFonts w:eastAsiaTheme="minorEastAsia"/>
              </w:rPr>
              <w:t>izmaksas;</w:t>
            </w:r>
          </w:p>
          <w:p w14:paraId="32439280" w14:textId="0F61504F" w:rsidR="00B42F43" w:rsidRPr="00A82BE1" w:rsidRDefault="00A82BE1" w:rsidP="00A82BE1">
            <w:pPr>
              <w:spacing w:before="60" w:after="60"/>
              <w:ind w:left="101" w:right="102"/>
              <w:jc w:val="both"/>
              <w:rPr>
                <w:rFonts w:eastAsiaTheme="minorEastAsia"/>
              </w:rPr>
            </w:pPr>
            <w:r>
              <w:rPr>
                <w:rFonts w:eastAsiaTheme="minorEastAsia"/>
              </w:rPr>
              <w:t>5) </w:t>
            </w:r>
            <w:r w:rsidR="00B42F43" w:rsidRPr="00A82BE1">
              <w:rPr>
                <w:rFonts w:eastAsiaTheme="minorEastAsia"/>
              </w:rPr>
              <w:t>207. punktu:</w:t>
            </w:r>
            <w:r w:rsidR="003A7EE0" w:rsidRPr="00A82BE1">
              <w:rPr>
                <w:rFonts w:eastAsiaTheme="minorEastAsia"/>
              </w:rPr>
              <w:t xml:space="preserve"> </w:t>
            </w:r>
            <w:r w:rsidR="00B42F43" w:rsidRPr="00A82BE1">
              <w:rPr>
                <w:rFonts w:eastAsiaTheme="minorEastAsia"/>
              </w:rPr>
              <w:t>j</w:t>
            </w:r>
            <w:r w:rsidR="003A7EE0" w:rsidRPr="00A82BE1">
              <w:rPr>
                <w:rFonts w:eastAsiaTheme="minorEastAsia"/>
              </w:rPr>
              <w:t>a jaukta izmantojuma gadījumā infrastruktūru izmanto, galvenokārt, tikai nesaimnieciskajai darbībai, valsts atbalsta noteikumi uz attiecīgo finansējumu var vispār neattiekties ar nosacījumu, ka</w:t>
            </w:r>
            <w:r w:rsidR="00B42F43" w:rsidRPr="00A82BE1">
              <w:rPr>
                <w:rFonts w:eastAsiaTheme="minorEastAsia"/>
              </w:rPr>
              <w:t>:</w:t>
            </w:r>
          </w:p>
          <w:p w14:paraId="29499394" w14:textId="6A4BBA69" w:rsidR="00E970CE" w:rsidRPr="00A82BE1" w:rsidRDefault="003A7EE0" w:rsidP="00A82BE1">
            <w:pPr>
              <w:pStyle w:val="ListParagraph"/>
              <w:numPr>
                <w:ilvl w:val="0"/>
                <w:numId w:val="26"/>
              </w:numPr>
              <w:spacing w:before="60" w:after="60"/>
              <w:ind w:right="102"/>
              <w:jc w:val="both"/>
              <w:rPr>
                <w:rFonts w:eastAsiaTheme="minorEastAsia"/>
              </w:rPr>
            </w:pPr>
            <w:r w:rsidRPr="00A82BE1">
              <w:rPr>
                <w:rFonts w:eastAsiaTheme="minorEastAsia"/>
              </w:rPr>
              <w:t xml:space="preserve">saimnieciskā darbība ir vienīgi papildinoša, t.i., šī darbība ir </w:t>
            </w:r>
            <w:r w:rsidRPr="00A82BE1">
              <w:rPr>
                <w:rFonts w:eastAsiaTheme="minorEastAsia"/>
                <w:sz w:val="24"/>
                <w:szCs w:val="24"/>
              </w:rPr>
              <w:t>tieši</w:t>
            </w:r>
            <w:r w:rsidRPr="00A82BE1">
              <w:rPr>
                <w:rFonts w:eastAsiaTheme="minorEastAsia"/>
              </w:rPr>
              <w:t xml:space="preserve"> saistīta ar infrastruktūras ekspluatāciju un tai nepieciešama, vai cieši saistīta ar tās galveno nesaimniecisko izmantojumu. </w:t>
            </w:r>
            <w:r w:rsidR="00E970CE" w:rsidRPr="00A82BE1">
              <w:rPr>
                <w:rFonts w:eastAsiaTheme="minorEastAsia"/>
              </w:rPr>
              <w:t>Šis nosacījums būtu uzskatāms par izpildītu, ja saimnieciskajai darbībai patērē tos pašus resursus kā pamata nesaimnieciskajai darbībai, piemēram, tos pašus materiālus, iekārtas, darbaspēku vai pamatkapitālu. Papildinošās saimnieciskās darbības apjomam ir jāpaliek ierobežotam attiecībā pret infrastruktūras jaudu)</w:t>
            </w:r>
            <w:r w:rsidR="00E970CE" w:rsidRPr="00A82BE1">
              <w:rPr>
                <w:rFonts w:eastAsiaTheme="minorEastAsia"/>
              </w:rPr>
              <w:footnoteReference w:id="1"/>
            </w:r>
            <w:r w:rsidR="00E970CE" w:rsidRPr="00A82BE1">
              <w:rPr>
                <w:rFonts w:eastAsiaTheme="minorEastAsia"/>
              </w:rPr>
              <w:t xml:space="preserve">. Kā piemērus šādai papildinošai saimnieciskajai darbībai var minēt praksi, ka pētniecības organizācija dažkārt izīrē savas iekārtas un laboratorijas ražošanas nozaru partneriem; </w:t>
            </w:r>
          </w:p>
          <w:p w14:paraId="13723F23" w14:textId="7EC251B8" w:rsidR="00E970CE" w:rsidRDefault="00E970CE" w:rsidP="00A82BE1">
            <w:pPr>
              <w:pStyle w:val="ListParagraph"/>
              <w:numPr>
                <w:ilvl w:val="0"/>
                <w:numId w:val="26"/>
              </w:numPr>
              <w:spacing w:before="60" w:after="60"/>
              <w:ind w:right="102"/>
              <w:jc w:val="both"/>
              <w:rPr>
                <w:rFonts w:eastAsiaTheme="minorEastAsia"/>
                <w:sz w:val="24"/>
                <w:szCs w:val="24"/>
              </w:rPr>
            </w:pPr>
            <w:r w:rsidRPr="00E970CE">
              <w:rPr>
                <w:rFonts w:eastAsiaTheme="minorEastAsia"/>
                <w:sz w:val="24"/>
                <w:szCs w:val="24"/>
              </w:rPr>
              <w:t xml:space="preserve">publiskais finansējums, kuru sniedz parastajiem papildpakalpojumiem (piemēram, restorāniem, veikaliem vai maksas stāvvietām) infrastruktūrās, kuras izmanto galvenokārt tikai nesaimnieciskajai darbībai, parasti </w:t>
            </w:r>
            <w:r w:rsidRPr="00E970CE">
              <w:rPr>
                <w:rFonts w:eastAsiaTheme="minorEastAsia"/>
                <w:sz w:val="24"/>
                <w:szCs w:val="24"/>
              </w:rPr>
              <w:lastRenderedPageBreak/>
              <w:t>neietekmē tirdzniecību starp dalībvalstīm, jo šie parastie papildpakalpojumi diez vai piesaistītu citu dalībvalstu klientus un to finansēšana diez vai izraisītu būtisku ietekmi uz pārrobežu ieguldījumiem vai uzņēmējdarbību.</w:t>
            </w:r>
          </w:p>
          <w:p w14:paraId="1C9FBFA9" w14:textId="14761A75" w:rsidR="00C1100C" w:rsidRPr="006679EF" w:rsidRDefault="00214730" w:rsidP="0032248C">
            <w:pPr>
              <w:pStyle w:val="ListParagraph"/>
              <w:spacing w:before="60" w:after="60"/>
              <w:ind w:left="101" w:right="102"/>
              <w:jc w:val="both"/>
              <w:rPr>
                <w:rFonts w:eastAsiaTheme="minorEastAsia"/>
              </w:rPr>
            </w:pPr>
            <w:r w:rsidRPr="00214730">
              <w:rPr>
                <w:rFonts w:eastAsiaTheme="minorEastAsia"/>
                <w:sz w:val="24"/>
                <w:szCs w:val="24"/>
              </w:rPr>
              <w:t xml:space="preserve">Ievērojot minētās Eiropas Komisijas valsts atbalsta modernizācijas iniciatīvas, </w:t>
            </w:r>
            <w:r w:rsidR="0032248C">
              <w:rPr>
                <w:rFonts w:eastAsiaTheme="minorEastAsia"/>
                <w:sz w:val="24"/>
                <w:szCs w:val="24"/>
              </w:rPr>
              <w:t xml:space="preserve">kas noteiktas </w:t>
            </w:r>
            <w:r w:rsidR="0032248C" w:rsidRPr="006679EF">
              <w:rPr>
                <w:rFonts w:eastAsiaTheme="minorEastAsia"/>
              </w:rPr>
              <w:t>Komisijas paziņojum</w:t>
            </w:r>
            <w:r w:rsidR="0032248C">
              <w:rPr>
                <w:rFonts w:eastAsiaTheme="minorEastAsia"/>
              </w:rPr>
              <w:t xml:space="preserve">a </w:t>
            </w:r>
            <w:r w:rsidR="0032248C" w:rsidRPr="0032248C">
              <w:rPr>
                <w:rFonts w:eastAsiaTheme="minorEastAsia"/>
                <w:sz w:val="24"/>
                <w:szCs w:val="24"/>
              </w:rPr>
              <w:t xml:space="preserve">207. punktā, </w:t>
            </w:r>
            <w:r w:rsidRPr="00214730">
              <w:rPr>
                <w:rFonts w:eastAsiaTheme="minorEastAsia"/>
                <w:sz w:val="24"/>
                <w:szCs w:val="24"/>
              </w:rPr>
              <w:t xml:space="preserve">noteikumu projekts paredz veikt MK noteikumu Nr.265 grozījumus, </w:t>
            </w:r>
            <w:r w:rsidRPr="0032248C">
              <w:rPr>
                <w:rFonts w:eastAsiaTheme="minorEastAsia"/>
                <w:sz w:val="24"/>
                <w:szCs w:val="24"/>
              </w:rPr>
              <w:t>papildin</w:t>
            </w:r>
            <w:r w:rsidR="0032248C">
              <w:rPr>
                <w:rFonts w:eastAsiaTheme="minorEastAsia"/>
                <w:sz w:val="24"/>
                <w:szCs w:val="24"/>
              </w:rPr>
              <w:t>ot</w:t>
            </w:r>
            <w:r w:rsidRPr="0032248C">
              <w:rPr>
                <w:rFonts w:eastAsiaTheme="minorEastAsia"/>
                <w:sz w:val="24"/>
                <w:szCs w:val="24"/>
              </w:rPr>
              <w:t xml:space="preserve"> ar </w:t>
            </w:r>
            <w:r w:rsidR="0000522A" w:rsidRPr="0032248C">
              <w:rPr>
                <w:rFonts w:eastAsiaTheme="minorEastAsia"/>
                <w:sz w:val="24"/>
                <w:szCs w:val="24"/>
              </w:rPr>
              <w:t>nosacījumu, ka atbalsts projekta īstenošanai nav kvalificējams kā komercdarbības atbalsts, ja projekta īstenošanas rezultātā iegādātā, izveidotā vai modernizētā infrastruktūra (turpmāk – infrastruktūra) projekta pārskata periodā izmantojama šādu saimnieciska rakstura darbību īstenošanai (MK noteikumu Nr. 265 21.</w:t>
            </w:r>
            <w:r w:rsidR="0000522A" w:rsidRPr="00B84CC0">
              <w:rPr>
                <w:rFonts w:eastAsiaTheme="minorEastAsia"/>
                <w:sz w:val="24"/>
                <w:szCs w:val="24"/>
                <w:vertAlign w:val="superscript"/>
              </w:rPr>
              <w:t>1</w:t>
            </w:r>
            <w:r w:rsidR="0000522A" w:rsidRPr="0032248C">
              <w:rPr>
                <w:rFonts w:eastAsiaTheme="minorEastAsia"/>
                <w:sz w:val="24"/>
                <w:szCs w:val="24"/>
              </w:rPr>
              <w:t xml:space="preserve"> punkts)</w:t>
            </w:r>
            <w:r w:rsidR="00C1100C" w:rsidRPr="0032248C">
              <w:rPr>
                <w:rFonts w:eastAsiaTheme="minorEastAsia"/>
                <w:sz w:val="24"/>
                <w:szCs w:val="24"/>
              </w:rPr>
              <w:t>:</w:t>
            </w:r>
          </w:p>
          <w:p w14:paraId="3739DD69" w14:textId="1A85366E" w:rsidR="0000522A" w:rsidRPr="00CC49A8" w:rsidRDefault="0000522A" w:rsidP="00CC49A8">
            <w:pPr>
              <w:pStyle w:val="ListParagraph"/>
              <w:numPr>
                <w:ilvl w:val="0"/>
                <w:numId w:val="29"/>
              </w:numPr>
              <w:spacing w:before="60" w:after="60"/>
              <w:ind w:right="102"/>
              <w:jc w:val="both"/>
              <w:rPr>
                <w:rFonts w:eastAsiaTheme="minorEastAsia"/>
                <w:sz w:val="24"/>
                <w:szCs w:val="24"/>
              </w:rPr>
            </w:pPr>
            <w:r w:rsidRPr="00CC49A8">
              <w:rPr>
                <w:rFonts w:eastAsiaTheme="minorEastAsia"/>
                <w:sz w:val="24"/>
                <w:szCs w:val="24"/>
              </w:rPr>
              <w:t>papildinoša saimnieciskā darbība</w:t>
            </w:r>
            <w:r w:rsidR="003B2930" w:rsidRPr="00CC49A8">
              <w:rPr>
                <w:rFonts w:eastAsiaTheme="minorEastAsia"/>
                <w:sz w:val="24"/>
                <w:szCs w:val="24"/>
              </w:rPr>
              <w:t xml:space="preserve"> (</w:t>
            </w:r>
            <w:proofErr w:type="spellStart"/>
            <w:r w:rsidR="003B2930" w:rsidRPr="003C7E17">
              <w:rPr>
                <w:rFonts w:eastAsiaTheme="minorEastAsia"/>
                <w:i/>
                <w:sz w:val="24"/>
                <w:szCs w:val="24"/>
              </w:rPr>
              <w:t>ancillary</w:t>
            </w:r>
            <w:proofErr w:type="spellEnd"/>
            <w:r w:rsidR="003B2930" w:rsidRPr="003C7E17">
              <w:rPr>
                <w:rFonts w:eastAsiaTheme="minorEastAsia"/>
                <w:i/>
                <w:sz w:val="24"/>
                <w:szCs w:val="24"/>
              </w:rPr>
              <w:t xml:space="preserve"> </w:t>
            </w:r>
            <w:proofErr w:type="spellStart"/>
            <w:r w:rsidR="003B2930" w:rsidRPr="003C7E17">
              <w:rPr>
                <w:rFonts w:eastAsiaTheme="minorEastAsia"/>
                <w:i/>
                <w:sz w:val="24"/>
                <w:szCs w:val="24"/>
              </w:rPr>
              <w:t>economic</w:t>
            </w:r>
            <w:proofErr w:type="spellEnd"/>
            <w:r w:rsidR="003B2930" w:rsidRPr="003C7E17">
              <w:rPr>
                <w:rFonts w:eastAsiaTheme="minorEastAsia"/>
                <w:i/>
                <w:sz w:val="24"/>
                <w:szCs w:val="24"/>
              </w:rPr>
              <w:t xml:space="preserve"> </w:t>
            </w:r>
            <w:proofErr w:type="spellStart"/>
            <w:r w:rsidR="003B2930" w:rsidRPr="003C7E17">
              <w:rPr>
                <w:rFonts w:eastAsiaTheme="minorEastAsia"/>
                <w:i/>
                <w:sz w:val="24"/>
                <w:szCs w:val="24"/>
              </w:rPr>
              <w:t>activities</w:t>
            </w:r>
            <w:proofErr w:type="spellEnd"/>
            <w:r w:rsidR="003B2930" w:rsidRPr="00CC49A8">
              <w:rPr>
                <w:rFonts w:eastAsiaTheme="minorEastAsia"/>
                <w:sz w:val="24"/>
                <w:szCs w:val="24"/>
              </w:rPr>
              <w:t>)</w:t>
            </w:r>
            <w:r w:rsidRPr="00CC49A8">
              <w:rPr>
                <w:rFonts w:eastAsiaTheme="minorEastAsia"/>
                <w:sz w:val="24"/>
                <w:szCs w:val="24"/>
              </w:rPr>
              <w:t xml:space="preserve">, ja tā ir tieši saistīta ar infrastruktūras ekspluatāciju </w:t>
            </w:r>
            <w:r w:rsidR="00A82BE1" w:rsidRPr="00CC49A8">
              <w:rPr>
                <w:rFonts w:eastAsiaTheme="minorEastAsia"/>
                <w:sz w:val="24"/>
                <w:szCs w:val="24"/>
              </w:rPr>
              <w:t xml:space="preserve">un izmantošanu </w:t>
            </w:r>
            <w:r w:rsidRPr="00CC49A8">
              <w:rPr>
                <w:rFonts w:eastAsiaTheme="minorEastAsia"/>
                <w:sz w:val="24"/>
                <w:szCs w:val="24"/>
              </w:rPr>
              <w:t>ar saimniecisku darbību nesaistītā augstākās izglītības institūcijas pamatdarbības jomā, tai tiek patērēti tādi paši resursi (piemēram, materiāli, aprīkojums, darbaspēks un pamatkapitāls) kā ar saimniecisku darbību nesaistītai pamatdarbībai un katru gadu iedalītā jauda finanšu izteiksmē nepārsniedz 20 procentus no infrastruktūras kopējās gada jaudas finanšu izteiksmē. Ja kādā no kalendāra gadiem projekta pārskata periodā darbībai iedalītā jauda finanšu izteiksmē pārsniedz 20 procentus no infrastruktūras kopējās gada jaudas, finansējuma saņēmējam piemēro publiskā finansējuma atgūšanas mehānismu;</w:t>
            </w:r>
          </w:p>
          <w:p w14:paraId="290B2993" w14:textId="179C4542" w:rsidR="0000522A" w:rsidRDefault="006679EF" w:rsidP="00CC49A8">
            <w:pPr>
              <w:pStyle w:val="ListParagraph"/>
              <w:numPr>
                <w:ilvl w:val="0"/>
                <w:numId w:val="29"/>
              </w:numPr>
              <w:spacing w:before="60" w:after="60"/>
              <w:ind w:right="102"/>
              <w:jc w:val="both"/>
              <w:rPr>
                <w:rFonts w:eastAsiaTheme="minorEastAsia"/>
                <w:sz w:val="24"/>
                <w:szCs w:val="24"/>
              </w:rPr>
            </w:pPr>
            <w:r w:rsidRPr="00CC49A8">
              <w:rPr>
                <w:rFonts w:eastAsiaTheme="minorEastAsia"/>
                <w:sz w:val="24"/>
                <w:szCs w:val="24"/>
              </w:rPr>
              <w:t xml:space="preserve">parastie </w:t>
            </w:r>
            <w:r w:rsidR="0000522A" w:rsidRPr="00CC49A8">
              <w:rPr>
                <w:rFonts w:eastAsiaTheme="minorEastAsia"/>
                <w:sz w:val="24"/>
                <w:szCs w:val="24"/>
              </w:rPr>
              <w:t xml:space="preserve">papildpakalpojumi </w:t>
            </w:r>
            <w:r w:rsidR="00AC3975" w:rsidRPr="00CC49A8">
              <w:rPr>
                <w:rFonts w:eastAsiaTheme="minorEastAsia"/>
                <w:sz w:val="24"/>
                <w:szCs w:val="24"/>
              </w:rPr>
              <w:t>(</w:t>
            </w:r>
            <w:proofErr w:type="spellStart"/>
            <w:r w:rsidR="00AC3975" w:rsidRPr="003C7E17">
              <w:rPr>
                <w:rFonts w:eastAsiaTheme="minorEastAsia"/>
                <w:i/>
                <w:sz w:val="24"/>
                <w:szCs w:val="24"/>
              </w:rPr>
              <w:t>customary</w:t>
            </w:r>
            <w:proofErr w:type="spellEnd"/>
            <w:r w:rsidR="00AC3975" w:rsidRPr="003C7E17">
              <w:rPr>
                <w:rFonts w:eastAsiaTheme="minorEastAsia"/>
                <w:i/>
                <w:sz w:val="24"/>
                <w:szCs w:val="24"/>
              </w:rPr>
              <w:t xml:space="preserve"> </w:t>
            </w:r>
            <w:proofErr w:type="spellStart"/>
            <w:r w:rsidR="00AC3975" w:rsidRPr="003C7E17">
              <w:rPr>
                <w:rFonts w:eastAsiaTheme="minorEastAsia"/>
                <w:i/>
                <w:sz w:val="24"/>
                <w:szCs w:val="24"/>
              </w:rPr>
              <w:t>amenities</w:t>
            </w:r>
            <w:proofErr w:type="spellEnd"/>
            <w:r w:rsidR="00AC3975" w:rsidRPr="00CC49A8">
              <w:rPr>
                <w:rFonts w:eastAsiaTheme="minorEastAsia"/>
                <w:sz w:val="24"/>
                <w:szCs w:val="24"/>
              </w:rPr>
              <w:t xml:space="preserve">) </w:t>
            </w:r>
            <w:r w:rsidR="0000522A" w:rsidRPr="00CC49A8">
              <w:rPr>
                <w:rFonts w:eastAsiaTheme="minorEastAsia"/>
                <w:sz w:val="24"/>
                <w:szCs w:val="24"/>
              </w:rPr>
              <w:t xml:space="preserve">infrastruktūrā, ja pakalpojumus galvenokārt izmanto nesaimnieciskajai pamatdarbībai un </w:t>
            </w:r>
            <w:r w:rsidR="00904E14" w:rsidRPr="00CC49A8">
              <w:rPr>
                <w:rFonts w:eastAsiaTheme="minorEastAsia"/>
                <w:sz w:val="24"/>
                <w:szCs w:val="24"/>
              </w:rPr>
              <w:t xml:space="preserve">tiem nav ietekmes uz konkurenci un tirdzniecību Eiropas Savienības iekšējā tirgū </w:t>
            </w:r>
            <w:r w:rsidR="0000522A" w:rsidRPr="00CC49A8">
              <w:rPr>
                <w:rFonts w:eastAsiaTheme="minorEastAsia"/>
                <w:sz w:val="24"/>
                <w:szCs w:val="24"/>
              </w:rPr>
              <w:t>(pakalpojumiem ir vietējs raksturs).</w:t>
            </w:r>
          </w:p>
          <w:p w14:paraId="1774C174" w14:textId="0DB6F7AB" w:rsidR="00AA2182" w:rsidRDefault="00AA2182" w:rsidP="00AA2182">
            <w:pPr>
              <w:pStyle w:val="ListParagraph"/>
              <w:spacing w:before="60" w:after="60"/>
              <w:ind w:left="101" w:right="102"/>
              <w:jc w:val="both"/>
              <w:rPr>
                <w:rFonts w:eastAsiaTheme="minorEastAsia"/>
                <w:sz w:val="24"/>
                <w:szCs w:val="24"/>
              </w:rPr>
            </w:pPr>
            <w:r w:rsidRPr="00F2345E">
              <w:rPr>
                <w:rFonts w:eastAsiaTheme="minorEastAsia"/>
                <w:sz w:val="24"/>
                <w:szCs w:val="24"/>
              </w:rPr>
              <w:t xml:space="preserve">Saskaņā ar Līguma par Eiropas Savienības darbību 107.panta 1.punktā un citos Eiropas Savienības aktos noteikto, lai finansiālo palīdzību komercdarbības veicināšanai uzskatītu par komercdarbības atbalstu, tai jāatbilst visām </w:t>
            </w:r>
            <w:r>
              <w:rPr>
                <w:rFonts w:eastAsiaTheme="minorEastAsia"/>
                <w:sz w:val="24"/>
                <w:szCs w:val="24"/>
              </w:rPr>
              <w:t>(četrām) komercdarbības atbalstu raksturojošām</w:t>
            </w:r>
            <w:r w:rsidRPr="00F2345E">
              <w:rPr>
                <w:rFonts w:eastAsiaTheme="minorEastAsia"/>
                <w:sz w:val="24"/>
                <w:szCs w:val="24"/>
              </w:rPr>
              <w:t xml:space="preserve"> pazīmēm</w:t>
            </w:r>
            <w:r>
              <w:rPr>
                <w:rFonts w:eastAsiaTheme="minorEastAsia"/>
                <w:sz w:val="24"/>
                <w:szCs w:val="24"/>
              </w:rPr>
              <w:t xml:space="preserve">. Ievērojot minēto secināms, ka ieguldījumi augstākās izglītības infrastruktūrā nekvalificējas kā komercdarbības atbalsts, jo neizpildās viens no komercdarbības atbalstu raksturojošām pazīmēm, proti, </w:t>
            </w:r>
            <w:r w:rsidRPr="00CE03D1">
              <w:rPr>
                <w:rFonts w:eastAsiaTheme="minorEastAsia"/>
                <w:sz w:val="24"/>
                <w:szCs w:val="24"/>
              </w:rPr>
              <w:t xml:space="preserve">finansiālā palīdzība </w:t>
            </w:r>
            <w:r>
              <w:rPr>
                <w:rFonts w:eastAsiaTheme="minorEastAsia"/>
                <w:sz w:val="24"/>
                <w:szCs w:val="24"/>
              </w:rPr>
              <w:t>ne</w:t>
            </w:r>
            <w:r w:rsidRPr="00CE03D1">
              <w:rPr>
                <w:rFonts w:eastAsiaTheme="minorEastAsia"/>
                <w:sz w:val="24"/>
                <w:szCs w:val="24"/>
              </w:rPr>
              <w:t xml:space="preserve">ietekmē tirdzniecību un </w:t>
            </w:r>
            <w:r>
              <w:rPr>
                <w:rFonts w:eastAsiaTheme="minorEastAsia"/>
                <w:sz w:val="24"/>
                <w:szCs w:val="24"/>
              </w:rPr>
              <w:t>ne</w:t>
            </w:r>
            <w:r w:rsidRPr="00CE03D1">
              <w:rPr>
                <w:rFonts w:eastAsiaTheme="minorEastAsia"/>
                <w:sz w:val="24"/>
                <w:szCs w:val="24"/>
              </w:rPr>
              <w:t>izkropļo konkurenci Eiropas Savienības iekšējā tirgū</w:t>
            </w:r>
            <w:r w:rsidRPr="00CA6F38">
              <w:rPr>
                <w:rFonts w:eastAsiaTheme="minorEastAsia"/>
                <w:sz w:val="24"/>
                <w:szCs w:val="24"/>
              </w:rPr>
              <w:t>.</w:t>
            </w:r>
            <w:r>
              <w:rPr>
                <w:rFonts w:eastAsiaTheme="minorEastAsia"/>
                <w:sz w:val="24"/>
                <w:szCs w:val="24"/>
              </w:rPr>
              <w:t xml:space="preserve"> </w:t>
            </w:r>
          </w:p>
          <w:p w14:paraId="783C6128" w14:textId="70E11509" w:rsidR="00AA2182" w:rsidRDefault="00AA2182" w:rsidP="00AA2182">
            <w:pPr>
              <w:pStyle w:val="ListParagraph"/>
              <w:spacing w:before="60" w:after="60"/>
              <w:ind w:left="101" w:right="102"/>
              <w:jc w:val="both"/>
              <w:rPr>
                <w:rFonts w:eastAsiaTheme="minorEastAsia"/>
                <w:sz w:val="24"/>
                <w:szCs w:val="24"/>
              </w:rPr>
            </w:pPr>
            <w:r>
              <w:rPr>
                <w:rFonts w:eastAsiaTheme="minorEastAsia"/>
                <w:sz w:val="24"/>
                <w:szCs w:val="24"/>
              </w:rPr>
              <w:t>Apgalvojumu pamato statistiskie rādītāji par augstāko izglītību 2018./2019. akadēmiskajā gadā – mobilo studējošo (ārvalsts studējošo grāda ieguvei) īpatsvars veido 10,3% no kopējā studējošo skaita Latvijā. Tādējādi augstākās izglītības pakalpojum</w:t>
            </w:r>
            <w:r w:rsidR="00632C56">
              <w:rPr>
                <w:rFonts w:eastAsiaTheme="minorEastAsia"/>
                <w:sz w:val="24"/>
                <w:szCs w:val="24"/>
              </w:rPr>
              <w:t>iem Latvijā</w:t>
            </w:r>
            <w:r>
              <w:rPr>
                <w:rFonts w:eastAsiaTheme="minorEastAsia"/>
                <w:sz w:val="24"/>
                <w:szCs w:val="24"/>
              </w:rPr>
              <w:t xml:space="preserve"> ir vietējs raksturs.</w:t>
            </w:r>
          </w:p>
          <w:p w14:paraId="13DDB94C" w14:textId="7F2814C8" w:rsidR="00797354" w:rsidRDefault="00797354" w:rsidP="006679EF">
            <w:pPr>
              <w:spacing w:before="60" w:after="60"/>
              <w:ind w:left="101" w:right="102"/>
              <w:jc w:val="both"/>
              <w:rPr>
                <w:rFonts w:eastAsiaTheme="minorEastAsia"/>
              </w:rPr>
            </w:pPr>
            <w:r>
              <w:rPr>
                <w:rFonts w:eastAsiaTheme="minorEastAsia"/>
              </w:rPr>
              <w:lastRenderedPageBreak/>
              <w:t>S</w:t>
            </w:r>
            <w:r w:rsidRPr="00797354">
              <w:rPr>
                <w:rFonts w:eastAsiaTheme="minorEastAsia"/>
              </w:rPr>
              <w:t>askaņā ar Eiropas Komisijas paziņojuma 196. un 197. punktu</w:t>
            </w:r>
            <w:r>
              <w:rPr>
                <w:rFonts w:eastAsiaTheme="minorEastAsia"/>
              </w:rPr>
              <w:t xml:space="preserve"> </w:t>
            </w:r>
            <w:r w:rsidR="00AA2182">
              <w:rPr>
                <w:rFonts w:eastAsiaTheme="minorEastAsia"/>
              </w:rPr>
              <w:t xml:space="preserve">saimniecisko darbību </w:t>
            </w:r>
            <w:r>
              <w:rPr>
                <w:rFonts w:eastAsiaTheme="minorEastAsia"/>
              </w:rPr>
              <w:t>a</w:t>
            </w:r>
            <w:r w:rsidRPr="00797354">
              <w:rPr>
                <w:rFonts w:eastAsiaTheme="minorEastAsia"/>
              </w:rPr>
              <w:t>tbalstam ir vienīgi vietēja mēroga ietekme</w:t>
            </w:r>
            <w:r w:rsidR="00AA2182">
              <w:rPr>
                <w:rFonts w:eastAsiaTheme="minorEastAsia"/>
              </w:rPr>
              <w:t>, jo</w:t>
            </w:r>
            <w:r w:rsidR="00C7680B">
              <w:rPr>
                <w:rFonts w:eastAsiaTheme="minorEastAsia"/>
              </w:rPr>
              <w:t>:</w:t>
            </w:r>
          </w:p>
          <w:p w14:paraId="6B298E6F" w14:textId="383FC3B2" w:rsidR="006679EF" w:rsidRDefault="00797354" w:rsidP="006679EF">
            <w:pPr>
              <w:spacing w:before="60" w:after="60"/>
              <w:ind w:left="101" w:right="102"/>
              <w:jc w:val="both"/>
              <w:rPr>
                <w:rFonts w:eastAsiaTheme="minorEastAsia"/>
              </w:rPr>
            </w:pPr>
            <w:r>
              <w:rPr>
                <w:rFonts w:eastAsiaTheme="minorEastAsia"/>
              </w:rPr>
              <w:t xml:space="preserve"> – parasto </w:t>
            </w:r>
            <w:proofErr w:type="spellStart"/>
            <w:r>
              <w:rPr>
                <w:rFonts w:eastAsiaTheme="minorEastAsia"/>
              </w:rPr>
              <w:t>papildpakalpjumu</w:t>
            </w:r>
            <w:proofErr w:type="spellEnd"/>
            <w:r>
              <w:rPr>
                <w:rFonts w:eastAsiaTheme="minorEastAsia"/>
              </w:rPr>
              <w:t xml:space="preserve"> </w:t>
            </w:r>
            <w:r w:rsidR="000B2F72">
              <w:rPr>
                <w:rFonts w:eastAsiaTheme="minorEastAsia"/>
              </w:rPr>
              <w:t>(</w:t>
            </w:r>
            <w:proofErr w:type="spellStart"/>
            <w:r w:rsidR="000B2F72" w:rsidRPr="000B2F72">
              <w:rPr>
                <w:rFonts w:eastAsiaTheme="minorEastAsia"/>
                <w:i/>
              </w:rPr>
              <w:t>customary</w:t>
            </w:r>
            <w:proofErr w:type="spellEnd"/>
            <w:r w:rsidR="000B2F72" w:rsidRPr="000B2F72">
              <w:rPr>
                <w:rFonts w:eastAsiaTheme="minorEastAsia"/>
                <w:i/>
              </w:rPr>
              <w:t xml:space="preserve"> </w:t>
            </w:r>
            <w:proofErr w:type="spellStart"/>
            <w:r w:rsidR="000B2F72" w:rsidRPr="000B2F72">
              <w:rPr>
                <w:rFonts w:eastAsiaTheme="minorEastAsia"/>
                <w:i/>
              </w:rPr>
              <w:t>amenities</w:t>
            </w:r>
            <w:proofErr w:type="spellEnd"/>
            <w:r w:rsidR="000B2F72">
              <w:rPr>
                <w:rFonts w:eastAsiaTheme="minorEastAsia"/>
              </w:rPr>
              <w:t xml:space="preserve">) </w:t>
            </w:r>
            <w:r>
              <w:rPr>
                <w:rFonts w:eastAsiaTheme="minorEastAsia"/>
              </w:rPr>
              <w:t xml:space="preserve">mērķauditorija </w:t>
            </w:r>
            <w:r w:rsidR="00AA2182">
              <w:rPr>
                <w:rFonts w:eastAsiaTheme="minorEastAsia"/>
              </w:rPr>
              <w:t xml:space="preserve">(studējošie un akadēmiskais personāls) </w:t>
            </w:r>
            <w:r>
              <w:rPr>
                <w:rFonts w:eastAsiaTheme="minorEastAsia"/>
              </w:rPr>
              <w:t xml:space="preserve">vairāk kā 85% apmērā ir vietējie </w:t>
            </w:r>
            <w:r w:rsidR="00AA2182">
              <w:rPr>
                <w:rFonts w:eastAsiaTheme="minorEastAsia"/>
              </w:rPr>
              <w:t xml:space="preserve">studējošie un akadēmiskais personāls; </w:t>
            </w:r>
          </w:p>
          <w:p w14:paraId="78CD9C19" w14:textId="20BC2D5A" w:rsidR="00797354" w:rsidRDefault="00797354" w:rsidP="006679EF">
            <w:pPr>
              <w:spacing w:before="60" w:after="60"/>
              <w:ind w:left="101" w:right="102"/>
              <w:jc w:val="both"/>
              <w:rPr>
                <w:rFonts w:eastAsiaTheme="minorEastAsia"/>
              </w:rPr>
            </w:pPr>
            <w:r>
              <w:rPr>
                <w:rFonts w:eastAsiaTheme="minorEastAsia"/>
              </w:rPr>
              <w:t>– papildpakalpojumu sniedzēj</w:t>
            </w:r>
            <w:r w:rsidR="00F04754">
              <w:rPr>
                <w:rFonts w:eastAsiaTheme="minorEastAsia"/>
              </w:rPr>
              <w:t>i</w:t>
            </w:r>
            <w:r>
              <w:rPr>
                <w:rFonts w:eastAsiaTheme="minorEastAsia"/>
              </w:rPr>
              <w:t xml:space="preserve"> </w:t>
            </w:r>
            <w:r w:rsidR="00F04754">
              <w:rPr>
                <w:rFonts w:eastAsiaTheme="minorEastAsia"/>
              </w:rPr>
              <w:t>strādā tikai vietējā tirgū.</w:t>
            </w:r>
          </w:p>
          <w:p w14:paraId="78CAEE12" w14:textId="79AB1D09" w:rsidR="00042BE9" w:rsidRDefault="00F04754" w:rsidP="006679EF">
            <w:pPr>
              <w:spacing w:before="60" w:after="60"/>
              <w:ind w:left="101" w:right="102"/>
              <w:jc w:val="both"/>
              <w:rPr>
                <w:rFonts w:eastAsiaTheme="minorEastAsia"/>
              </w:rPr>
            </w:pPr>
            <w:r>
              <w:rPr>
                <w:rFonts w:eastAsiaTheme="minorEastAsia"/>
              </w:rPr>
              <w:t xml:space="preserve">Atbilstoši </w:t>
            </w:r>
            <w:r w:rsidRPr="00F04754">
              <w:rPr>
                <w:rFonts w:eastAsiaTheme="minorEastAsia"/>
              </w:rPr>
              <w:t>Konkurences Ģenerāldirektorāta e-</w:t>
            </w:r>
            <w:proofErr w:type="spellStart"/>
            <w:r w:rsidRPr="00F04754">
              <w:rPr>
                <w:rFonts w:eastAsiaTheme="minorEastAsia"/>
              </w:rPr>
              <w:t>State</w:t>
            </w:r>
            <w:proofErr w:type="spellEnd"/>
            <w:r w:rsidRPr="00F04754">
              <w:rPr>
                <w:rFonts w:eastAsiaTheme="minorEastAsia"/>
              </w:rPr>
              <w:t xml:space="preserve"> Aid WIKI sistēmā</w:t>
            </w:r>
            <w:r>
              <w:rPr>
                <w:rStyle w:val="FootnoteReference"/>
                <w:rFonts w:eastAsiaTheme="minorEastAsia"/>
              </w:rPr>
              <w:footnoteReference w:id="2"/>
            </w:r>
            <w:r w:rsidRPr="00F04754">
              <w:rPr>
                <w:rFonts w:eastAsiaTheme="minorEastAsia"/>
              </w:rPr>
              <w:t xml:space="preserve"> sniegt</w:t>
            </w:r>
            <w:r>
              <w:rPr>
                <w:rFonts w:eastAsiaTheme="minorEastAsia"/>
              </w:rPr>
              <w:t>ajam</w:t>
            </w:r>
            <w:r w:rsidRPr="00F04754">
              <w:rPr>
                <w:rFonts w:eastAsiaTheme="minorEastAsia"/>
              </w:rPr>
              <w:t xml:space="preserve"> skaidrojum</w:t>
            </w:r>
            <w:r>
              <w:rPr>
                <w:rFonts w:eastAsiaTheme="minorEastAsia"/>
              </w:rPr>
              <w:t>am</w:t>
            </w:r>
            <w:r w:rsidR="0032248C">
              <w:rPr>
                <w:rFonts w:eastAsiaTheme="minorEastAsia"/>
              </w:rPr>
              <w:t xml:space="preserve"> </w:t>
            </w:r>
            <w:r w:rsidR="000B2F72">
              <w:rPr>
                <w:rFonts w:eastAsiaTheme="minorEastAsia"/>
              </w:rPr>
              <w:t xml:space="preserve">parastajiem </w:t>
            </w:r>
            <w:proofErr w:type="spellStart"/>
            <w:r w:rsidR="000B2F72">
              <w:rPr>
                <w:rFonts w:eastAsiaTheme="minorEastAsia"/>
              </w:rPr>
              <w:t>papildpakapojumiem</w:t>
            </w:r>
            <w:proofErr w:type="spellEnd"/>
            <w:r w:rsidR="000B2F72">
              <w:rPr>
                <w:rFonts w:eastAsiaTheme="minorEastAsia"/>
              </w:rPr>
              <w:t xml:space="preserve"> </w:t>
            </w:r>
            <w:r w:rsidR="00042BE9">
              <w:rPr>
                <w:rFonts w:eastAsiaTheme="minorEastAsia"/>
              </w:rPr>
              <w:t>(</w:t>
            </w:r>
            <w:r w:rsidR="00AC3975">
              <w:rPr>
                <w:rFonts w:eastAsiaTheme="minorEastAsia"/>
              </w:rPr>
              <w:t>ēdināšanas</w:t>
            </w:r>
            <w:r w:rsidR="00042BE9">
              <w:rPr>
                <w:rFonts w:eastAsiaTheme="minorEastAsia"/>
              </w:rPr>
              <w:t xml:space="preserve">, autostāvvietu, kopēšanas </w:t>
            </w:r>
            <w:r w:rsidR="00AC3975">
              <w:rPr>
                <w:rFonts w:eastAsiaTheme="minorEastAsia"/>
              </w:rPr>
              <w:t>u.c. pakalpojumiem)</w:t>
            </w:r>
            <w:r w:rsidR="00042BE9">
              <w:rPr>
                <w:rFonts w:eastAsiaTheme="minorEastAsia"/>
              </w:rPr>
              <w:t xml:space="preserve"> </w:t>
            </w:r>
            <w:r w:rsidR="000B2F72">
              <w:rPr>
                <w:rFonts w:eastAsiaTheme="minorEastAsia"/>
              </w:rPr>
              <w:t xml:space="preserve">nav </w:t>
            </w:r>
            <w:r w:rsidR="00042BE9">
              <w:rPr>
                <w:rFonts w:eastAsiaTheme="minorEastAsia"/>
              </w:rPr>
              <w:t>jā</w:t>
            </w:r>
            <w:r w:rsidR="000B2F72">
              <w:rPr>
                <w:rFonts w:eastAsiaTheme="minorEastAsia"/>
              </w:rPr>
              <w:t>piemēro iedalītās jaudas ierobežojumi, jo papildpakalpojumiem ne</w:t>
            </w:r>
            <w:r w:rsidR="000B2F72" w:rsidRPr="006679EF">
              <w:rPr>
                <w:rFonts w:eastAsiaTheme="minorEastAsia"/>
              </w:rPr>
              <w:t>tiek patērēti tādi paši resursi (piemēram, materiāli, aprīkojums, darbaspēks un pamatkapitāls) kā ar saimniecisku darbību nesaistītai pamatdarbībai</w:t>
            </w:r>
            <w:r w:rsidR="00042BE9">
              <w:rPr>
                <w:rFonts w:eastAsiaTheme="minorEastAsia"/>
              </w:rPr>
              <w:t xml:space="preserve">. </w:t>
            </w:r>
          </w:p>
          <w:p w14:paraId="32F4A214" w14:textId="28927B55" w:rsidR="00214730" w:rsidRDefault="00285319" w:rsidP="0000522A">
            <w:pPr>
              <w:pStyle w:val="ListParagraph"/>
              <w:spacing w:before="60" w:after="60"/>
              <w:ind w:left="101" w:right="102"/>
              <w:jc w:val="both"/>
              <w:rPr>
                <w:rFonts w:eastAsiaTheme="minorEastAsia"/>
                <w:sz w:val="24"/>
                <w:szCs w:val="24"/>
              </w:rPr>
            </w:pPr>
            <w:r>
              <w:rPr>
                <w:rFonts w:eastAsiaTheme="minorEastAsia"/>
                <w:sz w:val="24"/>
                <w:szCs w:val="24"/>
              </w:rPr>
              <w:t xml:space="preserve">Noteikumu projekta </w:t>
            </w:r>
            <w:r w:rsidR="00214730" w:rsidRPr="0000522A">
              <w:rPr>
                <w:rFonts w:eastAsiaTheme="minorEastAsia"/>
                <w:sz w:val="24"/>
                <w:szCs w:val="24"/>
              </w:rPr>
              <w:t xml:space="preserve">ieviešanas rezultātā projektu īstenotājiem tiek radīti labvēlīgāki nosacījumi, salīdzinot ar šobrīd esošo situāciju, jo ar komercdarbības atbalstu nesaistīta projekta ietvaros </w:t>
            </w:r>
            <w:r w:rsidR="004F4986">
              <w:rPr>
                <w:rFonts w:eastAsiaTheme="minorEastAsia"/>
                <w:sz w:val="24"/>
                <w:szCs w:val="24"/>
              </w:rPr>
              <w:t>modernizētu</w:t>
            </w:r>
            <w:r w:rsidR="00214730" w:rsidRPr="0000522A">
              <w:rPr>
                <w:rFonts w:eastAsiaTheme="minorEastAsia"/>
                <w:sz w:val="24"/>
                <w:szCs w:val="24"/>
              </w:rPr>
              <w:t xml:space="preserve"> infrastruktūru projekta pārskata periodā var izmantot </w:t>
            </w:r>
            <w:r>
              <w:rPr>
                <w:rFonts w:eastAsiaTheme="minorEastAsia"/>
                <w:sz w:val="24"/>
                <w:szCs w:val="24"/>
              </w:rPr>
              <w:t>papildinošas saimnieciskās darbības un papildpakalpojumu īstenošanai, ja tiek ievēroti MK noteikumu Nr. 265 21.</w:t>
            </w:r>
            <w:r w:rsidRPr="006679EF">
              <w:rPr>
                <w:rFonts w:eastAsiaTheme="minorEastAsia"/>
                <w:sz w:val="24"/>
                <w:szCs w:val="24"/>
                <w:vertAlign w:val="superscript"/>
              </w:rPr>
              <w:t>1</w:t>
            </w:r>
            <w:r>
              <w:rPr>
                <w:rFonts w:eastAsiaTheme="minorEastAsia"/>
                <w:sz w:val="24"/>
                <w:szCs w:val="24"/>
              </w:rPr>
              <w:t xml:space="preserve"> punkta nosacījumi</w:t>
            </w:r>
            <w:r w:rsidR="00214730" w:rsidRPr="0000522A">
              <w:rPr>
                <w:rFonts w:eastAsiaTheme="minorEastAsia"/>
                <w:sz w:val="24"/>
                <w:szCs w:val="24"/>
              </w:rPr>
              <w:t xml:space="preserve">. Vienlaikus šis projekts joprojām var tikt uzskatīts par projektu, kuram nav saimniecisks raksturs. </w:t>
            </w:r>
          </w:p>
          <w:p w14:paraId="42295040" w14:textId="53D0BB6E" w:rsidR="00CC49A8" w:rsidRPr="00CC49A8" w:rsidRDefault="00CC49A8" w:rsidP="0000522A">
            <w:pPr>
              <w:pStyle w:val="ListParagraph"/>
              <w:spacing w:before="60" w:after="60"/>
              <w:ind w:left="101" w:right="102"/>
              <w:jc w:val="both"/>
              <w:rPr>
                <w:rFonts w:eastAsiaTheme="minorEastAsia"/>
                <w:b/>
                <w:sz w:val="24"/>
                <w:szCs w:val="24"/>
              </w:rPr>
            </w:pPr>
            <w:r w:rsidRPr="00CC49A8">
              <w:rPr>
                <w:rFonts w:eastAsiaTheme="minorEastAsia"/>
                <w:b/>
                <w:sz w:val="24"/>
                <w:szCs w:val="24"/>
              </w:rPr>
              <w:t>II. Saimniecisko darbību uzraudzība</w:t>
            </w:r>
            <w:r w:rsidR="00EE3EA1">
              <w:rPr>
                <w:rFonts w:eastAsiaTheme="minorEastAsia"/>
                <w:b/>
                <w:sz w:val="24"/>
                <w:szCs w:val="24"/>
              </w:rPr>
              <w:t xml:space="preserve"> un atgūšana</w:t>
            </w:r>
          </w:p>
          <w:p w14:paraId="6DFAA1F2" w14:textId="7BD14BA7" w:rsidR="00214730" w:rsidRPr="00214730"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Lai varētu piemērot </w:t>
            </w:r>
            <w:r w:rsidR="00285319">
              <w:rPr>
                <w:rFonts w:eastAsiaTheme="minorEastAsia"/>
                <w:sz w:val="24"/>
                <w:szCs w:val="24"/>
              </w:rPr>
              <w:t>Komisijas paziņojuma 207. </w:t>
            </w:r>
            <w:r w:rsidRPr="00214730">
              <w:rPr>
                <w:rFonts w:eastAsiaTheme="minorEastAsia"/>
                <w:sz w:val="24"/>
                <w:szCs w:val="24"/>
              </w:rPr>
              <w:t xml:space="preserve">punktā noteikto, ir jānodrošina atbilstoša projekta ikgadēja uzraudzība projekta pārskata periodā, kas noteikts, ievērojot Komisijas 2014. gada 3. marta Regulā Nr.480/2014,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Nr.480/2014) I pielikumā noteikto. </w:t>
            </w:r>
          </w:p>
          <w:p w14:paraId="552B2EA3" w14:textId="5ED8BCA0" w:rsidR="007B69B3"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Saskaņā ar Komisijas regulu Nr.480/2014 atbildīgā iestāde metodiskajos noteikumos par izmaksu-ieguvumu analīzes izstrādi 3.1.2.1.</w:t>
            </w:r>
            <w:r w:rsidR="00285319">
              <w:rPr>
                <w:rFonts w:eastAsiaTheme="minorEastAsia"/>
                <w:sz w:val="24"/>
                <w:szCs w:val="24"/>
              </w:rPr>
              <w:t>1.</w:t>
            </w:r>
            <w:r w:rsidRPr="00214730">
              <w:rPr>
                <w:rFonts w:eastAsiaTheme="minorEastAsia"/>
                <w:sz w:val="24"/>
                <w:szCs w:val="24"/>
              </w:rPr>
              <w:t xml:space="preserve"> aktivitātes ietvaros ir noteikusi, ka 3.1.2.1.1. aktivitātes</w:t>
            </w:r>
            <w:r w:rsidR="00EC579B">
              <w:rPr>
                <w:rFonts w:eastAsiaTheme="minorEastAsia"/>
                <w:sz w:val="24"/>
                <w:szCs w:val="24"/>
              </w:rPr>
              <w:t xml:space="preserve"> ietvaros</w:t>
            </w:r>
            <w:r w:rsidRPr="00214730">
              <w:rPr>
                <w:rFonts w:eastAsiaTheme="minorEastAsia"/>
                <w:sz w:val="24"/>
                <w:szCs w:val="24"/>
              </w:rPr>
              <w:t xml:space="preserve"> </w:t>
            </w:r>
            <w:r w:rsidR="00EC579B">
              <w:rPr>
                <w:rFonts w:eastAsiaTheme="minorEastAsia"/>
                <w:sz w:val="24"/>
                <w:szCs w:val="24"/>
              </w:rPr>
              <w:t>pārskata periods</w:t>
            </w:r>
            <w:r w:rsidRPr="00214730">
              <w:rPr>
                <w:rFonts w:eastAsiaTheme="minorEastAsia"/>
                <w:sz w:val="24"/>
                <w:szCs w:val="24"/>
              </w:rPr>
              <w:t xml:space="preserve"> ir 15 gadi</w:t>
            </w:r>
            <w:r w:rsidR="00EC579B">
              <w:rPr>
                <w:rFonts w:eastAsiaTheme="minorEastAsia"/>
                <w:sz w:val="24"/>
                <w:szCs w:val="24"/>
              </w:rPr>
              <w:t xml:space="preserve">, ja </w:t>
            </w:r>
            <w:r w:rsidR="009B26E3">
              <w:rPr>
                <w:rFonts w:eastAsiaTheme="minorEastAsia"/>
                <w:sz w:val="24"/>
                <w:szCs w:val="24"/>
              </w:rPr>
              <w:t xml:space="preserve">projekta ietvaros </w:t>
            </w:r>
            <w:r w:rsidR="00EC579B" w:rsidRPr="00214730">
              <w:rPr>
                <w:rFonts w:eastAsiaTheme="minorEastAsia"/>
                <w:sz w:val="24"/>
                <w:szCs w:val="24"/>
              </w:rPr>
              <w:t>veikta ēku renovācija vai jaunas būves būvniecība</w:t>
            </w:r>
            <w:r w:rsidRPr="00214730">
              <w:rPr>
                <w:rFonts w:eastAsiaTheme="minorEastAsia"/>
                <w:sz w:val="24"/>
                <w:szCs w:val="24"/>
              </w:rPr>
              <w:t xml:space="preserve">. </w:t>
            </w:r>
          </w:p>
          <w:p w14:paraId="4323A219" w14:textId="5E5695EF" w:rsidR="00214730" w:rsidRPr="00214730"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lastRenderedPageBreak/>
              <w:t xml:space="preserve">Vienlaikus jāņem vērā, ka projekta pārskata periods var būt īsāks par 15 gadiem, tajā skaitā šādos gadījumos: </w:t>
            </w:r>
          </w:p>
          <w:p w14:paraId="490E6330" w14:textId="762B619B" w:rsidR="00214730" w:rsidRPr="00214730" w:rsidRDefault="007B69B3" w:rsidP="00214730">
            <w:pPr>
              <w:pStyle w:val="ListParagraph"/>
              <w:spacing w:before="60" w:after="60"/>
              <w:ind w:left="101" w:right="102"/>
              <w:jc w:val="both"/>
              <w:rPr>
                <w:rFonts w:eastAsiaTheme="minorEastAsia"/>
                <w:sz w:val="24"/>
                <w:szCs w:val="24"/>
              </w:rPr>
            </w:pPr>
            <w:r>
              <w:rPr>
                <w:rFonts w:eastAsiaTheme="minorEastAsia"/>
                <w:sz w:val="24"/>
                <w:szCs w:val="24"/>
              </w:rPr>
              <w:t>1. </w:t>
            </w:r>
            <w:r w:rsidRPr="00214730">
              <w:rPr>
                <w:rFonts w:eastAsiaTheme="minorEastAsia"/>
                <w:sz w:val="24"/>
                <w:szCs w:val="24"/>
              </w:rPr>
              <w:t xml:space="preserve">projekta ietvaros </w:t>
            </w:r>
            <w:r>
              <w:rPr>
                <w:rFonts w:eastAsiaTheme="minorEastAsia"/>
                <w:sz w:val="24"/>
                <w:szCs w:val="24"/>
              </w:rPr>
              <w:t xml:space="preserve">veiktas iekārtu iegādes vai izveide, bet </w:t>
            </w:r>
            <w:r w:rsidRPr="00214730">
              <w:rPr>
                <w:rFonts w:eastAsiaTheme="minorEastAsia"/>
                <w:sz w:val="24"/>
                <w:szCs w:val="24"/>
              </w:rPr>
              <w:t>nav veikta ēku renovācija vai jaunas būves būvniecība</w:t>
            </w:r>
            <w:r>
              <w:rPr>
                <w:rFonts w:eastAsiaTheme="minorEastAsia"/>
                <w:sz w:val="24"/>
                <w:szCs w:val="24"/>
              </w:rPr>
              <w:t>.</w:t>
            </w:r>
            <w:r w:rsidRPr="00214730">
              <w:rPr>
                <w:rFonts w:eastAsiaTheme="minorEastAsia"/>
                <w:sz w:val="24"/>
                <w:szCs w:val="24"/>
              </w:rPr>
              <w:t xml:space="preserve"> </w:t>
            </w:r>
            <w:r w:rsidR="00214730" w:rsidRPr="00214730">
              <w:rPr>
                <w:rFonts w:eastAsiaTheme="minorEastAsia"/>
                <w:sz w:val="24"/>
                <w:szCs w:val="24"/>
              </w:rPr>
              <w:t>Iekārtu iegādes gadījumā pārskata periods ir iekārtu amortizācijas laiks, kas atbilst Ministru kabineta 2018.gada 13.februāra noteikumu Nr.87 "Grāmatvedības uzskaites kārtība budžeta iestādēs" 2.pielikumā "Pamatlīdzekļu kategorijas, grupas un apakšgrupas nolietojuma normu noteikšanai" noteiktajām laikam (piemēram, lietderīgās lietošanas laiks tehnoloģiskām iekārtām, mēraparatūrai, regulēšanas ierīcēm, laboratoriju un medicīnas iekārtām – 10 gadi, datortehnikai – 5.gadi);</w:t>
            </w:r>
          </w:p>
          <w:p w14:paraId="3EB3183D" w14:textId="77777777" w:rsidR="007B69B3" w:rsidRDefault="007B69B3" w:rsidP="00214730">
            <w:pPr>
              <w:pStyle w:val="ListParagraph"/>
              <w:spacing w:before="60" w:after="60"/>
              <w:ind w:left="101" w:right="102"/>
              <w:jc w:val="both"/>
              <w:rPr>
                <w:rFonts w:eastAsiaTheme="minorEastAsia"/>
                <w:sz w:val="24"/>
                <w:szCs w:val="24"/>
              </w:rPr>
            </w:pPr>
            <w:r>
              <w:rPr>
                <w:rFonts w:eastAsiaTheme="minorEastAsia"/>
                <w:sz w:val="24"/>
                <w:szCs w:val="24"/>
              </w:rPr>
              <w:t>2. </w:t>
            </w:r>
            <w:r w:rsidR="00214730" w:rsidRPr="00214730">
              <w:rPr>
                <w:rFonts w:eastAsiaTheme="minorEastAsia"/>
                <w:sz w:val="24"/>
                <w:szCs w:val="24"/>
              </w:rPr>
              <w:t>institūcijas likvidācijas gadījumā</w:t>
            </w:r>
            <w:r>
              <w:rPr>
                <w:rFonts w:eastAsiaTheme="minorEastAsia"/>
                <w:sz w:val="24"/>
                <w:szCs w:val="24"/>
              </w:rPr>
              <w:t>;</w:t>
            </w:r>
          </w:p>
          <w:p w14:paraId="47FFF491" w14:textId="36CABE2F" w:rsidR="00214730" w:rsidRPr="00214730" w:rsidRDefault="007B69B3" w:rsidP="00214730">
            <w:pPr>
              <w:pStyle w:val="ListParagraph"/>
              <w:spacing w:before="60" w:after="60"/>
              <w:ind w:left="101" w:right="102"/>
              <w:jc w:val="both"/>
              <w:rPr>
                <w:rFonts w:eastAsiaTheme="minorEastAsia"/>
                <w:sz w:val="24"/>
                <w:szCs w:val="24"/>
              </w:rPr>
            </w:pPr>
            <w:r>
              <w:rPr>
                <w:rFonts w:eastAsiaTheme="minorEastAsia"/>
                <w:sz w:val="24"/>
                <w:szCs w:val="24"/>
              </w:rPr>
              <w:t>3. gadījumā, ja</w:t>
            </w:r>
            <w:r w:rsidR="00214730" w:rsidRPr="00214730">
              <w:rPr>
                <w:rFonts w:eastAsiaTheme="minorEastAsia"/>
                <w:sz w:val="24"/>
                <w:szCs w:val="24"/>
              </w:rPr>
              <w:t xml:space="preserve"> sadarbības iestādei nav tiesiska pamata nodrošināt projekta uzraudzību.</w:t>
            </w:r>
          </w:p>
          <w:p w14:paraId="41562722" w14:textId="0F00A410" w:rsidR="00214730"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No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 panta 1. un 2. punkta izriet, ka: a) ar saimniecisku darbību nesaistīta projekta vai projekta daļas </w:t>
            </w:r>
            <w:proofErr w:type="spellStart"/>
            <w:r w:rsidRPr="00214730">
              <w:rPr>
                <w:rFonts w:eastAsiaTheme="minorEastAsia"/>
                <w:sz w:val="24"/>
                <w:szCs w:val="24"/>
              </w:rPr>
              <w:t>pēcuzraudzību</w:t>
            </w:r>
            <w:proofErr w:type="spellEnd"/>
            <w:r w:rsidRPr="00214730">
              <w:rPr>
                <w:rFonts w:eastAsiaTheme="minorEastAsia"/>
                <w:sz w:val="24"/>
                <w:szCs w:val="24"/>
              </w:rPr>
              <w:t xml:space="preserve"> veic piecu gadu periodā pēc noslēguma maksājuma veikšanas finansējuma saņēmējam; b) ja no Eiropas strukturāliem un investīciju fondiem saņemtais atbalsts ir valsts atbalsts, desmit gadu termiņu aizstāj ar termiņu, kas piemērojams saskaņā ar valsts atbalsta noteikumiem. Ja </w:t>
            </w:r>
            <w:r w:rsidR="00CC49A8">
              <w:rPr>
                <w:rFonts w:eastAsiaTheme="minorEastAsia"/>
                <w:sz w:val="24"/>
                <w:szCs w:val="24"/>
              </w:rPr>
              <w:t>papildinošai saimnieciskai darbībai piešķirtā jauda</w:t>
            </w:r>
            <w:r w:rsidRPr="00214730">
              <w:rPr>
                <w:rFonts w:eastAsiaTheme="minorEastAsia"/>
                <w:sz w:val="24"/>
                <w:szCs w:val="24"/>
              </w:rPr>
              <w:t xml:space="preserve"> nepārsniegs 20 procentus no infrastruktūras kopējās gada jaudas finanšu izteiksmē, </w:t>
            </w:r>
            <w:r w:rsidR="009F25AA">
              <w:rPr>
                <w:rFonts w:eastAsiaTheme="minorEastAsia"/>
                <w:sz w:val="24"/>
                <w:szCs w:val="24"/>
              </w:rPr>
              <w:t>papildinošā saimnieciskā</w:t>
            </w:r>
            <w:r w:rsidRPr="00214730">
              <w:rPr>
                <w:rFonts w:eastAsiaTheme="minorEastAsia"/>
                <w:sz w:val="24"/>
                <w:szCs w:val="24"/>
              </w:rPr>
              <w:t xml:space="preserve"> darbība uzskatāma par nesaimnieciska rakstura darbību, vienlaikus (ņemot vērā DG COMP e-</w:t>
            </w:r>
            <w:proofErr w:type="spellStart"/>
            <w:r w:rsidRPr="00214730">
              <w:rPr>
                <w:rFonts w:eastAsiaTheme="minorEastAsia"/>
                <w:sz w:val="24"/>
                <w:szCs w:val="24"/>
              </w:rPr>
              <w:t>State</w:t>
            </w:r>
            <w:proofErr w:type="spellEnd"/>
            <w:r w:rsidRPr="00214730">
              <w:rPr>
                <w:rFonts w:eastAsiaTheme="minorEastAsia"/>
                <w:sz w:val="24"/>
                <w:szCs w:val="24"/>
              </w:rPr>
              <w:t xml:space="preserve"> Aid WIKI sistēmā sniegtos skaidrojumus) ir jānodrošina projektu uzraudzība, lai pārliecinātos par to, ka </w:t>
            </w:r>
            <w:r w:rsidR="00285319">
              <w:rPr>
                <w:rFonts w:eastAsiaTheme="minorEastAsia"/>
                <w:sz w:val="24"/>
                <w:szCs w:val="24"/>
              </w:rPr>
              <w:t>papildinošas saimnieciskās</w:t>
            </w:r>
            <w:r w:rsidRPr="00214730">
              <w:rPr>
                <w:rFonts w:eastAsiaTheme="minorEastAsia"/>
                <w:sz w:val="24"/>
                <w:szCs w:val="24"/>
              </w:rPr>
              <w:t xml:space="preserve"> darbības procentuālais limits tiek ievērots visā projekta dzīves cikla laikā. </w:t>
            </w:r>
          </w:p>
          <w:p w14:paraId="4ADE668C" w14:textId="47BF86C8" w:rsidR="00EE3EA1" w:rsidRPr="00214730" w:rsidRDefault="00EE3EA1" w:rsidP="00EE3EA1">
            <w:pPr>
              <w:pStyle w:val="ListParagraph"/>
              <w:spacing w:before="60" w:after="60"/>
              <w:ind w:left="101" w:right="102"/>
              <w:jc w:val="both"/>
              <w:rPr>
                <w:rFonts w:eastAsiaTheme="minorEastAsia"/>
                <w:sz w:val="24"/>
                <w:szCs w:val="24"/>
              </w:rPr>
            </w:pPr>
            <w:r>
              <w:rPr>
                <w:rFonts w:eastAsiaTheme="minorEastAsia"/>
                <w:sz w:val="24"/>
                <w:szCs w:val="24"/>
              </w:rPr>
              <w:t xml:space="preserve">Ievērojot minēto </w:t>
            </w:r>
            <w:r w:rsidR="00C7680B">
              <w:rPr>
                <w:rFonts w:eastAsiaTheme="minorEastAsia"/>
                <w:sz w:val="24"/>
                <w:szCs w:val="24"/>
              </w:rPr>
              <w:t>n</w:t>
            </w:r>
            <w:r>
              <w:rPr>
                <w:rFonts w:eastAsiaTheme="minorEastAsia"/>
                <w:sz w:val="24"/>
                <w:szCs w:val="24"/>
              </w:rPr>
              <w:t>oteikumu projekts paredz a</w:t>
            </w:r>
            <w:r w:rsidRPr="00214730">
              <w:rPr>
                <w:rFonts w:eastAsiaTheme="minorEastAsia"/>
                <w:sz w:val="24"/>
                <w:szCs w:val="24"/>
              </w:rPr>
              <w:t>ktualizēt atbildīgās iestādes un sadarbības iestādes funkcijas un projektu uzraudzības period</w:t>
            </w:r>
            <w:r>
              <w:rPr>
                <w:rFonts w:eastAsiaTheme="minorEastAsia"/>
                <w:sz w:val="24"/>
                <w:szCs w:val="24"/>
              </w:rPr>
              <w:t>u</w:t>
            </w:r>
            <w:r w:rsidRPr="00214730">
              <w:rPr>
                <w:rFonts w:eastAsiaTheme="minorEastAsia"/>
                <w:sz w:val="24"/>
                <w:szCs w:val="24"/>
              </w:rPr>
              <w:t xml:space="preserve"> (MK noteikumu Nr. 265 6.8., 7.14.apakšpunkts, 21.</w:t>
            </w:r>
            <w:r w:rsidR="00C7680B">
              <w:rPr>
                <w:rFonts w:eastAsiaTheme="minorEastAsia"/>
                <w:sz w:val="24"/>
                <w:szCs w:val="24"/>
                <w:vertAlign w:val="superscript"/>
              </w:rPr>
              <w:t>2</w:t>
            </w:r>
            <w:r w:rsidRPr="00214730">
              <w:rPr>
                <w:rFonts w:eastAsiaTheme="minorEastAsia"/>
                <w:sz w:val="24"/>
                <w:szCs w:val="24"/>
              </w:rPr>
              <w:t xml:space="preserve"> punkts).</w:t>
            </w:r>
          </w:p>
          <w:p w14:paraId="0DE19535" w14:textId="77777777" w:rsidR="00EE3EA1" w:rsidRPr="00214730" w:rsidRDefault="00EE3EA1" w:rsidP="00EE3EA1">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Saskaņā ar Eiropas Savienības struktūrfondu un Kohēzijas fonda vadības likuma 14. panta pirmo daļu atbildīgo iestādi un sadarbības iestādi, kā arī kompetences sadalījumu starp tām nosaka Ministru kabinets (MK). Atbilstoši MK deleģējumam Valsts izglītības attīstības aģentūra kā </w:t>
            </w:r>
            <w:r w:rsidRPr="00214730">
              <w:rPr>
                <w:rFonts w:eastAsiaTheme="minorEastAsia"/>
                <w:sz w:val="24"/>
                <w:szCs w:val="24"/>
              </w:rPr>
              <w:lastRenderedPageBreak/>
              <w:t xml:space="preserve">sadarbības iestāde nodrošina Eiropas Savienības fondu 2007.–2013. gada plānošanas perioda projektu </w:t>
            </w:r>
            <w:proofErr w:type="spellStart"/>
            <w:r w:rsidRPr="00214730">
              <w:rPr>
                <w:rFonts w:eastAsiaTheme="minorEastAsia"/>
                <w:sz w:val="24"/>
                <w:szCs w:val="24"/>
              </w:rPr>
              <w:t>pēcuzraudzību</w:t>
            </w:r>
            <w:proofErr w:type="spellEnd"/>
            <w:r w:rsidRPr="00214730">
              <w:rPr>
                <w:rFonts w:eastAsiaTheme="minorEastAsia"/>
                <w:sz w:val="24"/>
                <w:szCs w:val="24"/>
              </w:rPr>
              <w:t xml:space="preserve">. Ņemot vērā, ka 3.1.2.1.1. aktivitātes projektu uzraudzības periods pārsniedz </w:t>
            </w:r>
            <w:proofErr w:type="spellStart"/>
            <w:r w:rsidRPr="00214730">
              <w:rPr>
                <w:rFonts w:eastAsiaTheme="minorEastAsia"/>
                <w:sz w:val="24"/>
                <w:szCs w:val="24"/>
              </w:rPr>
              <w:t>pēcuzraudzības</w:t>
            </w:r>
            <w:proofErr w:type="spellEnd"/>
            <w:r w:rsidRPr="00214730">
              <w:rPr>
                <w:rFonts w:eastAsiaTheme="minorEastAsia"/>
                <w:sz w:val="24"/>
                <w:szCs w:val="24"/>
              </w:rPr>
              <w:t xml:space="preserve"> periodu, noteikumu projekts paredz, ka Eiropas Savienības fondu 2007.–2013. gada plānošanas perioda 3.1.2.1.1. aktivitātes projektu uzraudzību pārskata (dzīves cikla) periodā līdz 2020.gada 31. decembrim veic sadarbības iestāde, bet no 2021. gada 1. janvāra līdz 2024. gada 31. decembrim nodrošina atbildīgā iestāde.</w:t>
            </w:r>
          </w:p>
          <w:p w14:paraId="4AA518A1" w14:textId="77777777" w:rsidR="00632C56" w:rsidRDefault="00EE3EA1" w:rsidP="00EE3EA1">
            <w:pPr>
              <w:pStyle w:val="ListParagraph"/>
              <w:spacing w:before="60" w:after="60"/>
              <w:ind w:left="101" w:right="102"/>
              <w:jc w:val="both"/>
              <w:rPr>
                <w:rFonts w:eastAsiaTheme="minorEastAsia"/>
                <w:sz w:val="24"/>
                <w:szCs w:val="24"/>
              </w:rPr>
            </w:pPr>
            <w:r w:rsidRPr="00214730">
              <w:rPr>
                <w:rFonts w:eastAsiaTheme="minorEastAsia"/>
                <w:sz w:val="24"/>
                <w:szCs w:val="24"/>
              </w:rPr>
              <w:t>Sadarbības iestāde</w:t>
            </w:r>
            <w:r w:rsidR="00632C56">
              <w:rPr>
                <w:rFonts w:eastAsiaTheme="minorEastAsia"/>
                <w:sz w:val="24"/>
                <w:szCs w:val="24"/>
              </w:rPr>
              <w:t>:</w:t>
            </w:r>
          </w:p>
          <w:p w14:paraId="2225B972" w14:textId="5E4C0C09" w:rsidR="00EE3EA1" w:rsidRPr="00214730" w:rsidRDefault="00632C56" w:rsidP="00EE3EA1">
            <w:pPr>
              <w:pStyle w:val="ListParagraph"/>
              <w:spacing w:before="60" w:after="60"/>
              <w:ind w:left="101" w:right="102"/>
              <w:jc w:val="both"/>
              <w:rPr>
                <w:rFonts w:eastAsiaTheme="minorEastAsia"/>
                <w:sz w:val="24"/>
                <w:szCs w:val="24"/>
              </w:rPr>
            </w:pPr>
            <w:r>
              <w:rPr>
                <w:rFonts w:eastAsiaTheme="minorEastAsia"/>
                <w:sz w:val="24"/>
                <w:szCs w:val="24"/>
              </w:rPr>
              <w:t>1. </w:t>
            </w:r>
            <w:r w:rsidR="00EE3EA1" w:rsidRPr="00214730">
              <w:rPr>
                <w:rFonts w:eastAsiaTheme="minorEastAsia"/>
                <w:sz w:val="24"/>
                <w:szCs w:val="24"/>
              </w:rPr>
              <w:t xml:space="preserve"> informē labuma guvējus par:</w:t>
            </w:r>
          </w:p>
          <w:p w14:paraId="1C47FDD1" w14:textId="7C15C243" w:rsidR="00EE3EA1" w:rsidRPr="00214730" w:rsidRDefault="00632C56" w:rsidP="00EE3EA1">
            <w:pPr>
              <w:pStyle w:val="ListParagraph"/>
              <w:spacing w:before="60" w:after="60"/>
              <w:ind w:left="101" w:right="102"/>
              <w:jc w:val="both"/>
              <w:rPr>
                <w:rFonts w:eastAsiaTheme="minorEastAsia"/>
                <w:sz w:val="24"/>
                <w:szCs w:val="24"/>
              </w:rPr>
            </w:pPr>
            <w:r>
              <w:rPr>
                <w:rFonts w:eastAsiaTheme="minorEastAsia"/>
                <w:sz w:val="24"/>
                <w:szCs w:val="24"/>
              </w:rPr>
              <w:t>–</w:t>
            </w:r>
            <w:r w:rsidR="00EE3EA1">
              <w:rPr>
                <w:rFonts w:eastAsiaTheme="minorEastAsia"/>
                <w:sz w:val="24"/>
                <w:szCs w:val="24"/>
              </w:rPr>
              <w:t> </w:t>
            </w:r>
            <w:r w:rsidR="00EE3EA1" w:rsidRPr="00214730">
              <w:rPr>
                <w:rFonts w:eastAsiaTheme="minorEastAsia"/>
                <w:sz w:val="24"/>
                <w:szCs w:val="24"/>
              </w:rPr>
              <w:t xml:space="preserve">nosacījumiem, kas izriet no MK noteikumu Nr.265 grozījumiem, tai skaitā </w:t>
            </w:r>
            <w:r w:rsidR="00C7680B">
              <w:rPr>
                <w:rFonts w:eastAsiaTheme="minorEastAsia"/>
                <w:sz w:val="24"/>
                <w:szCs w:val="24"/>
              </w:rPr>
              <w:t xml:space="preserve">modernizētās </w:t>
            </w:r>
            <w:r w:rsidR="00EE3EA1" w:rsidRPr="00214730">
              <w:rPr>
                <w:rFonts w:eastAsiaTheme="minorEastAsia"/>
                <w:sz w:val="24"/>
                <w:szCs w:val="24"/>
              </w:rPr>
              <w:t xml:space="preserve">infrastruktūras izmantošana </w:t>
            </w:r>
            <w:r w:rsidR="00C7680B">
              <w:rPr>
                <w:rFonts w:eastAsiaTheme="minorEastAsia"/>
                <w:sz w:val="24"/>
                <w:szCs w:val="24"/>
              </w:rPr>
              <w:t>saimniecisku</w:t>
            </w:r>
            <w:r w:rsidR="00EE3EA1" w:rsidRPr="00214730">
              <w:rPr>
                <w:rFonts w:eastAsiaTheme="minorEastAsia"/>
                <w:sz w:val="24"/>
                <w:szCs w:val="24"/>
              </w:rPr>
              <w:t xml:space="preserve"> darbību īstenošanai, piekļuves infrastruktūrai nodrošināšana un norēķinu kārtība, </w:t>
            </w:r>
            <w:r w:rsidR="00BF61BD">
              <w:rPr>
                <w:rFonts w:eastAsiaTheme="minorEastAsia"/>
                <w:sz w:val="24"/>
                <w:szCs w:val="24"/>
              </w:rPr>
              <w:t>papildinošo saimniecisko</w:t>
            </w:r>
            <w:r w:rsidR="00EE3EA1" w:rsidRPr="00214730">
              <w:rPr>
                <w:rFonts w:eastAsiaTheme="minorEastAsia"/>
                <w:sz w:val="24"/>
                <w:szCs w:val="24"/>
              </w:rPr>
              <w:t xml:space="preserve"> darbību uzskaite un citi nosacījumi;</w:t>
            </w:r>
          </w:p>
          <w:p w14:paraId="42542004" w14:textId="77777777" w:rsidR="00632C56" w:rsidRPr="003C7E17" w:rsidRDefault="00632C56" w:rsidP="00EE3EA1">
            <w:pPr>
              <w:pStyle w:val="ListParagraph"/>
              <w:spacing w:before="60" w:after="60"/>
              <w:ind w:left="101" w:right="102"/>
              <w:jc w:val="both"/>
              <w:rPr>
                <w:rFonts w:eastAsiaTheme="minorEastAsia"/>
                <w:sz w:val="24"/>
                <w:szCs w:val="24"/>
              </w:rPr>
            </w:pPr>
            <w:r w:rsidRPr="003C7E17">
              <w:rPr>
                <w:rFonts w:eastAsiaTheme="minorEastAsia"/>
                <w:sz w:val="24"/>
                <w:szCs w:val="24"/>
              </w:rPr>
              <w:t>–</w:t>
            </w:r>
            <w:r w:rsidR="00EE3EA1" w:rsidRPr="003C7E17">
              <w:rPr>
                <w:rFonts w:eastAsiaTheme="minorEastAsia"/>
                <w:sz w:val="24"/>
                <w:szCs w:val="24"/>
              </w:rPr>
              <w:t> nepieciešamajiem grozījumiem līgumā vai vienošanās par projekta īstenošanu, ko veic atbilstoši MK 2007.gada 26.jūnija noteikumos Nr.419 “Kārtība, kādā Eiropas Savienības struktūrfondu un Kohēzijas fonda vadībā iesaistītās institūcijas nodrošina plānošanas dokumentu sagatavošanu un šo fondu ieviešanu” noteiktajam regulējumam</w:t>
            </w:r>
            <w:r w:rsidRPr="003C7E17">
              <w:rPr>
                <w:rFonts w:eastAsiaTheme="minorEastAsia"/>
                <w:sz w:val="24"/>
                <w:szCs w:val="24"/>
              </w:rPr>
              <w:t>;</w:t>
            </w:r>
          </w:p>
          <w:p w14:paraId="7E31E7EF" w14:textId="2D41E4AA" w:rsidR="00632C56" w:rsidRPr="00214730" w:rsidRDefault="00632C56" w:rsidP="00632C56">
            <w:pPr>
              <w:pStyle w:val="ListParagraph"/>
              <w:spacing w:before="60" w:after="60"/>
              <w:ind w:left="101" w:right="102"/>
              <w:jc w:val="both"/>
              <w:rPr>
                <w:rFonts w:eastAsiaTheme="minorEastAsia"/>
                <w:sz w:val="24"/>
                <w:szCs w:val="24"/>
              </w:rPr>
            </w:pPr>
            <w:r w:rsidRPr="003C7E17">
              <w:rPr>
                <w:rFonts w:eastAsiaTheme="minorEastAsia"/>
                <w:sz w:val="24"/>
                <w:szCs w:val="24"/>
              </w:rPr>
              <w:t>2. </w:t>
            </w:r>
            <w:r w:rsidRPr="00214730">
              <w:rPr>
                <w:rFonts w:eastAsiaTheme="minorEastAsia"/>
                <w:sz w:val="24"/>
                <w:szCs w:val="24"/>
              </w:rPr>
              <w:t>izstrādā MK noteikumu Nr. 265 7.14. apakšpunktā minēto publiskā finansējuma uzraudzības un atgūšanas mehānismu, ņem</w:t>
            </w:r>
            <w:r>
              <w:rPr>
                <w:rFonts w:eastAsiaTheme="minorEastAsia"/>
                <w:sz w:val="24"/>
                <w:szCs w:val="24"/>
              </w:rPr>
              <w:t>ot</w:t>
            </w:r>
            <w:r w:rsidRPr="00214730">
              <w:rPr>
                <w:rFonts w:eastAsiaTheme="minorEastAsia"/>
                <w:sz w:val="24"/>
                <w:szCs w:val="24"/>
              </w:rPr>
              <w:t xml:space="preserve"> vērā Konkurences Ģenerāldirektorāta e-</w:t>
            </w:r>
            <w:proofErr w:type="spellStart"/>
            <w:r w:rsidRPr="00214730">
              <w:rPr>
                <w:rFonts w:eastAsiaTheme="minorEastAsia"/>
                <w:sz w:val="24"/>
                <w:szCs w:val="24"/>
              </w:rPr>
              <w:t>State</w:t>
            </w:r>
            <w:proofErr w:type="spellEnd"/>
            <w:r w:rsidRPr="00214730">
              <w:rPr>
                <w:rFonts w:eastAsiaTheme="minorEastAsia"/>
                <w:sz w:val="24"/>
                <w:szCs w:val="24"/>
              </w:rPr>
              <w:t xml:space="preserve"> Aid WIKI sistēmā</w:t>
            </w:r>
            <w:r w:rsidR="00892D66" w:rsidRPr="00D70A9C">
              <w:rPr>
                <w:rStyle w:val="FootnoteReference"/>
                <w:sz w:val="26"/>
                <w:szCs w:val="26"/>
              </w:rPr>
              <w:footnoteReference w:id="3"/>
            </w:r>
            <w:r w:rsidRPr="00214730">
              <w:rPr>
                <w:rFonts w:eastAsiaTheme="minorEastAsia"/>
                <w:sz w:val="24"/>
                <w:szCs w:val="24"/>
              </w:rPr>
              <w:t xml:space="preserve"> sniegto skaidrojumu par atgūšanas mehānismu un atgūstamā publiskā finansējuma aprēķināšanas metodiku.</w:t>
            </w:r>
          </w:p>
          <w:p w14:paraId="200ACBC8" w14:textId="41551DC1" w:rsidR="00EE3EA1" w:rsidRDefault="00EE3EA1" w:rsidP="00EE3EA1">
            <w:pPr>
              <w:pStyle w:val="ListParagraph"/>
              <w:spacing w:before="60" w:after="60"/>
              <w:ind w:left="101" w:right="102"/>
              <w:jc w:val="both"/>
              <w:rPr>
                <w:rFonts w:eastAsiaTheme="minorEastAsia"/>
                <w:sz w:val="24"/>
                <w:szCs w:val="24"/>
              </w:rPr>
            </w:pPr>
          </w:p>
          <w:p w14:paraId="2F1B6F24" w14:textId="70FD3702" w:rsidR="00CC49A8" w:rsidRPr="00345702" w:rsidRDefault="00CC49A8" w:rsidP="00214730">
            <w:pPr>
              <w:pStyle w:val="ListParagraph"/>
              <w:spacing w:before="60" w:after="60"/>
              <w:ind w:left="101" w:right="102"/>
              <w:jc w:val="both"/>
              <w:rPr>
                <w:rFonts w:eastAsiaTheme="minorEastAsia"/>
                <w:b/>
                <w:sz w:val="24"/>
                <w:szCs w:val="24"/>
              </w:rPr>
            </w:pPr>
            <w:r w:rsidRPr="00345702">
              <w:rPr>
                <w:rFonts w:eastAsiaTheme="minorEastAsia"/>
                <w:b/>
                <w:sz w:val="24"/>
                <w:szCs w:val="24"/>
              </w:rPr>
              <w:t>III. </w:t>
            </w:r>
            <w:r w:rsidR="00E433E3">
              <w:rPr>
                <w:rFonts w:eastAsiaTheme="minorEastAsia"/>
                <w:b/>
                <w:sz w:val="24"/>
                <w:szCs w:val="24"/>
              </w:rPr>
              <w:t>I</w:t>
            </w:r>
            <w:r w:rsidR="00345702" w:rsidRPr="00345702">
              <w:rPr>
                <w:rFonts w:eastAsiaTheme="minorEastAsia"/>
                <w:b/>
                <w:sz w:val="24"/>
                <w:szCs w:val="24"/>
              </w:rPr>
              <w:t>nfrastrukt</w:t>
            </w:r>
            <w:r w:rsidR="00E433E3">
              <w:rPr>
                <w:rFonts w:eastAsiaTheme="minorEastAsia"/>
                <w:b/>
                <w:sz w:val="24"/>
                <w:szCs w:val="24"/>
              </w:rPr>
              <w:t>ūras ekspluatācija saimniecisku darbību īstenošanai</w:t>
            </w:r>
          </w:p>
          <w:p w14:paraId="7B95E5ED" w14:textId="688A4F49" w:rsidR="00345702" w:rsidRDefault="00496760" w:rsidP="00214730">
            <w:pPr>
              <w:pStyle w:val="ListParagraph"/>
              <w:spacing w:before="60" w:after="60"/>
              <w:ind w:left="101" w:right="102"/>
              <w:jc w:val="both"/>
              <w:rPr>
                <w:rFonts w:eastAsiaTheme="minorEastAsia"/>
                <w:sz w:val="24"/>
                <w:szCs w:val="24"/>
              </w:rPr>
            </w:pPr>
            <w:r>
              <w:rPr>
                <w:rFonts w:eastAsiaTheme="minorEastAsia"/>
                <w:sz w:val="24"/>
                <w:szCs w:val="24"/>
              </w:rPr>
              <w:t>1. </w:t>
            </w:r>
            <w:r w:rsidR="00345702">
              <w:rPr>
                <w:rFonts w:eastAsiaTheme="minorEastAsia"/>
                <w:sz w:val="24"/>
                <w:szCs w:val="24"/>
              </w:rPr>
              <w:t xml:space="preserve">Noteikumu projekta nosacījumi sniedz iespēju efektīvāk izmantot projekta ietvaros </w:t>
            </w:r>
            <w:r w:rsidR="00317DFD">
              <w:rPr>
                <w:rFonts w:eastAsiaTheme="minorEastAsia"/>
                <w:sz w:val="24"/>
                <w:szCs w:val="24"/>
              </w:rPr>
              <w:t>modernizēto</w:t>
            </w:r>
            <w:r w:rsidR="00345702">
              <w:rPr>
                <w:rFonts w:eastAsiaTheme="minorEastAsia"/>
                <w:sz w:val="24"/>
                <w:szCs w:val="24"/>
              </w:rPr>
              <w:t xml:space="preserve"> infrastruktūru, ko nodrošina iespēja infrastruktūru </w:t>
            </w:r>
            <w:r w:rsidR="00632C56">
              <w:rPr>
                <w:rFonts w:eastAsiaTheme="minorEastAsia"/>
                <w:sz w:val="24"/>
                <w:szCs w:val="24"/>
              </w:rPr>
              <w:t xml:space="preserve">izmantot saimniecisku darbību īstenošanai, tai skaitā </w:t>
            </w:r>
            <w:r w:rsidR="00345702">
              <w:rPr>
                <w:rFonts w:eastAsiaTheme="minorEastAsia"/>
                <w:sz w:val="24"/>
                <w:szCs w:val="24"/>
              </w:rPr>
              <w:t>nomāt treš</w:t>
            </w:r>
            <w:r w:rsidR="00614E6D">
              <w:rPr>
                <w:rFonts w:eastAsiaTheme="minorEastAsia"/>
                <w:sz w:val="24"/>
                <w:szCs w:val="24"/>
              </w:rPr>
              <w:t>aj</w:t>
            </w:r>
            <w:r w:rsidR="00345702">
              <w:rPr>
                <w:rFonts w:eastAsiaTheme="minorEastAsia"/>
                <w:sz w:val="24"/>
                <w:szCs w:val="24"/>
              </w:rPr>
              <w:t>ām pusēm (papildinoša saimnieciska darbība</w:t>
            </w:r>
            <w:r w:rsidR="005D5FAE">
              <w:rPr>
                <w:rFonts w:eastAsiaTheme="minorEastAsia"/>
                <w:sz w:val="24"/>
                <w:szCs w:val="24"/>
              </w:rPr>
              <w:t>)</w:t>
            </w:r>
            <w:r w:rsidR="00632C56">
              <w:rPr>
                <w:rFonts w:eastAsiaTheme="minorEastAsia"/>
                <w:sz w:val="24"/>
                <w:szCs w:val="24"/>
              </w:rPr>
              <w:t xml:space="preserve">, nodrošinot MK noteikumu Nr. 265 </w:t>
            </w:r>
            <w:r w:rsidR="00627584">
              <w:rPr>
                <w:rFonts w:eastAsiaTheme="minorEastAsia"/>
                <w:sz w:val="24"/>
                <w:szCs w:val="24"/>
              </w:rPr>
              <w:t>21.</w:t>
            </w:r>
            <w:r w:rsidR="00627584" w:rsidRPr="00627584">
              <w:rPr>
                <w:rFonts w:eastAsiaTheme="minorEastAsia"/>
                <w:sz w:val="24"/>
                <w:szCs w:val="24"/>
                <w:vertAlign w:val="superscript"/>
              </w:rPr>
              <w:t>1</w:t>
            </w:r>
            <w:r w:rsidR="00627584">
              <w:rPr>
                <w:rFonts w:eastAsiaTheme="minorEastAsia"/>
                <w:sz w:val="24"/>
                <w:szCs w:val="24"/>
              </w:rPr>
              <w:t> 2. apakšpunktā minēto nosacījumu izpildi</w:t>
            </w:r>
            <w:r w:rsidR="005D5FAE">
              <w:rPr>
                <w:rFonts w:eastAsiaTheme="minorEastAsia"/>
                <w:sz w:val="24"/>
                <w:szCs w:val="24"/>
              </w:rPr>
              <w:t>.</w:t>
            </w:r>
          </w:p>
          <w:p w14:paraId="21A5544A" w14:textId="508FBD1F" w:rsidR="00496760" w:rsidRDefault="00627584" w:rsidP="00214730">
            <w:pPr>
              <w:pStyle w:val="ListParagraph"/>
              <w:spacing w:before="60" w:after="60"/>
              <w:ind w:left="101" w:right="102"/>
              <w:jc w:val="both"/>
              <w:rPr>
                <w:rFonts w:eastAsiaTheme="minorEastAsia"/>
                <w:sz w:val="24"/>
                <w:szCs w:val="24"/>
              </w:rPr>
            </w:pPr>
            <w:r>
              <w:rPr>
                <w:rFonts w:eastAsiaTheme="minorEastAsia"/>
                <w:sz w:val="24"/>
                <w:szCs w:val="24"/>
              </w:rPr>
              <w:t>Lai varētu īstenot saimnieciskās darbības, n</w:t>
            </w:r>
            <w:r w:rsidR="005D5FAE">
              <w:rPr>
                <w:rFonts w:eastAsiaTheme="minorEastAsia"/>
                <w:sz w:val="24"/>
                <w:szCs w:val="24"/>
              </w:rPr>
              <w:t xml:space="preserve">oteikumu projekts paredz papildināt </w:t>
            </w:r>
            <w:r w:rsidR="005D5FAE" w:rsidRPr="00E433E3">
              <w:rPr>
                <w:rFonts w:eastAsiaTheme="minorEastAsia"/>
                <w:sz w:val="24"/>
                <w:szCs w:val="24"/>
              </w:rPr>
              <w:t>MK noteikumus Nr. 265</w:t>
            </w:r>
            <w:r>
              <w:rPr>
                <w:rFonts w:eastAsiaTheme="minorEastAsia"/>
                <w:sz w:val="24"/>
                <w:szCs w:val="24"/>
              </w:rPr>
              <w:t xml:space="preserve"> ar normām, kas nosaka finansējuma saņēmējam izvirzītās prasības, tai skaitā</w:t>
            </w:r>
            <w:r w:rsidR="00496760">
              <w:rPr>
                <w:rFonts w:eastAsiaTheme="minorEastAsia"/>
                <w:sz w:val="24"/>
                <w:szCs w:val="24"/>
              </w:rPr>
              <w:t>:</w:t>
            </w:r>
            <w:r w:rsidR="005D5FAE">
              <w:rPr>
                <w:rFonts w:eastAsiaTheme="minorEastAsia"/>
                <w:sz w:val="24"/>
                <w:szCs w:val="24"/>
              </w:rPr>
              <w:t xml:space="preserve"> </w:t>
            </w:r>
          </w:p>
          <w:p w14:paraId="2E572F19" w14:textId="16D445E6" w:rsidR="005D5FAE" w:rsidRDefault="00BF61BD" w:rsidP="00214730">
            <w:pPr>
              <w:pStyle w:val="ListParagraph"/>
              <w:spacing w:before="60" w:after="60"/>
              <w:ind w:left="101" w:right="102"/>
              <w:jc w:val="both"/>
              <w:rPr>
                <w:rFonts w:eastAsiaTheme="minorEastAsia"/>
                <w:sz w:val="24"/>
                <w:szCs w:val="24"/>
              </w:rPr>
            </w:pPr>
            <w:r>
              <w:rPr>
                <w:rFonts w:eastAsiaTheme="minorEastAsia"/>
                <w:sz w:val="24"/>
                <w:szCs w:val="24"/>
              </w:rPr>
              <w:t>1. </w:t>
            </w:r>
            <w:r w:rsidR="00E433E3">
              <w:rPr>
                <w:rFonts w:eastAsiaTheme="minorEastAsia"/>
                <w:sz w:val="24"/>
                <w:szCs w:val="24"/>
              </w:rPr>
              <w:t>norēķinu kārtīb</w:t>
            </w:r>
            <w:r w:rsidR="00627584">
              <w:rPr>
                <w:rFonts w:eastAsiaTheme="minorEastAsia"/>
                <w:sz w:val="24"/>
                <w:szCs w:val="24"/>
              </w:rPr>
              <w:t>a</w:t>
            </w:r>
            <w:r w:rsidR="00317DFD">
              <w:rPr>
                <w:rFonts w:eastAsiaTheme="minorEastAsia"/>
                <w:sz w:val="24"/>
                <w:szCs w:val="24"/>
              </w:rPr>
              <w:t xml:space="preserve"> piekļuves nodrošināšan</w:t>
            </w:r>
            <w:r w:rsidR="00614E6D">
              <w:rPr>
                <w:rFonts w:eastAsiaTheme="minorEastAsia"/>
                <w:sz w:val="24"/>
                <w:szCs w:val="24"/>
              </w:rPr>
              <w:t>a</w:t>
            </w:r>
            <w:r w:rsidR="00317DFD">
              <w:rPr>
                <w:rFonts w:eastAsiaTheme="minorEastAsia"/>
                <w:sz w:val="24"/>
                <w:szCs w:val="24"/>
              </w:rPr>
              <w:t>i</w:t>
            </w:r>
            <w:r w:rsidR="00E433E3">
              <w:rPr>
                <w:rFonts w:eastAsiaTheme="minorEastAsia"/>
                <w:sz w:val="24"/>
                <w:szCs w:val="24"/>
              </w:rPr>
              <w:t xml:space="preserve"> </w:t>
            </w:r>
            <w:r w:rsidR="00496760">
              <w:rPr>
                <w:rFonts w:eastAsiaTheme="minorEastAsia"/>
                <w:sz w:val="24"/>
                <w:szCs w:val="24"/>
              </w:rPr>
              <w:t>(MK noteikumu 265 21.</w:t>
            </w:r>
            <w:r>
              <w:rPr>
                <w:rFonts w:eastAsiaTheme="minorEastAsia"/>
                <w:sz w:val="24"/>
                <w:szCs w:val="24"/>
                <w:vertAlign w:val="superscript"/>
              </w:rPr>
              <w:t>3</w:t>
            </w:r>
            <w:r w:rsidR="00496760">
              <w:rPr>
                <w:rFonts w:eastAsiaTheme="minorEastAsia"/>
                <w:sz w:val="24"/>
                <w:szCs w:val="24"/>
              </w:rPr>
              <w:t xml:space="preserve"> punkts);</w:t>
            </w:r>
          </w:p>
          <w:p w14:paraId="593260DB" w14:textId="42A2E8E6" w:rsidR="00214730" w:rsidRPr="00214730" w:rsidRDefault="00BF61BD" w:rsidP="00214730">
            <w:pPr>
              <w:pStyle w:val="ListParagraph"/>
              <w:spacing w:before="60" w:after="60"/>
              <w:ind w:left="101" w:right="102"/>
              <w:jc w:val="both"/>
              <w:rPr>
                <w:rFonts w:eastAsiaTheme="minorEastAsia"/>
                <w:sz w:val="24"/>
                <w:szCs w:val="24"/>
              </w:rPr>
            </w:pPr>
            <w:r>
              <w:rPr>
                <w:rFonts w:eastAsiaTheme="minorEastAsia"/>
                <w:sz w:val="24"/>
                <w:szCs w:val="24"/>
              </w:rPr>
              <w:t>2. </w:t>
            </w:r>
            <w:r w:rsidR="00214730" w:rsidRPr="00214730">
              <w:rPr>
                <w:rFonts w:eastAsiaTheme="minorEastAsia"/>
                <w:sz w:val="24"/>
                <w:szCs w:val="24"/>
              </w:rPr>
              <w:t xml:space="preserve">ar komercdarbības atbalstu nesaistīta projekta ietvaros </w:t>
            </w:r>
            <w:r>
              <w:rPr>
                <w:rFonts w:eastAsiaTheme="minorEastAsia"/>
                <w:sz w:val="24"/>
                <w:szCs w:val="24"/>
              </w:rPr>
              <w:t>modernizētā</w:t>
            </w:r>
            <w:r w:rsidR="00214730" w:rsidRPr="00214730">
              <w:rPr>
                <w:rFonts w:eastAsiaTheme="minorEastAsia"/>
                <w:sz w:val="24"/>
                <w:szCs w:val="24"/>
              </w:rPr>
              <w:t xml:space="preserve"> infrastruktūra ir izmantojama </w:t>
            </w:r>
            <w:r w:rsidR="00CC49A8">
              <w:rPr>
                <w:rFonts w:eastAsiaTheme="minorEastAsia"/>
                <w:sz w:val="24"/>
                <w:szCs w:val="24"/>
              </w:rPr>
              <w:t xml:space="preserve">saimniecisku </w:t>
            </w:r>
            <w:r w:rsidR="00CC49A8">
              <w:rPr>
                <w:rFonts w:eastAsiaTheme="minorEastAsia"/>
                <w:sz w:val="24"/>
                <w:szCs w:val="24"/>
              </w:rPr>
              <w:lastRenderedPageBreak/>
              <w:t>darbību</w:t>
            </w:r>
            <w:r w:rsidR="00214730" w:rsidRPr="00214730">
              <w:rPr>
                <w:rFonts w:eastAsiaTheme="minorEastAsia"/>
                <w:sz w:val="24"/>
                <w:szCs w:val="24"/>
              </w:rPr>
              <w:t xml:space="preserve"> īstenošanai, ja augstākās izglītības institūcija nodrošina šādu nosacījumu izpildi:</w:t>
            </w:r>
          </w:p>
          <w:p w14:paraId="68EC608D" w14:textId="7ECD905D" w:rsidR="006C73A6" w:rsidRPr="006C73A6" w:rsidRDefault="00BF61BD" w:rsidP="006C73A6">
            <w:pPr>
              <w:pStyle w:val="ListParagraph"/>
              <w:spacing w:before="60" w:after="60"/>
              <w:ind w:left="101" w:right="102"/>
              <w:jc w:val="both"/>
              <w:rPr>
                <w:rFonts w:eastAsiaTheme="minorEastAsia"/>
                <w:sz w:val="24"/>
                <w:szCs w:val="24"/>
              </w:rPr>
            </w:pPr>
            <w:r>
              <w:rPr>
                <w:rFonts w:eastAsiaTheme="minorEastAsia"/>
                <w:sz w:val="24"/>
                <w:szCs w:val="24"/>
              </w:rPr>
              <w:t>2.</w:t>
            </w:r>
            <w:r w:rsidR="006C73A6">
              <w:rPr>
                <w:rFonts w:eastAsiaTheme="minorEastAsia"/>
                <w:sz w:val="24"/>
                <w:szCs w:val="24"/>
              </w:rPr>
              <w:t>1. </w:t>
            </w:r>
            <w:r w:rsidR="006C73A6" w:rsidRPr="006C73A6">
              <w:rPr>
                <w:rFonts w:eastAsiaTheme="minorEastAsia"/>
                <w:sz w:val="24"/>
                <w:szCs w:val="24"/>
              </w:rPr>
              <w:t>katru gadu papildinošai saimnieciskai darbībai iedalītā jauda finanšu izteiksmē nepārsniedz 20 procentus no infrastruktūras kopējās gada jaudas finanšu izteiksmē. Ja kādā no kalendāra gadiem projekta pārskata periodā papildinošai saimnieciskai darbībai iedalītā jauda finanšu izteiksmē pārsniedz 20 procentus no infrastruktūras kopējās gada jaudas, finansējuma saņēmējam piemēro publiskā finansējuma atgūšanas mehānismu</w:t>
            </w:r>
            <w:r w:rsidR="006C73A6">
              <w:rPr>
                <w:rFonts w:eastAsiaTheme="minorEastAsia"/>
                <w:sz w:val="24"/>
                <w:szCs w:val="24"/>
              </w:rPr>
              <w:t xml:space="preserve"> (MK noteikumu Nr. 265 79.</w:t>
            </w:r>
            <w:r w:rsidR="006C73A6" w:rsidRPr="006C73A6">
              <w:rPr>
                <w:rFonts w:eastAsiaTheme="minorEastAsia"/>
                <w:sz w:val="24"/>
                <w:szCs w:val="24"/>
                <w:vertAlign w:val="superscript"/>
              </w:rPr>
              <w:t>1</w:t>
            </w:r>
            <w:r w:rsidR="006C73A6">
              <w:rPr>
                <w:rFonts w:eastAsiaTheme="minorEastAsia"/>
                <w:sz w:val="24"/>
                <w:szCs w:val="24"/>
              </w:rPr>
              <w:t> 1. apakšpunkts)</w:t>
            </w:r>
            <w:r w:rsidR="006C73A6" w:rsidRPr="006C73A6">
              <w:rPr>
                <w:rFonts w:eastAsiaTheme="minorEastAsia"/>
                <w:sz w:val="24"/>
                <w:szCs w:val="24"/>
              </w:rPr>
              <w:t>;</w:t>
            </w:r>
          </w:p>
          <w:p w14:paraId="1CEFA94E" w14:textId="2F2828FC" w:rsidR="00214730" w:rsidRDefault="00BF61BD" w:rsidP="006C73A6">
            <w:pPr>
              <w:pStyle w:val="ListParagraph"/>
              <w:spacing w:before="60" w:after="60"/>
              <w:ind w:left="101" w:right="102"/>
              <w:jc w:val="both"/>
              <w:rPr>
                <w:rFonts w:eastAsiaTheme="minorEastAsia"/>
                <w:sz w:val="24"/>
                <w:szCs w:val="24"/>
              </w:rPr>
            </w:pPr>
            <w:r>
              <w:rPr>
                <w:rFonts w:eastAsiaTheme="minorEastAsia"/>
                <w:sz w:val="24"/>
                <w:szCs w:val="24"/>
              </w:rPr>
              <w:t>2.</w:t>
            </w:r>
            <w:r w:rsidR="00332366">
              <w:rPr>
                <w:rFonts w:eastAsiaTheme="minorEastAsia"/>
                <w:sz w:val="24"/>
                <w:szCs w:val="24"/>
              </w:rPr>
              <w:t>2. </w:t>
            </w:r>
            <w:r w:rsidR="006C73A6" w:rsidRPr="006C73A6">
              <w:rPr>
                <w:rFonts w:eastAsiaTheme="minorEastAsia"/>
                <w:sz w:val="24"/>
                <w:szCs w:val="24"/>
              </w:rPr>
              <w:t>parastos papildpakalpojumus galvenokārt izmanto nesaimnieciskajai pamatdarbībai un tie neietekmē tirdzniecību starp Eiropas Savienības dalībvalstīm (pakalpojumiem ir vietējs raksturs</w:t>
            </w:r>
            <w:r w:rsidR="006C73A6">
              <w:rPr>
                <w:rFonts w:eastAsiaTheme="minorEastAsia"/>
                <w:sz w:val="24"/>
                <w:szCs w:val="24"/>
              </w:rPr>
              <w:t>) (MK noteikumu Nr. 265 79.</w:t>
            </w:r>
            <w:r w:rsidR="006C73A6" w:rsidRPr="006C73A6">
              <w:rPr>
                <w:rFonts w:eastAsiaTheme="minorEastAsia"/>
                <w:sz w:val="24"/>
                <w:szCs w:val="24"/>
                <w:vertAlign w:val="superscript"/>
              </w:rPr>
              <w:t>1</w:t>
            </w:r>
            <w:r w:rsidR="006C73A6">
              <w:rPr>
                <w:rFonts w:eastAsiaTheme="minorEastAsia"/>
                <w:sz w:val="24"/>
                <w:szCs w:val="24"/>
              </w:rPr>
              <w:t> 2. apakšpunkts)</w:t>
            </w:r>
            <w:r w:rsidR="00214730" w:rsidRPr="00214730">
              <w:rPr>
                <w:rFonts w:eastAsiaTheme="minorEastAsia"/>
                <w:sz w:val="24"/>
                <w:szCs w:val="24"/>
              </w:rPr>
              <w:t>;</w:t>
            </w:r>
          </w:p>
          <w:p w14:paraId="5BB2B947" w14:textId="72ADAD36" w:rsidR="00BF61BD"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3.</w:t>
            </w:r>
            <w:r w:rsidR="00332366">
              <w:rPr>
                <w:rFonts w:eastAsiaTheme="minorEastAsia"/>
                <w:sz w:val="24"/>
                <w:szCs w:val="24"/>
              </w:rPr>
              <w:t> </w:t>
            </w:r>
            <w:r w:rsidRPr="00214730">
              <w:rPr>
                <w:rFonts w:eastAsiaTheme="minorEastAsia"/>
                <w:sz w:val="24"/>
                <w:szCs w:val="24"/>
              </w:rPr>
              <w:t>augstākās izglītības institūcija</w:t>
            </w:r>
            <w:r w:rsidR="00983B1A">
              <w:rPr>
                <w:rFonts w:eastAsiaTheme="minorEastAsia"/>
                <w:sz w:val="24"/>
                <w:szCs w:val="24"/>
              </w:rPr>
              <w:t xml:space="preserve"> izstrādā:</w:t>
            </w:r>
            <w:r w:rsidRPr="00214730">
              <w:rPr>
                <w:rFonts w:eastAsiaTheme="minorEastAsia"/>
                <w:sz w:val="24"/>
                <w:szCs w:val="24"/>
              </w:rPr>
              <w:t xml:space="preserve"> </w:t>
            </w:r>
            <w:r w:rsidR="00983B1A">
              <w:rPr>
                <w:rFonts w:eastAsiaTheme="minorEastAsia"/>
                <w:sz w:val="24"/>
                <w:szCs w:val="24"/>
              </w:rPr>
              <w:t>a) papildinošai saimnieciskai darbībai piešķirtās</w:t>
            </w:r>
            <w:r w:rsidRPr="00214730">
              <w:rPr>
                <w:rFonts w:eastAsiaTheme="minorEastAsia"/>
                <w:sz w:val="24"/>
                <w:szCs w:val="24"/>
              </w:rPr>
              <w:t xml:space="preserve"> jaudas finanšu izteiksmē aprēķinu metod</w:t>
            </w:r>
            <w:r w:rsidR="00983B1A">
              <w:rPr>
                <w:rFonts w:eastAsiaTheme="minorEastAsia"/>
                <w:sz w:val="24"/>
                <w:szCs w:val="24"/>
              </w:rPr>
              <w:t>i</w:t>
            </w:r>
            <w:r w:rsidR="00627584">
              <w:rPr>
                <w:rFonts w:eastAsiaTheme="minorEastAsia"/>
                <w:sz w:val="24"/>
                <w:szCs w:val="24"/>
              </w:rPr>
              <w:t xml:space="preserve"> un</w:t>
            </w:r>
            <w:r w:rsidR="00983B1A">
              <w:rPr>
                <w:rFonts w:eastAsiaTheme="minorEastAsia"/>
                <w:sz w:val="24"/>
                <w:szCs w:val="24"/>
              </w:rPr>
              <w:t xml:space="preserve"> </w:t>
            </w:r>
            <w:r w:rsidRPr="00214730">
              <w:rPr>
                <w:rFonts w:eastAsiaTheme="minorEastAsia"/>
                <w:sz w:val="24"/>
                <w:szCs w:val="24"/>
              </w:rPr>
              <w:t>kontroles mehānismu</w:t>
            </w:r>
            <w:r w:rsidR="00EE3EA1">
              <w:rPr>
                <w:rFonts w:eastAsiaTheme="minorEastAsia"/>
                <w:sz w:val="24"/>
                <w:szCs w:val="24"/>
              </w:rPr>
              <w:t>;</w:t>
            </w:r>
            <w:r w:rsidRPr="00214730">
              <w:rPr>
                <w:rFonts w:eastAsiaTheme="minorEastAsia"/>
                <w:sz w:val="24"/>
                <w:szCs w:val="24"/>
              </w:rPr>
              <w:t xml:space="preserve"> </w:t>
            </w:r>
            <w:r w:rsidR="00983B1A">
              <w:rPr>
                <w:rFonts w:eastAsiaTheme="minorEastAsia"/>
                <w:sz w:val="24"/>
                <w:szCs w:val="24"/>
              </w:rPr>
              <w:t xml:space="preserve">b) </w:t>
            </w:r>
            <w:r w:rsidRPr="00214730">
              <w:rPr>
                <w:rFonts w:eastAsiaTheme="minorEastAsia"/>
                <w:sz w:val="24"/>
                <w:szCs w:val="24"/>
              </w:rPr>
              <w:t xml:space="preserve">piekļuves </w:t>
            </w:r>
            <w:r w:rsidRPr="00AB431B">
              <w:rPr>
                <w:rFonts w:eastAsiaTheme="minorEastAsia"/>
                <w:sz w:val="24"/>
                <w:szCs w:val="24"/>
              </w:rPr>
              <w:t>infrastruktūrai kārtību</w:t>
            </w:r>
            <w:r w:rsidR="00983B1A" w:rsidRPr="00AB431B">
              <w:rPr>
                <w:rFonts w:eastAsiaTheme="minorEastAsia"/>
                <w:sz w:val="24"/>
                <w:szCs w:val="24"/>
              </w:rPr>
              <w:t xml:space="preserve"> un citus dokumentus, lai nodrošinātu </w:t>
            </w:r>
            <w:r w:rsidR="00AB431B" w:rsidRPr="00AB431B">
              <w:rPr>
                <w:sz w:val="24"/>
                <w:szCs w:val="24"/>
              </w:rPr>
              <w:t>MK noteikumu Nr. 265 21.</w:t>
            </w:r>
            <w:r w:rsidR="00AB431B" w:rsidRPr="00AB431B">
              <w:rPr>
                <w:sz w:val="24"/>
                <w:szCs w:val="24"/>
                <w:vertAlign w:val="superscript"/>
              </w:rPr>
              <w:t>1</w:t>
            </w:r>
            <w:r w:rsidR="00AB431B" w:rsidRPr="00AB431B">
              <w:rPr>
                <w:sz w:val="24"/>
                <w:szCs w:val="24"/>
              </w:rPr>
              <w:t xml:space="preserve"> , 21.</w:t>
            </w:r>
            <w:r w:rsidR="00AB431B" w:rsidRPr="00AB431B">
              <w:rPr>
                <w:sz w:val="24"/>
                <w:szCs w:val="24"/>
                <w:vertAlign w:val="superscript"/>
              </w:rPr>
              <w:t>3</w:t>
            </w:r>
            <w:r w:rsidR="00AB431B" w:rsidRPr="00AB431B">
              <w:rPr>
                <w:sz w:val="24"/>
                <w:szCs w:val="24"/>
              </w:rPr>
              <w:t>, 79.</w:t>
            </w:r>
            <w:r w:rsidR="00AB431B" w:rsidRPr="00AB431B">
              <w:rPr>
                <w:sz w:val="24"/>
                <w:szCs w:val="24"/>
                <w:vertAlign w:val="superscript"/>
              </w:rPr>
              <w:t>1</w:t>
            </w:r>
            <w:r w:rsidR="00AB431B" w:rsidRPr="00AB431B">
              <w:rPr>
                <w:sz w:val="24"/>
                <w:szCs w:val="24"/>
              </w:rPr>
              <w:t xml:space="preserve"> punkta un 79.</w:t>
            </w:r>
            <w:r w:rsidR="00AB431B" w:rsidRPr="00AB431B">
              <w:rPr>
                <w:sz w:val="24"/>
                <w:szCs w:val="24"/>
                <w:vertAlign w:val="superscript"/>
              </w:rPr>
              <w:t>2</w:t>
            </w:r>
            <w:r w:rsidR="00AB431B" w:rsidRPr="00AB431B">
              <w:rPr>
                <w:sz w:val="24"/>
                <w:szCs w:val="24"/>
              </w:rPr>
              <w:t> 2., 79.</w:t>
            </w:r>
            <w:r w:rsidR="00AB431B" w:rsidRPr="00AB431B">
              <w:rPr>
                <w:sz w:val="24"/>
                <w:szCs w:val="24"/>
                <w:vertAlign w:val="superscript"/>
              </w:rPr>
              <w:t>2</w:t>
            </w:r>
            <w:r w:rsidR="00AB431B" w:rsidRPr="00AB431B">
              <w:rPr>
                <w:sz w:val="24"/>
                <w:szCs w:val="24"/>
              </w:rPr>
              <w:t xml:space="preserve"> 3. apakšpunkta </w:t>
            </w:r>
            <w:r w:rsidR="00EE3EA1" w:rsidRPr="00AB431B">
              <w:rPr>
                <w:rFonts w:eastAsiaTheme="minorEastAsia"/>
                <w:sz w:val="24"/>
                <w:szCs w:val="24"/>
              </w:rPr>
              <w:t>nosacījumu izpildi</w:t>
            </w:r>
            <w:r w:rsidR="00EE3EA1">
              <w:rPr>
                <w:rFonts w:eastAsiaTheme="minorEastAsia"/>
                <w:sz w:val="24"/>
                <w:szCs w:val="24"/>
              </w:rPr>
              <w:t xml:space="preserve"> </w:t>
            </w:r>
            <w:r w:rsidR="00983B1A">
              <w:rPr>
                <w:rFonts w:eastAsiaTheme="minorEastAsia"/>
                <w:sz w:val="24"/>
                <w:szCs w:val="24"/>
              </w:rPr>
              <w:t xml:space="preserve">(MK noteikumu Nr. 265 </w:t>
            </w:r>
            <w:r w:rsidR="00EE3EA1" w:rsidRPr="00EE3EA1">
              <w:rPr>
                <w:rFonts w:eastAsiaTheme="minorEastAsia"/>
                <w:sz w:val="24"/>
                <w:szCs w:val="24"/>
              </w:rPr>
              <w:t>79.</w:t>
            </w:r>
            <w:r w:rsidR="00332366">
              <w:rPr>
                <w:rFonts w:eastAsiaTheme="minorEastAsia"/>
                <w:sz w:val="24"/>
                <w:szCs w:val="24"/>
                <w:vertAlign w:val="superscript"/>
              </w:rPr>
              <w:t>2</w:t>
            </w:r>
            <w:r w:rsidR="00BF61BD">
              <w:rPr>
                <w:rFonts w:eastAsiaTheme="minorEastAsia"/>
                <w:sz w:val="24"/>
                <w:szCs w:val="24"/>
              </w:rPr>
              <w:t> 1. apakš</w:t>
            </w:r>
            <w:r w:rsidR="00EE3EA1">
              <w:rPr>
                <w:rFonts w:eastAsiaTheme="minorEastAsia"/>
                <w:sz w:val="24"/>
                <w:szCs w:val="24"/>
              </w:rPr>
              <w:t>punkts)</w:t>
            </w:r>
            <w:r w:rsidR="00BF61BD">
              <w:rPr>
                <w:rFonts w:eastAsiaTheme="minorEastAsia"/>
                <w:sz w:val="24"/>
                <w:szCs w:val="24"/>
              </w:rPr>
              <w:t>;</w:t>
            </w:r>
          </w:p>
          <w:p w14:paraId="0994F572" w14:textId="77777777" w:rsidR="007E3B7C" w:rsidRDefault="00BF61BD" w:rsidP="00BF61BD">
            <w:pPr>
              <w:pStyle w:val="ListParagraph"/>
              <w:spacing w:before="60" w:after="60"/>
              <w:ind w:left="101" w:right="102"/>
              <w:jc w:val="both"/>
              <w:rPr>
                <w:rFonts w:eastAsiaTheme="minorEastAsia"/>
                <w:sz w:val="24"/>
                <w:szCs w:val="24"/>
              </w:rPr>
            </w:pPr>
            <w:r>
              <w:rPr>
                <w:rFonts w:eastAsiaTheme="minorEastAsia"/>
                <w:sz w:val="24"/>
                <w:szCs w:val="24"/>
              </w:rPr>
              <w:t>4. . </w:t>
            </w:r>
            <w:r w:rsidRPr="006C73A6">
              <w:rPr>
                <w:rFonts w:eastAsiaTheme="minorEastAsia"/>
                <w:sz w:val="24"/>
                <w:szCs w:val="24"/>
              </w:rPr>
              <w:t xml:space="preserve">institūcija nodala: a) ar saimniecisku darbību nesaistītas pamatdarbības (un ar tām saistītās finanšu plūsmas) no saimnieciskajām pamatdarbībām; b) pamatdarbības un ar tām saistītās finanšu plūsmas no pārējām augstākās izglītības institūcijas darbībām un ar tām saistītajām finanšu plūsmām </w:t>
            </w:r>
            <w:r>
              <w:rPr>
                <w:rFonts w:eastAsiaTheme="minorEastAsia"/>
                <w:sz w:val="24"/>
                <w:szCs w:val="24"/>
              </w:rPr>
              <w:t xml:space="preserve">((MK noteikumu 265 </w:t>
            </w:r>
            <w:r w:rsidRPr="00EE3EA1">
              <w:rPr>
                <w:rFonts w:eastAsiaTheme="minorEastAsia"/>
                <w:sz w:val="24"/>
                <w:szCs w:val="24"/>
              </w:rPr>
              <w:t>79.</w:t>
            </w:r>
            <w:r>
              <w:rPr>
                <w:rFonts w:eastAsiaTheme="minorEastAsia"/>
                <w:sz w:val="24"/>
                <w:szCs w:val="24"/>
                <w:vertAlign w:val="superscript"/>
              </w:rPr>
              <w:t>2</w:t>
            </w:r>
            <w:r>
              <w:rPr>
                <w:rFonts w:eastAsiaTheme="minorEastAsia"/>
                <w:sz w:val="24"/>
                <w:szCs w:val="24"/>
              </w:rPr>
              <w:t xml:space="preserve"> 2. un </w:t>
            </w:r>
            <w:r w:rsidRPr="00EE3EA1">
              <w:rPr>
                <w:rFonts w:eastAsiaTheme="minorEastAsia"/>
                <w:sz w:val="24"/>
                <w:szCs w:val="24"/>
              </w:rPr>
              <w:t>79.</w:t>
            </w:r>
            <w:r>
              <w:rPr>
                <w:rFonts w:eastAsiaTheme="minorEastAsia"/>
                <w:sz w:val="24"/>
                <w:szCs w:val="24"/>
                <w:vertAlign w:val="superscript"/>
              </w:rPr>
              <w:t>2</w:t>
            </w:r>
            <w:r>
              <w:rPr>
                <w:rFonts w:eastAsiaTheme="minorEastAsia"/>
                <w:sz w:val="24"/>
                <w:szCs w:val="24"/>
              </w:rPr>
              <w:t> 3. apakšpunkts)</w:t>
            </w:r>
            <w:r w:rsidR="007E3B7C">
              <w:rPr>
                <w:rFonts w:eastAsiaTheme="minorEastAsia"/>
                <w:sz w:val="24"/>
                <w:szCs w:val="24"/>
              </w:rPr>
              <w:t>;</w:t>
            </w:r>
          </w:p>
          <w:p w14:paraId="54146EFC" w14:textId="3683F917" w:rsidR="00BF61BD" w:rsidRPr="00214730" w:rsidRDefault="007E3B7C" w:rsidP="00BF61BD">
            <w:pPr>
              <w:pStyle w:val="ListParagraph"/>
              <w:spacing w:before="60" w:after="60"/>
              <w:ind w:left="101" w:right="102"/>
              <w:jc w:val="both"/>
              <w:rPr>
                <w:rFonts w:eastAsiaTheme="minorEastAsia"/>
                <w:sz w:val="24"/>
                <w:szCs w:val="24"/>
              </w:rPr>
            </w:pPr>
            <w:r>
              <w:rPr>
                <w:sz w:val="24"/>
                <w:szCs w:val="24"/>
              </w:rPr>
              <w:t>5.</w:t>
            </w:r>
            <w:r w:rsidRPr="00332366">
              <w:rPr>
                <w:sz w:val="24"/>
                <w:szCs w:val="24"/>
              </w:rPr>
              <w:t> </w:t>
            </w:r>
            <w:r>
              <w:rPr>
                <w:sz w:val="24"/>
                <w:szCs w:val="24"/>
              </w:rPr>
              <w:t>f</w:t>
            </w:r>
            <w:r w:rsidRPr="00332366">
              <w:rPr>
                <w:sz w:val="24"/>
                <w:szCs w:val="24"/>
              </w:rPr>
              <w:t>inansējuma saņēmēja pienākums glabāt projekta iesnieguma atvasinājumu un ar projekta īstenošanu saistīto dokumentu oriģinālus vai normatīvajos aktos par dokumentu izstrādāšanu un noformēšanu noteiktajā kārtībā apliecinātas to kopijas visu projekta pārskata periodu</w:t>
            </w:r>
            <w:r>
              <w:rPr>
                <w:sz w:val="24"/>
                <w:szCs w:val="24"/>
              </w:rPr>
              <w:t xml:space="preserve"> </w:t>
            </w:r>
            <w:r w:rsidRPr="00332366">
              <w:rPr>
                <w:rFonts w:eastAsiaTheme="minorEastAsia"/>
                <w:sz w:val="24"/>
                <w:szCs w:val="24"/>
              </w:rPr>
              <w:t>(MK noteikumu Nr. 265 79.</w:t>
            </w:r>
            <w:r>
              <w:rPr>
                <w:rFonts w:eastAsiaTheme="minorEastAsia"/>
                <w:sz w:val="24"/>
                <w:szCs w:val="24"/>
                <w:vertAlign w:val="superscript"/>
              </w:rPr>
              <w:t>4</w:t>
            </w:r>
            <w:r w:rsidRPr="00332366">
              <w:rPr>
                <w:rFonts w:eastAsiaTheme="minorEastAsia"/>
                <w:sz w:val="24"/>
                <w:szCs w:val="24"/>
              </w:rPr>
              <w:t xml:space="preserve"> punkts)</w:t>
            </w:r>
            <w:r w:rsidR="00BF61BD">
              <w:rPr>
                <w:rFonts w:eastAsiaTheme="minorEastAsia"/>
                <w:sz w:val="24"/>
                <w:szCs w:val="24"/>
              </w:rPr>
              <w:t>.</w:t>
            </w:r>
          </w:p>
          <w:p w14:paraId="5285152A" w14:textId="4B7354A9" w:rsidR="00332366" w:rsidRPr="00332366" w:rsidRDefault="00BF61BD" w:rsidP="00332366">
            <w:pPr>
              <w:pStyle w:val="ListParagraph"/>
              <w:spacing w:before="60" w:after="60"/>
              <w:ind w:left="101" w:right="102"/>
              <w:jc w:val="both"/>
              <w:rPr>
                <w:sz w:val="24"/>
                <w:szCs w:val="24"/>
              </w:rPr>
            </w:pPr>
            <w:r>
              <w:rPr>
                <w:rFonts w:eastAsiaTheme="minorEastAsia"/>
                <w:sz w:val="24"/>
                <w:szCs w:val="24"/>
              </w:rPr>
              <w:t xml:space="preserve">Noteikumu projekts paredz, ka </w:t>
            </w:r>
            <w:r w:rsidR="00332366">
              <w:rPr>
                <w:rFonts w:eastAsiaTheme="minorEastAsia"/>
                <w:sz w:val="24"/>
                <w:szCs w:val="24"/>
              </w:rPr>
              <w:t xml:space="preserve">MK noteikumu Nr. </w:t>
            </w:r>
            <w:r w:rsidR="00332366" w:rsidRPr="00332366">
              <w:rPr>
                <w:rFonts w:eastAsiaTheme="minorEastAsia"/>
                <w:sz w:val="24"/>
                <w:szCs w:val="24"/>
              </w:rPr>
              <w:t xml:space="preserve">265 </w:t>
            </w:r>
            <w:r w:rsidR="00332366" w:rsidRPr="00332366">
              <w:rPr>
                <w:sz w:val="24"/>
                <w:szCs w:val="24"/>
              </w:rPr>
              <w:t>21.</w:t>
            </w:r>
            <w:r w:rsidR="00332366" w:rsidRPr="00332366">
              <w:rPr>
                <w:sz w:val="24"/>
                <w:szCs w:val="24"/>
                <w:vertAlign w:val="superscript"/>
              </w:rPr>
              <w:t>1</w:t>
            </w:r>
            <w:r w:rsidR="00332366" w:rsidRPr="00332366">
              <w:rPr>
                <w:sz w:val="24"/>
                <w:szCs w:val="24"/>
              </w:rPr>
              <w:t> punktā minētās darbības atbalstāmas un šo noteikumu 21.</w:t>
            </w:r>
            <w:r w:rsidR="00332366" w:rsidRPr="00332366">
              <w:rPr>
                <w:sz w:val="24"/>
                <w:szCs w:val="24"/>
                <w:vertAlign w:val="superscript"/>
              </w:rPr>
              <w:t>2</w:t>
            </w:r>
            <w:r w:rsidR="00332366" w:rsidRPr="00332366">
              <w:rPr>
                <w:sz w:val="24"/>
                <w:szCs w:val="24"/>
              </w:rPr>
              <w:t xml:space="preserve"> , 21.</w:t>
            </w:r>
            <w:r w:rsidR="00332366" w:rsidRPr="00332366">
              <w:rPr>
                <w:sz w:val="24"/>
                <w:szCs w:val="24"/>
                <w:vertAlign w:val="superscript"/>
              </w:rPr>
              <w:t>3</w:t>
            </w:r>
            <w:r w:rsidR="007E3B7C" w:rsidRPr="007E3B7C">
              <w:rPr>
                <w:sz w:val="24"/>
                <w:szCs w:val="24"/>
              </w:rPr>
              <w:t>,</w:t>
            </w:r>
            <w:r w:rsidR="00332366" w:rsidRPr="00332366">
              <w:rPr>
                <w:sz w:val="24"/>
                <w:szCs w:val="24"/>
              </w:rPr>
              <w:t xml:space="preserve"> 79.</w:t>
            </w:r>
            <w:r w:rsidR="00332366" w:rsidRPr="00332366">
              <w:rPr>
                <w:sz w:val="24"/>
                <w:szCs w:val="24"/>
                <w:vertAlign w:val="superscript"/>
              </w:rPr>
              <w:t>1</w:t>
            </w:r>
            <w:r w:rsidR="00332366" w:rsidRPr="00332366">
              <w:rPr>
                <w:sz w:val="24"/>
                <w:szCs w:val="24"/>
              </w:rPr>
              <w:t xml:space="preserve"> punktā </w:t>
            </w:r>
            <w:r w:rsidR="007E3B7C">
              <w:rPr>
                <w:sz w:val="24"/>
                <w:szCs w:val="24"/>
              </w:rPr>
              <w:t xml:space="preserve">un </w:t>
            </w:r>
            <w:r w:rsidR="007E3B7C" w:rsidRPr="00332366">
              <w:rPr>
                <w:sz w:val="24"/>
                <w:szCs w:val="24"/>
              </w:rPr>
              <w:t>79.</w:t>
            </w:r>
            <w:r w:rsidR="007E3B7C">
              <w:rPr>
                <w:sz w:val="24"/>
                <w:szCs w:val="24"/>
                <w:vertAlign w:val="superscript"/>
              </w:rPr>
              <w:t>2</w:t>
            </w:r>
            <w:r w:rsidR="007E3B7C" w:rsidRPr="00332366">
              <w:rPr>
                <w:sz w:val="24"/>
                <w:szCs w:val="24"/>
              </w:rPr>
              <w:t xml:space="preserve"> </w:t>
            </w:r>
            <w:r w:rsidR="007E3B7C">
              <w:rPr>
                <w:sz w:val="24"/>
                <w:szCs w:val="24"/>
              </w:rPr>
              <w:t xml:space="preserve">2., </w:t>
            </w:r>
            <w:r w:rsidR="007E3B7C" w:rsidRPr="00332366">
              <w:rPr>
                <w:sz w:val="24"/>
                <w:szCs w:val="24"/>
              </w:rPr>
              <w:t>79.</w:t>
            </w:r>
            <w:r w:rsidR="007E3B7C" w:rsidRPr="007E3B7C">
              <w:rPr>
                <w:sz w:val="24"/>
                <w:szCs w:val="24"/>
                <w:vertAlign w:val="superscript"/>
              </w:rPr>
              <w:t>2</w:t>
            </w:r>
            <w:r w:rsidR="007E3B7C">
              <w:rPr>
                <w:sz w:val="24"/>
                <w:szCs w:val="24"/>
              </w:rPr>
              <w:t xml:space="preserve"> 3. apakšpunktā </w:t>
            </w:r>
            <w:r w:rsidR="00332366" w:rsidRPr="00332366">
              <w:rPr>
                <w:sz w:val="24"/>
                <w:szCs w:val="24"/>
              </w:rPr>
              <w:t xml:space="preserve">minētie nosacījumi ir piemērojami projekta pārskata periodā </w:t>
            </w:r>
            <w:r w:rsidR="00332366" w:rsidRPr="00332366">
              <w:rPr>
                <w:rFonts w:eastAsiaTheme="minorEastAsia"/>
                <w:sz w:val="24"/>
                <w:szCs w:val="24"/>
              </w:rPr>
              <w:t>(MK noteikumu Nr. 265 79.</w:t>
            </w:r>
            <w:r w:rsidR="00332366" w:rsidRPr="00332366">
              <w:rPr>
                <w:rFonts w:eastAsiaTheme="minorEastAsia"/>
                <w:sz w:val="24"/>
                <w:szCs w:val="24"/>
                <w:vertAlign w:val="superscript"/>
              </w:rPr>
              <w:t>3</w:t>
            </w:r>
            <w:r w:rsidR="00332366" w:rsidRPr="00332366">
              <w:rPr>
                <w:rFonts w:eastAsiaTheme="minorEastAsia"/>
                <w:sz w:val="24"/>
                <w:szCs w:val="24"/>
              </w:rPr>
              <w:t xml:space="preserve"> punkts)</w:t>
            </w:r>
            <w:r w:rsidR="00332366" w:rsidRPr="00332366">
              <w:rPr>
                <w:sz w:val="24"/>
                <w:szCs w:val="24"/>
              </w:rPr>
              <w:t>.</w:t>
            </w:r>
          </w:p>
          <w:p w14:paraId="208E4524" w14:textId="4F123B3E" w:rsidR="0037076B" w:rsidRPr="00F94388" w:rsidRDefault="007E3B7C" w:rsidP="007E3B7C">
            <w:pPr>
              <w:pStyle w:val="ListParagraph"/>
              <w:spacing w:before="60" w:after="60"/>
              <w:ind w:left="101" w:right="102"/>
              <w:jc w:val="both"/>
              <w:rPr>
                <w:rFonts w:eastAsiaTheme="minorEastAsia"/>
                <w:sz w:val="24"/>
                <w:szCs w:val="24"/>
              </w:rPr>
            </w:pPr>
            <w:r>
              <w:rPr>
                <w:rFonts w:eastAsiaTheme="minorEastAsia"/>
                <w:sz w:val="24"/>
                <w:szCs w:val="24"/>
              </w:rPr>
              <w:t xml:space="preserve">Noteikumu projekts paredz veikt tehnisku precizējumus MK noteikumos Nr. </w:t>
            </w:r>
            <w:r w:rsidRPr="00332366">
              <w:rPr>
                <w:rFonts w:eastAsiaTheme="minorEastAsia"/>
                <w:sz w:val="24"/>
                <w:szCs w:val="24"/>
              </w:rPr>
              <w:t>265</w:t>
            </w:r>
            <w:r>
              <w:rPr>
                <w:rFonts w:eastAsiaTheme="minorEastAsia"/>
                <w:sz w:val="24"/>
                <w:szCs w:val="24"/>
              </w:rPr>
              <w:t xml:space="preserve"> </w:t>
            </w:r>
            <w:r w:rsidRPr="00332366">
              <w:rPr>
                <w:rFonts w:eastAsiaTheme="minorEastAsia"/>
                <w:sz w:val="24"/>
                <w:szCs w:val="24"/>
              </w:rPr>
              <w:t xml:space="preserve">(noteikumu </w:t>
            </w:r>
            <w:r>
              <w:rPr>
                <w:rFonts w:eastAsiaTheme="minorEastAsia"/>
                <w:sz w:val="24"/>
                <w:szCs w:val="24"/>
              </w:rPr>
              <w:t>projekta 3. </w:t>
            </w:r>
            <w:r w:rsidRPr="00332366">
              <w:rPr>
                <w:rFonts w:eastAsiaTheme="minorEastAsia"/>
                <w:sz w:val="24"/>
                <w:szCs w:val="24"/>
              </w:rPr>
              <w:t>punkts)</w:t>
            </w:r>
            <w:r>
              <w:rPr>
                <w:rFonts w:eastAsiaTheme="minorEastAsia"/>
                <w:sz w:val="24"/>
                <w:szCs w:val="24"/>
              </w:rPr>
              <w:t>.</w:t>
            </w:r>
          </w:p>
        </w:tc>
      </w:tr>
      <w:tr w:rsidR="00600B68" w:rsidRPr="00600B68" w14:paraId="516B9E37"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33D2FF4B" w14:textId="26F60CF8" w:rsidR="00055596" w:rsidRPr="00600B68" w:rsidRDefault="00B650B7" w:rsidP="001351FC">
            <w:pPr>
              <w:jc w:val="center"/>
              <w:rPr>
                <w:lang w:eastAsia="en-US"/>
              </w:rPr>
            </w:pPr>
            <w:r w:rsidRPr="00600B68">
              <w:lastRenderedPageBreak/>
              <w:t>3.</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098B43E" w14:textId="27C085DD" w:rsidR="00055596" w:rsidRPr="00600B68" w:rsidRDefault="00B650B7" w:rsidP="001351FC">
            <w:pPr>
              <w:rPr>
                <w:lang w:eastAsia="en-US"/>
              </w:rPr>
            </w:pPr>
            <w:r w:rsidRPr="00600B68">
              <w:t>Projekta izstrādē iesaistītās institūcijas</w:t>
            </w:r>
            <w:r w:rsidR="00742CA8" w:rsidRPr="00600B68">
              <w:t xml:space="preserve"> un publiskas personas kapitālsabiedrības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7A16A2AC" w14:textId="14DF902C" w:rsidR="00055596" w:rsidRPr="00600B68" w:rsidRDefault="00154ADC" w:rsidP="00E15EC6">
            <w:pPr>
              <w:ind w:left="66"/>
              <w:jc w:val="both"/>
              <w:rPr>
                <w:bCs/>
                <w:strike/>
              </w:rPr>
            </w:pPr>
            <w:r w:rsidRPr="00600B68">
              <w:rPr>
                <w:bCs/>
                <w:iCs/>
              </w:rPr>
              <w:t>Izglītības un zinātnes ministrija</w:t>
            </w:r>
          </w:p>
        </w:tc>
      </w:tr>
      <w:tr w:rsidR="00600B68" w:rsidRPr="00600B68" w14:paraId="67B406C4"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600B68" w:rsidRDefault="00B650B7" w:rsidP="001351FC">
            <w:pPr>
              <w:jc w:val="center"/>
              <w:rPr>
                <w:lang w:eastAsia="en-US"/>
              </w:rPr>
            </w:pPr>
            <w:r w:rsidRPr="00600B68">
              <w:lastRenderedPageBreak/>
              <w:t>4.</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600B68" w:rsidRDefault="00B650B7" w:rsidP="001351FC">
            <w:pPr>
              <w:rPr>
                <w:lang w:eastAsia="en-US"/>
              </w:rPr>
            </w:pPr>
            <w:r w:rsidRPr="00600B68">
              <w:t>Cita informācija</w:t>
            </w:r>
          </w:p>
        </w:tc>
        <w:tc>
          <w:tcPr>
            <w:tcW w:w="3495" w:type="pct"/>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600B68" w:rsidRDefault="00616CE1" w:rsidP="002B0E96">
            <w:pPr>
              <w:pStyle w:val="Default"/>
              <w:jc w:val="both"/>
              <w:rPr>
                <w:rFonts w:eastAsia="Times New Roman"/>
                <w:color w:val="auto"/>
                <w:lang w:bidi="lo-LA"/>
              </w:rPr>
            </w:pPr>
            <w:r w:rsidRPr="00600B68">
              <w:rPr>
                <w:bCs/>
                <w:color w:val="auto"/>
              </w:rPr>
              <w:t>Nav.</w:t>
            </w:r>
            <w:r w:rsidR="00B650B7" w:rsidRPr="00600B68">
              <w:rPr>
                <w:bCs/>
                <w:color w:val="auto"/>
              </w:rPr>
              <w:t xml:space="preserve"> </w:t>
            </w:r>
          </w:p>
        </w:tc>
      </w:tr>
    </w:tbl>
    <w:p w14:paraId="00747A27" w14:textId="28D70488" w:rsidR="000952B3" w:rsidRPr="00600B68" w:rsidRDefault="00176E94" w:rsidP="00176E94">
      <w:pPr>
        <w:tabs>
          <w:tab w:val="left" w:pos="7395"/>
        </w:tabs>
        <w:jc w:val="both"/>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399"/>
        <w:gridCol w:w="6265"/>
      </w:tblGrid>
      <w:tr w:rsidR="00600B68" w:rsidRPr="00600B68" w14:paraId="135CD9D9"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II. Tiesību akta projekta ietekme uz sabiedrību, tautsaimniecības attīstību un administratīvo slogu</w:t>
            </w:r>
          </w:p>
        </w:tc>
      </w:tr>
      <w:tr w:rsidR="00600B68" w:rsidRPr="00600B68" w14:paraId="30B0D353"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600B68" w:rsidRDefault="00B650B7" w:rsidP="001351FC">
            <w:pPr>
              <w:jc w:val="center"/>
              <w:rPr>
                <w:lang w:eastAsia="en-US"/>
              </w:rPr>
            </w:pPr>
            <w:r w:rsidRPr="00600B68">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600B68" w:rsidRDefault="00B650B7" w:rsidP="001351FC">
            <w:pPr>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313AF585" w:rsidR="000952B3" w:rsidRPr="00600B68" w:rsidRDefault="00214730" w:rsidP="004F4986">
            <w:pPr>
              <w:shd w:val="clear" w:color="auto" w:fill="FFFFFF"/>
              <w:ind w:left="94" w:right="57"/>
              <w:jc w:val="both"/>
            </w:pPr>
            <w:r w:rsidRPr="00214730">
              <w:t xml:space="preserve">Mērķa grupa 3.1.2.1.1..aktivitātes ietvaros: valsts un </w:t>
            </w:r>
            <w:r w:rsidR="004F4986">
              <w:t>privāto tiesību</w:t>
            </w:r>
            <w:r w:rsidRPr="00214730">
              <w:t xml:space="preserve"> juridisko personu dibinātas augstākās izglītības institūcijas, augstākās izglītības institūciju akadēmiskais personāls, augstākās izglītības studiju programmās studējošie.</w:t>
            </w:r>
          </w:p>
        </w:tc>
      </w:tr>
      <w:tr w:rsidR="00600B68" w:rsidRPr="00600B68" w14:paraId="3EBB70B5"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600B68" w:rsidRDefault="00B650B7" w:rsidP="001351FC">
            <w:pPr>
              <w:jc w:val="center"/>
            </w:pPr>
            <w:r w:rsidRPr="00600B68">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600B68" w:rsidRDefault="00B650B7" w:rsidP="001351FC">
            <w:r w:rsidRPr="00600B68">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411DD11C" w14:textId="77777777" w:rsidR="00214730" w:rsidRDefault="00214730" w:rsidP="00214730">
            <w:pPr>
              <w:shd w:val="clear" w:color="auto" w:fill="FFFFFF"/>
              <w:ind w:left="94" w:right="57"/>
              <w:jc w:val="both"/>
            </w:pPr>
            <w:r>
              <w:t>Noteikumu projektā ietvertais tiesiskais regulējums nodrošina:</w:t>
            </w:r>
          </w:p>
          <w:p w14:paraId="2FEBF557" w14:textId="77777777" w:rsidR="00214730" w:rsidRDefault="00214730" w:rsidP="00214730">
            <w:pPr>
              <w:shd w:val="clear" w:color="auto" w:fill="FFFFFF"/>
              <w:ind w:left="94" w:right="57"/>
              <w:jc w:val="both"/>
            </w:pPr>
            <w:r>
              <w:t>– normatīvā akta atbilstību Latvijas Republikas starptautiskajām saistībām;</w:t>
            </w:r>
          </w:p>
          <w:p w14:paraId="0A2FE01A" w14:textId="77777777" w:rsidR="00214730" w:rsidRDefault="00214730" w:rsidP="00214730">
            <w:pPr>
              <w:shd w:val="clear" w:color="auto" w:fill="FFFFFF"/>
              <w:ind w:left="94" w:right="57"/>
              <w:jc w:val="both"/>
            </w:pPr>
            <w:r>
              <w:t>– normatīvā akta un ES tiesību sistēmā iekļauto normu harmonizāciju.</w:t>
            </w:r>
          </w:p>
          <w:p w14:paraId="4B34AC1B" w14:textId="15677BD0" w:rsidR="000952B3" w:rsidRPr="00600B68" w:rsidRDefault="00214730" w:rsidP="00214730">
            <w:pPr>
              <w:shd w:val="clear" w:color="auto" w:fill="FFFFFF"/>
              <w:ind w:left="94" w:right="57"/>
              <w:jc w:val="both"/>
              <w:rPr>
                <w:bCs/>
                <w:lang w:eastAsia="en-US"/>
              </w:rPr>
            </w:pPr>
            <w:r>
              <w:t xml:space="preserve">Noteikumu projektā ietvertais tiesiskais regulējums netieši sekmē tautsaimniecības attīstību, ņemot vērā publiskā finansējuma efektīvu izmantojumu, ko nodrošina iespēja publiskos resursus izmantot kopīgi, veidojot partnerattiecības ar </w:t>
            </w:r>
            <w:r w:rsidR="001C217C">
              <w:t xml:space="preserve">publiskā un </w:t>
            </w:r>
            <w:r>
              <w:t>privātā sektora pārstāvjiem.</w:t>
            </w:r>
          </w:p>
        </w:tc>
      </w:tr>
      <w:tr w:rsidR="00600B68" w:rsidRPr="00600B68" w14:paraId="07A1EA65"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37DFB4FC" w14:textId="1CD03428" w:rsidR="000952B3" w:rsidRPr="00600B68" w:rsidRDefault="00B650B7" w:rsidP="001351FC">
            <w:pPr>
              <w:jc w:val="center"/>
            </w:pPr>
            <w:r w:rsidRPr="00600B68">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600B68" w:rsidRDefault="00B650B7" w:rsidP="001351FC">
            <w:r w:rsidRPr="00600B68">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43E6AE1B" w14:textId="4D767D00" w:rsidR="00214730" w:rsidRDefault="00214730" w:rsidP="00214730">
            <w:pPr>
              <w:shd w:val="clear" w:color="auto" w:fill="FFFFFF"/>
              <w:ind w:left="94" w:right="57"/>
              <w:jc w:val="both"/>
            </w:pPr>
            <w:r>
              <w:t>3.1.2.1.1. aktivitātes ietvaros jāveic 2</w:t>
            </w:r>
            <w:r w:rsidR="00D27B91">
              <w:t>7</w:t>
            </w:r>
            <w:r>
              <w:t xml:space="preserve"> projektu (ņemot vērā augstāko izglītības institūciju reorganizāciju) uzraudzība ar mērķi nodrošināt </w:t>
            </w:r>
            <w:r w:rsidR="00833B5D">
              <w:t>saimnieciskajām</w:t>
            </w:r>
            <w:r>
              <w:t xml:space="preserve"> darbībām izvirzīto kritēriju izpildi katra 3.1.1.2.1.</w:t>
            </w:r>
            <w:r w:rsidR="00D27B91">
              <w:t> aktivitātes</w:t>
            </w:r>
            <w:r>
              <w:t xml:space="preserve"> projekta </w:t>
            </w:r>
            <w:r w:rsidR="00833B5D">
              <w:t>pārskata periodā</w:t>
            </w:r>
            <w:r w:rsidR="00D27B91">
              <w:t>.</w:t>
            </w:r>
            <w:r>
              <w:t xml:space="preserve"> </w:t>
            </w:r>
          </w:p>
          <w:p w14:paraId="03B2271E" w14:textId="77777777" w:rsidR="00214730" w:rsidRDefault="00214730" w:rsidP="00214730">
            <w:pPr>
              <w:shd w:val="clear" w:color="auto" w:fill="FFFFFF"/>
              <w:ind w:left="94" w:right="57"/>
              <w:jc w:val="both"/>
            </w:pPr>
            <w:r>
              <w:t>Uzraudzības ietvaros:</w:t>
            </w:r>
          </w:p>
          <w:p w14:paraId="64934D30" w14:textId="1F4B4C09" w:rsidR="00214730" w:rsidRDefault="00214730" w:rsidP="00214730">
            <w:pPr>
              <w:shd w:val="clear" w:color="auto" w:fill="FFFFFF"/>
              <w:ind w:left="94" w:right="57"/>
              <w:jc w:val="both"/>
            </w:pPr>
            <w:r>
              <w:t xml:space="preserve">1. vērtē: a) finansējuma saņēmēja finanšu vadības </w:t>
            </w:r>
            <w:r w:rsidR="00AB431B">
              <w:t xml:space="preserve">un grāmatvedības </w:t>
            </w:r>
            <w:r>
              <w:t>sistēmu (kas ietver jautājumus, kas saistīti ar darbību nodalīšanu</w:t>
            </w:r>
            <w:r w:rsidR="00AB431B">
              <w:t xml:space="preserve"> </w:t>
            </w:r>
            <w:r>
              <w:t xml:space="preserve">u.c. nosacījumiem), b) </w:t>
            </w:r>
            <w:r w:rsidR="00AB431B">
              <w:t xml:space="preserve">modernizētās infrastruktūras ekspluatācijas </w:t>
            </w:r>
            <w:r>
              <w:t xml:space="preserve">darbību raksturu (saimnieciska darbība, darbība, kurai nav saimniecisks raksturs; </w:t>
            </w:r>
          </w:p>
          <w:p w14:paraId="18AF64DE" w14:textId="514ED6B1" w:rsidR="00214730" w:rsidRDefault="00214730" w:rsidP="00214730">
            <w:pPr>
              <w:shd w:val="clear" w:color="auto" w:fill="FFFFFF"/>
              <w:ind w:left="94" w:right="57"/>
              <w:jc w:val="both"/>
            </w:pPr>
            <w:r>
              <w:t xml:space="preserve">3. izvērtē saimnieciska rakstura darbību atbilstību </w:t>
            </w:r>
            <w:r w:rsidR="00833B5D">
              <w:t>MK noteikumu Nr. 265 21.</w:t>
            </w:r>
            <w:r w:rsidR="00833B5D" w:rsidRPr="00833B5D">
              <w:rPr>
                <w:vertAlign w:val="superscript"/>
              </w:rPr>
              <w:t>1</w:t>
            </w:r>
            <w:r w:rsidR="00833B5D">
              <w:t xml:space="preserve"> 2. punktā noteiktajiem</w:t>
            </w:r>
            <w:r>
              <w:t xml:space="preserve"> kritērijiem;</w:t>
            </w:r>
          </w:p>
          <w:p w14:paraId="1BBD62AF" w14:textId="77777777" w:rsidR="00214730" w:rsidRDefault="00214730" w:rsidP="00214730">
            <w:pPr>
              <w:shd w:val="clear" w:color="auto" w:fill="FFFFFF"/>
              <w:ind w:left="94" w:right="57"/>
              <w:jc w:val="both"/>
            </w:pPr>
            <w:r>
              <w:t xml:space="preserve">4. piemēro publiskā finansējuma atgūšanas mehānismu (ja attiecināms). </w:t>
            </w:r>
          </w:p>
          <w:p w14:paraId="4B7F895F" w14:textId="26B0B8C8" w:rsidR="00214730" w:rsidRDefault="00214730" w:rsidP="00214730">
            <w:pPr>
              <w:shd w:val="clear" w:color="auto" w:fill="FFFFFF"/>
              <w:ind w:left="94" w:right="57"/>
              <w:jc w:val="both"/>
            </w:pPr>
            <w:r>
              <w:t>3.1.2.1.1. aktivitātes ietvaros ieguldījumi veikti šādu pamatlīdzekļu modernizācijai:</w:t>
            </w:r>
          </w:p>
          <w:p w14:paraId="76C5EB62" w14:textId="77777777" w:rsidR="00214730" w:rsidRDefault="00214730" w:rsidP="00214730">
            <w:pPr>
              <w:shd w:val="clear" w:color="auto" w:fill="FFFFFF"/>
              <w:ind w:left="94" w:right="57"/>
              <w:jc w:val="both"/>
            </w:pPr>
            <w:r>
              <w:t>– iekārtas, kuru amortizācijas periods ir 10 gadi;</w:t>
            </w:r>
          </w:p>
          <w:p w14:paraId="21E401B2" w14:textId="77777777" w:rsidR="00214730" w:rsidRDefault="00214730" w:rsidP="00214730">
            <w:pPr>
              <w:shd w:val="clear" w:color="auto" w:fill="FFFFFF"/>
              <w:ind w:left="94" w:right="57"/>
              <w:jc w:val="both"/>
            </w:pPr>
            <w:r>
              <w:t xml:space="preserve">– jaunu būvju būvniecība, telpu un ēku renovācija un rekonstrukcija. Uzraudzību veic projekta pārskata (dzīves cikla) periodā līdz 2024.gadam. </w:t>
            </w:r>
          </w:p>
          <w:p w14:paraId="4321BD24" w14:textId="77777777" w:rsidR="00214730" w:rsidRDefault="00214730" w:rsidP="00214730">
            <w:pPr>
              <w:shd w:val="clear" w:color="auto" w:fill="FFFFFF"/>
              <w:ind w:left="94" w:right="57"/>
              <w:jc w:val="both"/>
            </w:pPr>
            <w:r>
              <w:t xml:space="preserve">Vidējās administratīvās izmaksas </w:t>
            </w:r>
            <w:proofErr w:type="spellStart"/>
            <w:r>
              <w:t>Cg</w:t>
            </w:r>
            <w:proofErr w:type="spellEnd"/>
            <w:r>
              <w:t xml:space="preserve"> gadā aprēķina, izmantojot šādu formulu: </w:t>
            </w:r>
          </w:p>
          <w:p w14:paraId="0061DFC1" w14:textId="77777777" w:rsidR="00214730" w:rsidRDefault="00214730" w:rsidP="00214730">
            <w:pPr>
              <w:shd w:val="clear" w:color="auto" w:fill="FFFFFF"/>
              <w:ind w:left="94" w:right="57"/>
              <w:jc w:val="both"/>
            </w:pPr>
            <w:proofErr w:type="spellStart"/>
            <w:r>
              <w:t>Cg</w:t>
            </w:r>
            <w:proofErr w:type="spellEnd"/>
            <w:r>
              <w:t xml:space="preserve"> = (f x l) x (n x b) = </w:t>
            </w:r>
          </w:p>
          <w:p w14:paraId="45D1A224" w14:textId="77777777" w:rsidR="00214730" w:rsidRDefault="00214730" w:rsidP="00214730">
            <w:pPr>
              <w:shd w:val="clear" w:color="auto" w:fill="FFFFFF"/>
              <w:ind w:left="94" w:right="57"/>
              <w:jc w:val="both"/>
            </w:pPr>
            <w:r>
              <w:t>= 16 x 435,4 x 2 x 1 = 13 933 (EUR), kur</w:t>
            </w:r>
          </w:p>
          <w:p w14:paraId="16460D4F" w14:textId="77777777" w:rsidR="00214730" w:rsidRDefault="00214730" w:rsidP="00214730">
            <w:pPr>
              <w:shd w:val="clear" w:color="auto" w:fill="FFFFFF"/>
              <w:ind w:left="94" w:right="57"/>
              <w:jc w:val="both"/>
            </w:pPr>
            <w:proofErr w:type="spellStart"/>
            <w:r>
              <w:t>Cg</w:t>
            </w:r>
            <w:proofErr w:type="spellEnd"/>
            <w:r>
              <w:t xml:space="preserve"> – informācijas sniegšanas, pieņemšanas, apstrādes vai uzglabāšanas pienākumu (turpmāk – uzraudzība) radītās izmaksas jeb administratīvās izmaksas gadā (indikatīvi);</w:t>
            </w:r>
          </w:p>
          <w:p w14:paraId="1879437A" w14:textId="77777777" w:rsidR="00214730" w:rsidRDefault="00214730" w:rsidP="00214730">
            <w:pPr>
              <w:shd w:val="clear" w:color="auto" w:fill="FFFFFF"/>
              <w:ind w:left="94" w:right="57"/>
              <w:jc w:val="both"/>
            </w:pPr>
            <w:r>
              <w:lastRenderedPageBreak/>
              <w:t>f – finanšu līdzekļu apjoms, kas nepieciešams, lai nodrošinātu uzraudzību (stundas samaksas likme, ieskaitot virsstundas);</w:t>
            </w:r>
          </w:p>
          <w:p w14:paraId="7F1E6680" w14:textId="466112F2" w:rsidR="00214730" w:rsidRDefault="00214730" w:rsidP="00214730">
            <w:pPr>
              <w:shd w:val="clear" w:color="auto" w:fill="FFFFFF"/>
              <w:ind w:left="94" w:right="57"/>
              <w:jc w:val="both"/>
            </w:pPr>
            <w:r>
              <w:t>l – laika patēriņš, kas nepieciešams, lai veiktu 2</w:t>
            </w:r>
            <w:r w:rsidR="00776FF2">
              <w:t>7</w:t>
            </w:r>
            <w:r>
              <w:t xml:space="preserve"> projektu uzraudzību, stundas;</w:t>
            </w:r>
          </w:p>
          <w:p w14:paraId="4C4F2BC5" w14:textId="77777777" w:rsidR="00214730" w:rsidRDefault="00214730" w:rsidP="00214730">
            <w:pPr>
              <w:shd w:val="clear" w:color="auto" w:fill="FFFFFF"/>
              <w:ind w:left="94" w:right="57"/>
              <w:jc w:val="both"/>
            </w:pPr>
            <w:r>
              <w:t>n – subjektu skaits, uz ko attiecas uzraudzības veikšana (divi auditori uz katru apakšprojektu);</w:t>
            </w:r>
          </w:p>
          <w:p w14:paraId="144EF45E" w14:textId="77777777" w:rsidR="00214730" w:rsidRDefault="00214730" w:rsidP="00214730">
            <w:pPr>
              <w:shd w:val="clear" w:color="auto" w:fill="FFFFFF"/>
              <w:ind w:left="94" w:right="57"/>
              <w:jc w:val="both"/>
            </w:pPr>
            <w:r>
              <w:t>b – cik bieži gada laikā projekts paredz kontroli.</w:t>
            </w:r>
          </w:p>
          <w:p w14:paraId="34017EC9" w14:textId="1520B9BD" w:rsidR="00214730" w:rsidRDefault="00214730" w:rsidP="00214730">
            <w:pPr>
              <w:shd w:val="clear" w:color="auto" w:fill="FFFFFF"/>
              <w:ind w:left="94" w:right="57"/>
              <w:jc w:val="both"/>
            </w:pPr>
            <w:r>
              <w:t>Indikatīvās kopējās uzraudzības izmaksas pārskata periodā no 201</w:t>
            </w:r>
            <w:r w:rsidR="0026041E">
              <w:t>9</w:t>
            </w:r>
            <w:r>
              <w:t xml:space="preserve">. gada </w:t>
            </w:r>
            <w:r w:rsidR="00776FF2">
              <w:t xml:space="preserve">vidus </w:t>
            </w:r>
            <w:r>
              <w:t xml:space="preserve">līdz 2024. gadam: </w:t>
            </w:r>
          </w:p>
          <w:p w14:paraId="3869A72F" w14:textId="04B5E347" w:rsidR="00214730" w:rsidRDefault="00214730" w:rsidP="00214730">
            <w:pPr>
              <w:shd w:val="clear" w:color="auto" w:fill="FFFFFF"/>
              <w:ind w:left="94" w:right="57"/>
              <w:jc w:val="both"/>
            </w:pPr>
            <w:r>
              <w:t xml:space="preserve">C2024 = </w:t>
            </w:r>
            <w:r w:rsidR="0026041E">
              <w:t>76 416</w:t>
            </w:r>
            <w:r>
              <w:t xml:space="preserve"> EUR.</w:t>
            </w:r>
          </w:p>
          <w:p w14:paraId="483F7876" w14:textId="00117A96" w:rsidR="00214730" w:rsidRDefault="00214730" w:rsidP="00214730">
            <w:pPr>
              <w:shd w:val="clear" w:color="auto" w:fill="FFFFFF"/>
              <w:ind w:left="94" w:right="57"/>
              <w:jc w:val="both"/>
            </w:pPr>
            <w:r>
              <w:t xml:space="preserve">No 2019. gada 1. </w:t>
            </w:r>
            <w:r w:rsidR="00D27B91">
              <w:t>jūnija</w:t>
            </w:r>
            <w:r>
              <w:t xml:space="preserve"> līdz 2020. gada 31. decembrim projektu uzraudzībai projektu dzīves cikla laikā nepieciešamais finansējums 2</w:t>
            </w:r>
            <w:r w:rsidR="0026041E">
              <w:t>1</w:t>
            </w:r>
            <w:r>
              <w:t xml:space="preserve"> 1</w:t>
            </w:r>
            <w:r w:rsidR="0026041E">
              <w:t>20</w:t>
            </w:r>
            <w:r>
              <w:t xml:space="preserve"> EUR.</w:t>
            </w:r>
          </w:p>
          <w:p w14:paraId="4EDCCC99" w14:textId="630FAE7A" w:rsidR="000952B3" w:rsidRPr="00600B68" w:rsidRDefault="00214730" w:rsidP="00776FF2">
            <w:pPr>
              <w:shd w:val="clear" w:color="auto" w:fill="FFFFFF"/>
              <w:ind w:left="94" w:right="57"/>
              <w:jc w:val="both"/>
              <w:rPr>
                <w:bCs/>
                <w:lang w:eastAsia="en-US"/>
              </w:rPr>
            </w:pPr>
            <w:r>
              <w:t xml:space="preserve">No 2021. gada 1. janvāra līdz 2024. gada 31. decembrim projektu uzraudzībai projektu </w:t>
            </w:r>
            <w:r w:rsidR="0026041E">
              <w:t>pārskata periodā</w:t>
            </w:r>
            <w:r>
              <w:t xml:space="preserve"> nepieciešamais finansējums 55</w:t>
            </w:r>
            <w:r w:rsidR="00776FF2">
              <w:t> </w:t>
            </w:r>
            <w:r>
              <w:t>296 EUR.</w:t>
            </w:r>
          </w:p>
        </w:tc>
      </w:tr>
      <w:tr w:rsidR="00600B68" w:rsidRPr="00600B68" w14:paraId="29EDAB30"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600B68" w:rsidRDefault="00B650B7" w:rsidP="001351FC">
            <w:pPr>
              <w:jc w:val="center"/>
            </w:pPr>
            <w:r w:rsidRPr="00600B68">
              <w:lastRenderedPageBreak/>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600B68" w:rsidRDefault="00B650B7" w:rsidP="001351FC">
            <w:r w:rsidRPr="00600B68">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36DFDC30" w:rsidR="000952B3" w:rsidRPr="00600B68" w:rsidRDefault="00154ADC" w:rsidP="00791266">
            <w:pPr>
              <w:shd w:val="clear" w:color="auto" w:fill="FFFFFF"/>
              <w:ind w:left="94" w:right="57"/>
              <w:jc w:val="both"/>
              <w:rPr>
                <w:bCs/>
                <w:lang w:eastAsia="en-US"/>
              </w:rPr>
            </w:pPr>
            <w:r w:rsidRPr="00600B68">
              <w:t>Noteikumu projektam nav ietekmes uz atbilstības izmaksām.</w:t>
            </w:r>
          </w:p>
        </w:tc>
      </w:tr>
      <w:tr w:rsidR="00214730" w:rsidRPr="00600B68" w14:paraId="5109668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DCD1E4A" w14:textId="77777777" w:rsidR="00214730" w:rsidRPr="00600B68" w:rsidRDefault="00214730" w:rsidP="00214730">
            <w:pPr>
              <w:jc w:val="center"/>
            </w:pPr>
            <w:r w:rsidRPr="00600B68">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10FCC28" w14:textId="77777777" w:rsidR="00214730" w:rsidRPr="00600B68" w:rsidRDefault="00214730" w:rsidP="00214730">
            <w:r w:rsidRPr="00600B68">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3617FB1D" w14:textId="57D114FD" w:rsidR="00214730" w:rsidRPr="00833B5D" w:rsidRDefault="00214730" w:rsidP="00833B5D">
            <w:pPr>
              <w:shd w:val="clear" w:color="auto" w:fill="FFFFFF"/>
              <w:ind w:left="94" w:right="57"/>
              <w:jc w:val="both"/>
            </w:pPr>
            <w:r w:rsidRPr="00833B5D">
              <w:t>Jautājumu par papildu administratīvo izmaksu segšanu plānots risināt</w:t>
            </w:r>
            <w:r w:rsidR="00833B5D" w:rsidRPr="00833B5D">
              <w:t xml:space="preserve">, </w:t>
            </w:r>
            <w:r w:rsidRPr="00833B5D">
              <w:t>izstrādājot Eiropas Savienības Kohēzijas politikas 2021.–2027. gadam ieviešanas nosacījumus pētniecības un inovācijas attīstībai Latvijā vai izskatot 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p>
        </w:tc>
      </w:tr>
    </w:tbl>
    <w:p w14:paraId="70AFC89F" w14:textId="77777777" w:rsidR="004D2E35" w:rsidRDefault="004D2E35" w:rsidP="001351F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8"/>
        <w:gridCol w:w="1049"/>
        <w:gridCol w:w="1072"/>
        <w:gridCol w:w="869"/>
        <w:gridCol w:w="1071"/>
        <w:gridCol w:w="869"/>
        <w:gridCol w:w="1168"/>
        <w:gridCol w:w="1279"/>
      </w:tblGrid>
      <w:tr w:rsidR="00214730" w:rsidRPr="00214730" w14:paraId="24A1702C" w14:textId="77777777" w:rsidTr="0000522A">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2227A" w14:textId="77777777" w:rsidR="00214730" w:rsidRPr="00214730" w:rsidRDefault="00214730" w:rsidP="00214730">
            <w:pPr>
              <w:spacing w:before="100" w:beforeAutospacing="1" w:after="100" w:afterAutospacing="1" w:line="293" w:lineRule="atLeast"/>
              <w:jc w:val="center"/>
              <w:rPr>
                <w:rFonts w:eastAsia="Times New Roman"/>
                <w:b/>
                <w:bCs/>
                <w:sz w:val="26"/>
                <w:szCs w:val="26"/>
              </w:rPr>
            </w:pPr>
            <w:r w:rsidRPr="00214730">
              <w:rPr>
                <w:rFonts w:eastAsia="Times New Roman"/>
                <w:b/>
                <w:bCs/>
                <w:sz w:val="26"/>
                <w:szCs w:val="26"/>
              </w:rPr>
              <w:t>III. Tiesību akta projekta ietekme uz valsts budžetu un pašvaldību budžetiem</w:t>
            </w:r>
          </w:p>
        </w:tc>
      </w:tr>
      <w:tr w:rsidR="00214730" w:rsidRPr="00214730" w14:paraId="4E389021" w14:textId="77777777" w:rsidTr="00833B5D">
        <w:tc>
          <w:tcPr>
            <w:tcW w:w="92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91742"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Rādītāji</w:t>
            </w:r>
          </w:p>
        </w:tc>
        <w:tc>
          <w:tcPr>
            <w:tcW w:w="117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E1F8F" w14:textId="6CFE4B7D" w:rsidR="00214730" w:rsidRPr="00214730" w:rsidRDefault="00214730" w:rsidP="00F40A2A">
            <w:pPr>
              <w:spacing w:before="100" w:beforeAutospacing="1" w:after="100" w:afterAutospacing="1" w:line="293" w:lineRule="atLeast"/>
              <w:jc w:val="center"/>
              <w:rPr>
                <w:rFonts w:eastAsia="Times New Roman"/>
                <w:sz w:val="26"/>
                <w:szCs w:val="26"/>
              </w:rPr>
            </w:pPr>
            <w:r w:rsidRPr="00214730">
              <w:rPr>
                <w:rFonts w:eastAsia="Times New Roman"/>
                <w:sz w:val="26"/>
                <w:szCs w:val="26"/>
              </w:rPr>
              <w:t>201</w:t>
            </w:r>
            <w:r w:rsidR="00F40A2A">
              <w:rPr>
                <w:rFonts w:eastAsia="Times New Roman"/>
                <w:b/>
                <w:sz w:val="26"/>
                <w:szCs w:val="26"/>
              </w:rPr>
              <w:t>9</w:t>
            </w:r>
            <w:bookmarkStart w:id="0" w:name="_GoBack"/>
            <w:bookmarkEnd w:id="0"/>
            <w:r w:rsidRPr="00214730">
              <w:rPr>
                <w:rFonts w:eastAsia="Times New Roman"/>
                <w:sz w:val="26"/>
                <w:szCs w:val="26"/>
              </w:rPr>
              <w:t>.gads</w:t>
            </w:r>
          </w:p>
        </w:tc>
        <w:tc>
          <w:tcPr>
            <w:tcW w:w="290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8FF5"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Turpmākie trīs gadi (</w:t>
            </w:r>
            <w:proofErr w:type="spellStart"/>
            <w:r w:rsidRPr="00214730">
              <w:rPr>
                <w:rFonts w:eastAsia="Times New Roman"/>
                <w:i/>
                <w:iCs/>
                <w:sz w:val="26"/>
                <w:szCs w:val="26"/>
              </w:rPr>
              <w:t>euro</w:t>
            </w:r>
            <w:proofErr w:type="spellEnd"/>
            <w:r w:rsidRPr="00214730">
              <w:rPr>
                <w:rFonts w:eastAsia="Times New Roman"/>
                <w:sz w:val="26"/>
                <w:szCs w:val="26"/>
              </w:rPr>
              <w:t>)</w:t>
            </w:r>
          </w:p>
        </w:tc>
      </w:tr>
      <w:tr w:rsidR="00214730" w:rsidRPr="00214730" w14:paraId="3646D1E0" w14:textId="77777777" w:rsidTr="00833B5D">
        <w:tc>
          <w:tcPr>
            <w:tcW w:w="92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E31EE" w14:textId="77777777" w:rsidR="00214730" w:rsidRPr="00214730" w:rsidRDefault="00214730" w:rsidP="00214730">
            <w:pPr>
              <w:rPr>
                <w:rFonts w:eastAsia="Times New Roman"/>
                <w:sz w:val="26"/>
                <w:szCs w:val="26"/>
              </w:rPr>
            </w:pPr>
          </w:p>
        </w:tc>
        <w:tc>
          <w:tcPr>
            <w:tcW w:w="117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E5F8A" w14:textId="77777777" w:rsidR="00214730" w:rsidRPr="00214730" w:rsidRDefault="00214730" w:rsidP="00214730">
            <w:pPr>
              <w:rPr>
                <w:rFonts w:eastAsia="Times New Roman"/>
                <w:sz w:val="26"/>
                <w:szCs w:val="26"/>
              </w:rPr>
            </w:pP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3F025" w14:textId="0489CE09" w:rsidR="00214730" w:rsidRPr="00214730" w:rsidRDefault="00214730" w:rsidP="00833B5D">
            <w:pPr>
              <w:spacing w:before="100" w:beforeAutospacing="1" w:after="100" w:afterAutospacing="1" w:line="293" w:lineRule="atLeast"/>
              <w:jc w:val="center"/>
              <w:rPr>
                <w:rFonts w:eastAsia="Times New Roman"/>
                <w:sz w:val="26"/>
                <w:szCs w:val="26"/>
              </w:rPr>
            </w:pPr>
            <w:r w:rsidRPr="00214730">
              <w:rPr>
                <w:rFonts w:eastAsia="Times New Roman"/>
                <w:sz w:val="26"/>
                <w:szCs w:val="26"/>
              </w:rPr>
              <w:t>20</w:t>
            </w:r>
            <w:r w:rsidR="00833B5D">
              <w:rPr>
                <w:rFonts w:eastAsia="Times New Roman"/>
                <w:sz w:val="26"/>
                <w:szCs w:val="26"/>
              </w:rPr>
              <w:t>20</w:t>
            </w:r>
            <w:r w:rsidRPr="00214730">
              <w:rPr>
                <w:rFonts w:eastAsia="Times New Roman"/>
                <w:sz w:val="26"/>
                <w:szCs w:val="26"/>
              </w:rPr>
              <w:t>.</w:t>
            </w:r>
          </w:p>
        </w:tc>
        <w:tc>
          <w:tcPr>
            <w:tcW w:w="112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0B26E" w14:textId="06DB4DF7" w:rsidR="00214730" w:rsidRPr="00214730" w:rsidRDefault="00214730" w:rsidP="00833B5D">
            <w:pPr>
              <w:spacing w:before="100" w:beforeAutospacing="1" w:after="100" w:afterAutospacing="1" w:line="293" w:lineRule="atLeast"/>
              <w:jc w:val="center"/>
              <w:rPr>
                <w:rFonts w:eastAsia="Times New Roman"/>
                <w:sz w:val="26"/>
                <w:szCs w:val="26"/>
              </w:rPr>
            </w:pPr>
            <w:r w:rsidRPr="00214730">
              <w:rPr>
                <w:rFonts w:eastAsia="Times New Roman"/>
                <w:sz w:val="26"/>
                <w:szCs w:val="26"/>
              </w:rPr>
              <w:t>202</w:t>
            </w:r>
            <w:r w:rsidR="00833B5D">
              <w:rPr>
                <w:rFonts w:eastAsia="Times New Roman"/>
                <w:sz w:val="26"/>
                <w:szCs w:val="26"/>
              </w:rPr>
              <w:t>1</w:t>
            </w:r>
            <w:r w:rsidRPr="00214730">
              <w:rPr>
                <w:rFonts w:eastAsia="Times New Roman"/>
                <w:sz w:val="26"/>
                <w:szCs w:val="26"/>
              </w:rPr>
              <w:t>.</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9EA86" w14:textId="194B5EF5" w:rsidR="00214730" w:rsidRPr="00214730" w:rsidRDefault="00214730" w:rsidP="00833B5D">
            <w:pPr>
              <w:spacing w:before="100" w:beforeAutospacing="1" w:after="100" w:afterAutospacing="1" w:line="293" w:lineRule="atLeast"/>
              <w:jc w:val="center"/>
              <w:rPr>
                <w:rFonts w:eastAsia="Times New Roman"/>
                <w:sz w:val="26"/>
                <w:szCs w:val="26"/>
              </w:rPr>
            </w:pPr>
            <w:r w:rsidRPr="00214730">
              <w:rPr>
                <w:rFonts w:eastAsia="Times New Roman"/>
                <w:sz w:val="26"/>
                <w:szCs w:val="26"/>
              </w:rPr>
              <w:t>202</w:t>
            </w:r>
            <w:r w:rsidR="00833B5D">
              <w:rPr>
                <w:rFonts w:eastAsia="Times New Roman"/>
                <w:sz w:val="26"/>
                <w:szCs w:val="26"/>
              </w:rPr>
              <w:t>2</w:t>
            </w:r>
            <w:r w:rsidRPr="00214730">
              <w:rPr>
                <w:rFonts w:eastAsia="Times New Roman"/>
                <w:sz w:val="26"/>
                <w:szCs w:val="26"/>
              </w:rPr>
              <w:t>.</w:t>
            </w:r>
          </w:p>
        </w:tc>
      </w:tr>
      <w:tr w:rsidR="00214730" w:rsidRPr="00214730" w14:paraId="59DE0F2C" w14:textId="77777777" w:rsidTr="00833B5D">
        <w:tc>
          <w:tcPr>
            <w:tcW w:w="92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E44E2" w14:textId="77777777" w:rsidR="00214730" w:rsidRPr="00214730" w:rsidRDefault="00214730" w:rsidP="00214730">
            <w:pPr>
              <w:rPr>
                <w:rFonts w:eastAsia="Times New Roman"/>
                <w:sz w:val="26"/>
                <w:szCs w:val="26"/>
              </w:rPr>
            </w:pP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56905"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saskaņā ar valsts budžetu kārtējam gadam</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AB345"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izmaiņas kārtējā gadā, salīdzinot ar valsts budžetu kārtējam gadam</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C185D"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F6766"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izmaiņas, salīdzinot ar vidēja termiņa budžeta ietvaru n+1 gadam</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E960F"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saskaņā ar vidēja termiņa budžeta ietvaru</w:t>
            </w:r>
          </w:p>
        </w:tc>
        <w:tc>
          <w:tcPr>
            <w:tcW w:w="6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ADC4"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izmaiņas, salīdzinot ar vidēja termiņa budžeta ietvaru n+2 gadam</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A1CC2"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izmaiņas, salīdzinot ar vidēja termiņa budžeta ietvaru n+2 gadam</w:t>
            </w:r>
          </w:p>
        </w:tc>
      </w:tr>
      <w:tr w:rsidR="00214730" w:rsidRPr="00214730" w14:paraId="288199F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8FCE0"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1</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9FAD0"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2</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7C471"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3</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81CCE"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61168"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5</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6A54F"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6</w:t>
            </w:r>
          </w:p>
        </w:tc>
        <w:tc>
          <w:tcPr>
            <w:tcW w:w="6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C26F"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7</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FE42D"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8</w:t>
            </w:r>
          </w:p>
        </w:tc>
      </w:tr>
      <w:tr w:rsidR="00214730" w:rsidRPr="00214730" w14:paraId="6A7C4DF7"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EFC903F" w14:textId="77777777" w:rsidR="00214730" w:rsidRPr="00214730" w:rsidRDefault="00214730" w:rsidP="00214730">
            <w:pPr>
              <w:rPr>
                <w:rFonts w:eastAsia="Times New Roman"/>
                <w:sz w:val="26"/>
                <w:szCs w:val="26"/>
              </w:rPr>
            </w:pPr>
            <w:r w:rsidRPr="00214730">
              <w:rPr>
                <w:rFonts w:eastAsia="Times New Roman"/>
                <w:sz w:val="26"/>
                <w:szCs w:val="26"/>
              </w:rPr>
              <w:t>1. Budžeta ieņēmumi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A366980" w14:textId="77777777" w:rsidR="00214730" w:rsidRPr="00214730" w:rsidRDefault="00214730" w:rsidP="00214730">
            <w:pPr>
              <w:jc w:val="center"/>
              <w:rPr>
                <w:rFonts w:eastAsia="Arial Unicode MS"/>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47A1835" w14:textId="77777777" w:rsidR="00214730" w:rsidRPr="00214730" w:rsidRDefault="00214730" w:rsidP="00214730">
            <w:pPr>
              <w:jc w:val="center"/>
              <w:rPr>
                <w:rFonts w:eastAsia="Arial Unicode MS"/>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3AFF98BF" w14:textId="77777777" w:rsidR="00214730" w:rsidRPr="00214730" w:rsidRDefault="00214730" w:rsidP="00214730">
            <w:pPr>
              <w:jc w:val="center"/>
              <w:rPr>
                <w:rFonts w:eastAsia="Times New Roman"/>
                <w:sz w:val="26"/>
                <w:szCs w:val="26"/>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7A93BC03"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0A0BD1F" w14:textId="77777777" w:rsidR="00214730" w:rsidRPr="00214730" w:rsidRDefault="00214730" w:rsidP="00214730">
            <w:pPr>
              <w:jc w:val="center"/>
              <w:rPr>
                <w:rFonts w:eastAsia="Times New Roman"/>
                <w:sz w:val="26"/>
                <w:szCs w:val="26"/>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18415D3"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45DEAC" w14:textId="77777777" w:rsidR="00214730" w:rsidRPr="00214730" w:rsidRDefault="00214730" w:rsidP="00214730">
            <w:pPr>
              <w:jc w:val="center"/>
              <w:rPr>
                <w:rFonts w:eastAsia="Times New Roman"/>
                <w:sz w:val="26"/>
                <w:szCs w:val="26"/>
              </w:rPr>
            </w:pPr>
            <w:r w:rsidRPr="00214730">
              <w:rPr>
                <w:rFonts w:eastAsia="Times New Roman"/>
                <w:sz w:val="26"/>
                <w:szCs w:val="26"/>
                <w:lang w:eastAsia="ja-JP"/>
              </w:rPr>
              <w:t>0</w:t>
            </w:r>
          </w:p>
        </w:tc>
      </w:tr>
      <w:tr w:rsidR="00214730" w:rsidRPr="00214730" w14:paraId="0E77C2C4"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DC7EE19" w14:textId="77777777" w:rsidR="00214730" w:rsidRPr="00214730" w:rsidRDefault="00214730" w:rsidP="00214730">
            <w:pPr>
              <w:rPr>
                <w:rFonts w:eastAsia="Times New Roman"/>
                <w:sz w:val="26"/>
                <w:szCs w:val="26"/>
              </w:rPr>
            </w:pPr>
            <w:r w:rsidRPr="00214730">
              <w:rPr>
                <w:rFonts w:eastAsia="Times New Roman"/>
                <w:sz w:val="26"/>
                <w:szCs w:val="26"/>
              </w:rPr>
              <w:t xml:space="preserve">1.1. valsts pamatbudžets, tai skaitā </w:t>
            </w:r>
            <w:r w:rsidRPr="00214730">
              <w:rPr>
                <w:rFonts w:eastAsia="Times New Roman"/>
                <w:sz w:val="26"/>
                <w:szCs w:val="26"/>
              </w:rPr>
              <w:lastRenderedPageBreak/>
              <w:t>ieņēmumi no maksas pakalpojumiem un citi pašu ieņēmumi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A06081A" w14:textId="77777777" w:rsidR="00214730" w:rsidRPr="00214730" w:rsidRDefault="00214730" w:rsidP="00214730">
            <w:pPr>
              <w:jc w:val="center"/>
              <w:rPr>
                <w:rFonts w:eastAsia="Arial Unicode MS"/>
                <w:sz w:val="26"/>
                <w:szCs w:val="26"/>
              </w:rPr>
            </w:pPr>
            <w:r w:rsidRPr="00214730">
              <w:rPr>
                <w:sz w:val="26"/>
                <w:szCs w:val="26"/>
              </w:rPr>
              <w:lastRenderedPageBreak/>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471B12E" w14:textId="77777777" w:rsidR="00214730" w:rsidRPr="00214730" w:rsidRDefault="00214730" w:rsidP="00214730">
            <w:pPr>
              <w:jc w:val="center"/>
              <w:rPr>
                <w:rFonts w:eastAsia="Arial Unicode MS"/>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8A6DC1E"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45763C2"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79AE2CB"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BFB4D00"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52C5EF3C"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00959F5A"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377973F" w14:textId="77777777" w:rsidR="00214730" w:rsidRPr="00214730" w:rsidRDefault="00214730" w:rsidP="00214730">
            <w:pPr>
              <w:rPr>
                <w:rFonts w:eastAsia="Times New Roman"/>
                <w:sz w:val="26"/>
                <w:szCs w:val="26"/>
              </w:rPr>
            </w:pPr>
            <w:r w:rsidRPr="00214730">
              <w:rPr>
                <w:rFonts w:eastAsia="Times New Roman"/>
                <w:sz w:val="26"/>
                <w:szCs w:val="26"/>
              </w:rPr>
              <w:lastRenderedPageBreak/>
              <w:t>1.2. valsts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DF20EA6" w14:textId="77777777" w:rsidR="00214730" w:rsidRPr="00214730" w:rsidRDefault="00214730" w:rsidP="00214730">
            <w:pPr>
              <w:jc w:val="center"/>
              <w:rPr>
                <w:rFonts w:eastAsia="Arial Unicode MS"/>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A28CA14" w14:textId="77777777" w:rsidR="00214730" w:rsidRPr="00214730" w:rsidRDefault="00214730" w:rsidP="00214730">
            <w:pPr>
              <w:jc w:val="center"/>
              <w:rPr>
                <w:rFonts w:eastAsia="Arial Unicode MS"/>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59DD1796"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1DEC9C9"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AEFD3E6"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DA0FB04"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3CAA7D7"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r>
      <w:tr w:rsidR="00214730" w:rsidRPr="00214730" w14:paraId="32540016"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70EF4AC" w14:textId="77777777" w:rsidR="00214730" w:rsidRPr="00214730" w:rsidRDefault="00214730" w:rsidP="00214730">
            <w:pPr>
              <w:rPr>
                <w:rFonts w:eastAsia="Times New Roman"/>
                <w:sz w:val="26"/>
                <w:szCs w:val="26"/>
              </w:rPr>
            </w:pPr>
            <w:r w:rsidRPr="00214730">
              <w:rPr>
                <w:rFonts w:eastAsia="Times New Roman"/>
                <w:sz w:val="26"/>
                <w:szCs w:val="26"/>
              </w:rPr>
              <w:t>1.3.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3CD2E12" w14:textId="77777777" w:rsidR="00214730" w:rsidRPr="00214730" w:rsidRDefault="00214730" w:rsidP="00214730">
            <w:pPr>
              <w:jc w:val="center"/>
              <w:rPr>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16D47BC" w14:textId="77777777" w:rsidR="00214730" w:rsidRPr="00214730" w:rsidRDefault="00214730" w:rsidP="00214730">
            <w:pPr>
              <w:jc w:val="center"/>
              <w:rPr>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865DBB3"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26AA4B27"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E11EAEF"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06ED5E0"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70FC05F"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833B5D" w:rsidRPr="00214730" w14:paraId="10ED536E"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5B942455" w14:textId="77777777" w:rsidR="00833B5D" w:rsidRPr="00214730" w:rsidRDefault="00833B5D" w:rsidP="00833B5D">
            <w:pPr>
              <w:rPr>
                <w:rFonts w:eastAsia="Times New Roman"/>
                <w:sz w:val="26"/>
                <w:szCs w:val="26"/>
              </w:rPr>
            </w:pPr>
            <w:r w:rsidRPr="00214730">
              <w:rPr>
                <w:rFonts w:eastAsia="Times New Roman"/>
                <w:sz w:val="26"/>
                <w:szCs w:val="26"/>
              </w:rPr>
              <w:t>2. Budžeta izdevumi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5D42B0A3" w14:textId="77777777" w:rsidR="00833B5D" w:rsidRPr="00214730" w:rsidRDefault="00833B5D" w:rsidP="00833B5D">
            <w:pPr>
              <w:jc w:val="center"/>
              <w:rPr>
                <w:rFonts w:eastAsia="Arial Unicode MS"/>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27F3C4C" w14:textId="77777777" w:rsidR="00833B5D" w:rsidRPr="00214730" w:rsidRDefault="00833B5D" w:rsidP="00833B5D">
            <w:pPr>
              <w:jc w:val="center"/>
              <w:rPr>
                <w:rFonts w:eastAsia="Arial Unicode MS"/>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6391CB4"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80F1137"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5142D12"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211C6F5" w14:textId="0BDA1EC4"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F0A806B"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r>
      <w:tr w:rsidR="00833B5D" w:rsidRPr="00214730" w14:paraId="1C3576A9"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BA64C2B" w14:textId="77777777" w:rsidR="00833B5D" w:rsidRPr="00214730" w:rsidRDefault="00833B5D" w:rsidP="00833B5D">
            <w:pPr>
              <w:rPr>
                <w:rFonts w:eastAsia="Times New Roman"/>
                <w:sz w:val="26"/>
                <w:szCs w:val="26"/>
              </w:rPr>
            </w:pPr>
            <w:r w:rsidRPr="00214730">
              <w:rPr>
                <w:rFonts w:eastAsia="Times New Roman"/>
                <w:sz w:val="26"/>
                <w:szCs w:val="26"/>
              </w:rPr>
              <w:t>2.1. valsts pamatbudžets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5C50A14" w14:textId="77777777" w:rsidR="00833B5D" w:rsidRPr="00214730" w:rsidRDefault="00833B5D" w:rsidP="00833B5D">
            <w:pPr>
              <w:jc w:val="center"/>
              <w:rPr>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3206FDD" w14:textId="77777777" w:rsidR="00833B5D" w:rsidRPr="00214730" w:rsidRDefault="00833B5D" w:rsidP="00833B5D">
            <w:pPr>
              <w:jc w:val="center"/>
              <w:rPr>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E705FE0" w14:textId="77777777" w:rsidR="00833B5D" w:rsidRPr="00214730" w:rsidRDefault="00833B5D" w:rsidP="00833B5D">
            <w:pPr>
              <w:jc w:val="center"/>
              <w:rPr>
                <w:rFonts w:eastAsia="Times New Roman"/>
                <w:sz w:val="26"/>
                <w:szCs w:val="26"/>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81B1879" w14:textId="77777777"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286BCC9" w14:textId="77777777" w:rsidR="00833B5D" w:rsidRPr="00214730" w:rsidRDefault="00833B5D" w:rsidP="00833B5D">
            <w:pPr>
              <w:jc w:val="center"/>
              <w:rPr>
                <w:rFonts w:eastAsia="Times New Roman"/>
                <w:sz w:val="26"/>
                <w:szCs w:val="26"/>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36055B43" w14:textId="709FBB96"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13 824</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68AF714"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r>
      <w:tr w:rsidR="00214730" w:rsidRPr="00214730" w14:paraId="2C36A6E5"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15F44E" w14:textId="77777777" w:rsidR="00214730" w:rsidRPr="00214730" w:rsidRDefault="00214730" w:rsidP="00214730">
            <w:pPr>
              <w:rPr>
                <w:rFonts w:eastAsia="Times New Roman"/>
                <w:sz w:val="26"/>
                <w:szCs w:val="26"/>
              </w:rPr>
            </w:pPr>
            <w:r w:rsidRPr="00214730">
              <w:rPr>
                <w:rFonts w:eastAsia="Times New Roman"/>
                <w:sz w:val="26"/>
                <w:szCs w:val="26"/>
              </w:rPr>
              <w:t>2.2. valsts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474A360B" w14:textId="77777777" w:rsidR="00214730" w:rsidRPr="00214730" w:rsidRDefault="00214730" w:rsidP="00214730">
            <w:pPr>
              <w:jc w:val="center"/>
              <w:rPr>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5081872" w14:textId="77777777" w:rsidR="00214730" w:rsidRPr="00214730" w:rsidRDefault="00214730" w:rsidP="00214730">
            <w:pPr>
              <w:jc w:val="center"/>
              <w:rPr>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29E75BA"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4172FC5"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890722D"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87931D7"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C79EAEF"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r>
      <w:tr w:rsidR="00214730" w:rsidRPr="00214730" w14:paraId="37071314"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7AD7163" w14:textId="77777777" w:rsidR="00214730" w:rsidRPr="00214730" w:rsidRDefault="00214730" w:rsidP="00214730">
            <w:pPr>
              <w:rPr>
                <w:rFonts w:eastAsia="Times New Roman"/>
                <w:sz w:val="26"/>
                <w:szCs w:val="26"/>
              </w:rPr>
            </w:pPr>
            <w:r w:rsidRPr="00214730">
              <w:rPr>
                <w:rFonts w:eastAsia="Times New Roman"/>
                <w:sz w:val="26"/>
                <w:szCs w:val="26"/>
              </w:rPr>
              <w:t>2.3.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3E3C6C4" w14:textId="77777777" w:rsidR="00214730" w:rsidRPr="00214730" w:rsidRDefault="00214730" w:rsidP="00214730">
            <w:pPr>
              <w:jc w:val="center"/>
              <w:rPr>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44D4B4F" w14:textId="77777777" w:rsidR="00214730" w:rsidRPr="00214730" w:rsidRDefault="00214730" w:rsidP="00214730">
            <w:pPr>
              <w:jc w:val="center"/>
              <w:rPr>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44EE414"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1908698"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08838F5"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4FDCA45"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745ACE8"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r>
      <w:tr w:rsidR="00833B5D" w:rsidRPr="00214730" w14:paraId="36F8692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573B518" w14:textId="77777777" w:rsidR="00833B5D" w:rsidRPr="00214730" w:rsidRDefault="00833B5D" w:rsidP="00833B5D">
            <w:pPr>
              <w:rPr>
                <w:rFonts w:eastAsia="Times New Roman"/>
                <w:sz w:val="26"/>
                <w:szCs w:val="26"/>
              </w:rPr>
            </w:pPr>
            <w:r w:rsidRPr="00214730">
              <w:rPr>
                <w:rFonts w:eastAsia="Times New Roman"/>
                <w:sz w:val="26"/>
                <w:szCs w:val="26"/>
              </w:rPr>
              <w:t>3. Finansiālā ietekme</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2F7107D" w14:textId="77777777" w:rsidR="00833B5D" w:rsidRPr="00214730" w:rsidRDefault="00833B5D" w:rsidP="00833B5D">
            <w:pPr>
              <w:jc w:val="center"/>
              <w:rPr>
                <w:rFonts w:eastAsia="Arial Unicode MS"/>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B408325" w14:textId="77777777" w:rsidR="00833B5D" w:rsidRPr="00214730" w:rsidRDefault="00833B5D" w:rsidP="00833B5D">
            <w:pPr>
              <w:jc w:val="center"/>
              <w:rPr>
                <w:rFonts w:eastAsia="Arial Unicode MS"/>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34F40652"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0A35680"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53A36C1"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553642E" w14:textId="3667CB6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B36F8EC"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r>
      <w:tr w:rsidR="00833B5D" w:rsidRPr="00214730" w14:paraId="4B8498C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2E5BFF9" w14:textId="77777777" w:rsidR="00833B5D" w:rsidRPr="00214730" w:rsidRDefault="00833B5D" w:rsidP="00833B5D">
            <w:pPr>
              <w:rPr>
                <w:rFonts w:eastAsia="Times New Roman"/>
                <w:sz w:val="26"/>
                <w:szCs w:val="26"/>
              </w:rPr>
            </w:pPr>
            <w:r w:rsidRPr="00214730">
              <w:rPr>
                <w:rFonts w:eastAsia="Times New Roman"/>
                <w:sz w:val="26"/>
                <w:szCs w:val="26"/>
              </w:rPr>
              <w:t>3.1. valsts pamatbudžets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73029B01" w14:textId="77777777" w:rsidR="00833B5D" w:rsidRPr="00214730" w:rsidRDefault="00833B5D" w:rsidP="00833B5D">
            <w:pPr>
              <w:jc w:val="center"/>
              <w:rPr>
                <w:rFonts w:eastAsia="Arial Unicode MS"/>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60176C4" w14:textId="77777777" w:rsidR="00833B5D" w:rsidRPr="00214730" w:rsidRDefault="00833B5D" w:rsidP="00833B5D">
            <w:pPr>
              <w:jc w:val="center"/>
              <w:rPr>
                <w:rFonts w:eastAsia="Arial Unicode MS"/>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1360B5B" w14:textId="77777777"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515E66D8" w14:textId="77777777" w:rsidR="00833B5D" w:rsidRPr="00214730" w:rsidRDefault="00833B5D" w:rsidP="00833B5D">
            <w:pPr>
              <w:jc w:val="center"/>
              <w:rPr>
                <w:sz w:val="26"/>
                <w:szCs w:val="26"/>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D9C3C92" w14:textId="77777777"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DCC672F" w14:textId="7268B67A" w:rsidR="00833B5D" w:rsidRPr="00214730" w:rsidRDefault="00833B5D" w:rsidP="00833B5D">
            <w:pPr>
              <w:jc w:val="center"/>
              <w:rPr>
                <w:sz w:val="26"/>
                <w:szCs w:val="26"/>
              </w:rPr>
            </w:pPr>
            <w:r w:rsidRPr="00214730">
              <w:rPr>
                <w:rFonts w:eastAsia="Times New Roman"/>
                <w:sz w:val="26"/>
                <w:szCs w:val="26"/>
                <w:lang w:eastAsia="ja-JP"/>
              </w:rPr>
              <w:t>-13 824</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59F4E1E" w14:textId="77777777"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-13 824</w:t>
            </w:r>
          </w:p>
        </w:tc>
      </w:tr>
      <w:tr w:rsidR="00214730" w:rsidRPr="00214730" w14:paraId="76CD1701"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8E6203A" w14:textId="77777777" w:rsidR="00214730" w:rsidRPr="00214730" w:rsidRDefault="00214730" w:rsidP="00214730">
            <w:pPr>
              <w:rPr>
                <w:rFonts w:eastAsia="Times New Roman"/>
                <w:sz w:val="26"/>
                <w:szCs w:val="26"/>
              </w:rPr>
            </w:pPr>
            <w:r w:rsidRPr="00214730">
              <w:rPr>
                <w:rFonts w:eastAsia="Times New Roman"/>
                <w:sz w:val="26"/>
                <w:szCs w:val="26"/>
              </w:rPr>
              <w:t>3.2.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F6F164D" w14:textId="77777777" w:rsidR="00214730" w:rsidRPr="00214730" w:rsidRDefault="00214730" w:rsidP="00214730">
            <w:pPr>
              <w:jc w:val="center"/>
              <w:rPr>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3B781E2" w14:textId="77777777" w:rsidR="00214730" w:rsidRPr="00214730" w:rsidRDefault="00214730" w:rsidP="00214730">
            <w:pPr>
              <w:jc w:val="center"/>
              <w:rPr>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1FE82F6"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BF2D243"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D792557"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3B9A52A6"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A616E31"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60E5AC95"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4F86CF6" w14:textId="77777777" w:rsidR="00214730" w:rsidRPr="00214730" w:rsidRDefault="00214730" w:rsidP="00214730">
            <w:pPr>
              <w:rPr>
                <w:rFonts w:eastAsia="Times New Roman"/>
                <w:sz w:val="26"/>
                <w:szCs w:val="26"/>
              </w:rPr>
            </w:pPr>
            <w:r w:rsidRPr="00214730">
              <w:rPr>
                <w:rFonts w:eastAsia="Times New Roman"/>
                <w:sz w:val="26"/>
                <w:szCs w:val="26"/>
              </w:rPr>
              <w:t>3.3.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978ECEA" w14:textId="77777777" w:rsidR="00214730" w:rsidRPr="00214730" w:rsidRDefault="00214730" w:rsidP="00214730">
            <w:pPr>
              <w:jc w:val="center"/>
              <w:rPr>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F2594C9" w14:textId="77777777" w:rsidR="00214730" w:rsidRPr="00214730" w:rsidRDefault="00214730" w:rsidP="00214730">
            <w:pPr>
              <w:jc w:val="center"/>
              <w:rPr>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FC9E3AD"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F3012AD"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24964D9"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4AE7ED2"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5441BA7"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r>
      <w:tr w:rsidR="00214730" w:rsidRPr="00214730" w14:paraId="0614109D"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61AC4F1" w14:textId="77777777" w:rsidR="00214730" w:rsidRPr="00214730" w:rsidRDefault="00214730" w:rsidP="00214730">
            <w:pPr>
              <w:rPr>
                <w:rFonts w:eastAsia="Times New Roman"/>
                <w:sz w:val="26"/>
                <w:szCs w:val="26"/>
              </w:rPr>
            </w:pPr>
            <w:r w:rsidRPr="00214730">
              <w:rPr>
                <w:rFonts w:eastAsia="Times New Roman"/>
                <w:sz w:val="26"/>
                <w:szCs w:val="26"/>
              </w:rPr>
              <w:t>4. Finanšu līdzekļi papildu izdevumu finansēšanai (kompensējošu izdevumu samazinājumu norāda ar "+" zīmi)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2C023236"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B4D013B"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4351672"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03AAB702" w14:textId="77777777" w:rsidR="00214730" w:rsidRPr="00214730" w:rsidRDefault="00214730" w:rsidP="00214730">
            <w:pPr>
              <w:ind w:left="-30"/>
              <w:jc w:val="center"/>
              <w:rPr>
                <w:rFonts w:eastAsia="Times New Roman"/>
                <w:b/>
                <w:sz w:val="26"/>
                <w:szCs w:val="26"/>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73B85EB"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18D5911" w14:textId="77777777" w:rsidR="00214730" w:rsidRPr="00214730" w:rsidRDefault="00214730" w:rsidP="00214730">
            <w:pPr>
              <w:ind w:left="-30"/>
              <w:jc w:val="center"/>
              <w:rPr>
                <w:rFonts w:eastAsia="Times New Roman"/>
                <w:b/>
                <w:sz w:val="26"/>
                <w:szCs w:val="26"/>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69ED311"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7D056672"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CE1DEB" w14:textId="77777777" w:rsidR="00214730" w:rsidRPr="00214730" w:rsidRDefault="00214730" w:rsidP="00214730">
            <w:pPr>
              <w:rPr>
                <w:rFonts w:eastAsia="Times New Roman"/>
                <w:sz w:val="26"/>
                <w:szCs w:val="26"/>
              </w:rPr>
            </w:pPr>
            <w:r w:rsidRPr="00214730">
              <w:rPr>
                <w:rFonts w:eastAsia="Times New Roman"/>
                <w:sz w:val="26"/>
                <w:szCs w:val="26"/>
              </w:rPr>
              <w:t>5. Precizēta finansiālā ietekme</w:t>
            </w:r>
          </w:p>
        </w:tc>
        <w:tc>
          <w:tcPr>
            <w:tcW w:w="57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05E93C4"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757A66A"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4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897ECAC"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275F7D38"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4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553950E"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289E70B"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F716A3C"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r>
      <w:tr w:rsidR="00214730" w:rsidRPr="00214730" w14:paraId="4389FFCA"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53381DC5" w14:textId="77777777" w:rsidR="00214730" w:rsidRPr="00214730" w:rsidRDefault="00214730" w:rsidP="00214730">
            <w:pPr>
              <w:rPr>
                <w:rFonts w:eastAsia="Times New Roman"/>
                <w:sz w:val="26"/>
                <w:szCs w:val="26"/>
              </w:rPr>
            </w:pPr>
            <w:r w:rsidRPr="00214730">
              <w:rPr>
                <w:rFonts w:eastAsia="Times New Roman"/>
                <w:sz w:val="26"/>
                <w:szCs w:val="26"/>
              </w:rPr>
              <w:lastRenderedPageBreak/>
              <w:t>5.1. valsts pamatbudžets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ADB003C" w14:textId="77777777" w:rsidR="00214730" w:rsidRPr="00214730" w:rsidRDefault="00214730" w:rsidP="00214730">
            <w:pPr>
              <w:jc w:val="center"/>
              <w:rPr>
                <w:rFonts w:eastAsia="Times New Roman"/>
                <w:sz w:val="26"/>
                <w:szCs w:val="26"/>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tcPr>
          <w:p w14:paraId="2EA4C654"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25957C4" w14:textId="77777777" w:rsidR="00214730" w:rsidRPr="00214730" w:rsidRDefault="00214730" w:rsidP="00214730">
            <w:pPr>
              <w:jc w:val="center"/>
              <w:rPr>
                <w:rFonts w:eastAsia="Times New Roman"/>
                <w:sz w:val="26"/>
                <w:szCs w:val="26"/>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888A61D"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D596AF2" w14:textId="77777777" w:rsidR="00214730" w:rsidRPr="00214730" w:rsidRDefault="00214730" w:rsidP="00214730">
            <w:pPr>
              <w:jc w:val="center"/>
              <w:rPr>
                <w:rFonts w:eastAsia="Times New Roman"/>
                <w:sz w:val="26"/>
                <w:szCs w:val="26"/>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1A68B08A"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D4963E4"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6DBDAD51"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026B9AF" w14:textId="77777777" w:rsidR="00214730" w:rsidRPr="00214730" w:rsidRDefault="00214730" w:rsidP="00214730">
            <w:pPr>
              <w:rPr>
                <w:rFonts w:eastAsia="Times New Roman"/>
                <w:sz w:val="26"/>
                <w:szCs w:val="26"/>
              </w:rPr>
            </w:pPr>
            <w:r w:rsidRPr="00214730">
              <w:rPr>
                <w:rFonts w:eastAsia="Times New Roman"/>
                <w:sz w:val="26"/>
                <w:szCs w:val="26"/>
              </w:rPr>
              <w:t>5.2. speciālais 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8AE2520" w14:textId="77777777" w:rsidR="00214730" w:rsidRPr="00214730" w:rsidRDefault="00214730" w:rsidP="00214730">
            <w:pPr>
              <w:jc w:val="center"/>
              <w:rPr>
                <w:rFonts w:eastAsia="Times New Roman"/>
                <w:sz w:val="26"/>
                <w:szCs w:val="26"/>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tcPr>
          <w:p w14:paraId="1BD2F918"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7AAD79A" w14:textId="77777777" w:rsidR="00214730" w:rsidRPr="00214730" w:rsidRDefault="00214730" w:rsidP="00214730">
            <w:pPr>
              <w:jc w:val="center"/>
              <w:rPr>
                <w:rFonts w:eastAsia="Times New Roman"/>
                <w:sz w:val="26"/>
                <w:szCs w:val="26"/>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01DE62B"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613D470" w14:textId="77777777" w:rsidR="00214730" w:rsidRPr="00214730" w:rsidRDefault="00214730" w:rsidP="00214730">
            <w:pPr>
              <w:jc w:val="center"/>
              <w:rPr>
                <w:rFonts w:eastAsia="Times New Roman"/>
                <w:sz w:val="26"/>
                <w:szCs w:val="26"/>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1C9BE34"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92B1D9"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r>
      <w:tr w:rsidR="00214730" w:rsidRPr="00214730" w14:paraId="659A0627"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0AEF450" w14:textId="77777777" w:rsidR="00214730" w:rsidRPr="00214730" w:rsidRDefault="00214730" w:rsidP="00214730">
            <w:pPr>
              <w:rPr>
                <w:rFonts w:eastAsia="Times New Roman"/>
                <w:sz w:val="26"/>
                <w:szCs w:val="26"/>
              </w:rPr>
            </w:pPr>
            <w:r w:rsidRPr="00214730">
              <w:rPr>
                <w:rFonts w:eastAsia="Times New Roman"/>
                <w:sz w:val="26"/>
                <w:szCs w:val="26"/>
              </w:rPr>
              <w:t>5.3. pašvaldību 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2DF6C83" w14:textId="77777777" w:rsidR="00214730" w:rsidRPr="00214730" w:rsidRDefault="00214730" w:rsidP="00214730">
            <w:pPr>
              <w:jc w:val="center"/>
              <w:rPr>
                <w:rFonts w:eastAsia="Times New Roman"/>
                <w:sz w:val="26"/>
                <w:szCs w:val="26"/>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052DA6D" w14:textId="77777777" w:rsidR="00214730" w:rsidRPr="00214730" w:rsidRDefault="00214730" w:rsidP="00214730">
            <w:pPr>
              <w:jc w:val="center"/>
              <w:rPr>
                <w:rFonts w:eastAsia="Arial Unicode MS"/>
                <w:sz w:val="26"/>
                <w:szCs w:val="26"/>
              </w:rPr>
            </w:pPr>
            <w:r w:rsidRPr="00214730">
              <w:rPr>
                <w:sz w:val="26"/>
                <w:szCs w:val="26"/>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5922C64" w14:textId="77777777" w:rsidR="00214730" w:rsidRPr="00214730" w:rsidRDefault="00214730" w:rsidP="00214730">
            <w:pPr>
              <w:jc w:val="center"/>
              <w:rPr>
                <w:rFonts w:eastAsia="Times New Roman"/>
                <w:sz w:val="26"/>
                <w:szCs w:val="26"/>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53BDB2EC"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F85F198" w14:textId="77777777" w:rsidR="00214730" w:rsidRPr="00214730" w:rsidRDefault="00214730" w:rsidP="00214730">
            <w:pPr>
              <w:jc w:val="center"/>
              <w:rPr>
                <w:rFonts w:eastAsia="Times New Roman"/>
                <w:sz w:val="26"/>
                <w:szCs w:val="26"/>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0923075"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59C2FC"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3CAFE40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0EAE061" w14:textId="77777777" w:rsidR="00214730" w:rsidRPr="00214730" w:rsidRDefault="00214730" w:rsidP="00214730">
            <w:pPr>
              <w:rPr>
                <w:rFonts w:eastAsia="Times New Roman"/>
                <w:sz w:val="26"/>
                <w:szCs w:val="26"/>
              </w:rPr>
            </w:pPr>
            <w:r w:rsidRPr="00214730">
              <w:rPr>
                <w:rFonts w:eastAsia="Times New Roman"/>
                <w:sz w:val="26"/>
                <w:szCs w:val="26"/>
              </w:rPr>
              <w:t>6. Detalizēts ieņēmumu un izdevumu aprēķins (ja nepieciešams, detalizētu ieņēmumu un izdevumu aprēķinu var pievienot anotācijas pielikumā)</w:t>
            </w:r>
          </w:p>
        </w:tc>
        <w:tc>
          <w:tcPr>
            <w:tcW w:w="407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EDDC1" w14:textId="77777777" w:rsidR="00214730" w:rsidRPr="00214730" w:rsidRDefault="00214730" w:rsidP="00214730">
            <w:pPr>
              <w:spacing w:before="10"/>
              <w:ind w:left="113" w:right="113"/>
              <w:jc w:val="both"/>
              <w:rPr>
                <w:rFonts w:eastAsia="Times New Roman"/>
                <w:sz w:val="26"/>
                <w:szCs w:val="26"/>
              </w:rPr>
            </w:pPr>
            <w:r w:rsidRPr="00214730">
              <w:rPr>
                <w:sz w:val="26"/>
                <w:szCs w:val="26"/>
                <w:lang w:eastAsia="en-US"/>
              </w:rPr>
              <w:t xml:space="preserve">Vidējais administratīvo izmaksas </w:t>
            </w:r>
            <w:proofErr w:type="spellStart"/>
            <w:r w:rsidRPr="00214730">
              <w:rPr>
                <w:rFonts w:eastAsia="Times New Roman"/>
                <w:sz w:val="26"/>
                <w:szCs w:val="26"/>
              </w:rPr>
              <w:t>C</w:t>
            </w:r>
            <w:r w:rsidRPr="00214730">
              <w:rPr>
                <w:rFonts w:eastAsia="Times New Roman"/>
                <w:sz w:val="26"/>
                <w:szCs w:val="26"/>
                <w:vertAlign w:val="subscript"/>
              </w:rPr>
              <w:t>g</w:t>
            </w:r>
            <w:proofErr w:type="spellEnd"/>
            <w:r w:rsidRPr="00214730">
              <w:rPr>
                <w:sz w:val="26"/>
                <w:szCs w:val="26"/>
                <w:lang w:eastAsia="en-US"/>
              </w:rPr>
              <w:t xml:space="preserve"> gadā aprēķins veikts šīs anotācijas II sadaļas 3. punktā. </w:t>
            </w:r>
          </w:p>
          <w:p w14:paraId="287DF9E6" w14:textId="77777777" w:rsidR="00214730" w:rsidRPr="00214730" w:rsidRDefault="00214730" w:rsidP="00214730">
            <w:pPr>
              <w:spacing w:before="10"/>
              <w:ind w:left="113" w:right="113"/>
              <w:jc w:val="both"/>
              <w:rPr>
                <w:sz w:val="26"/>
                <w:szCs w:val="26"/>
                <w:lang w:eastAsia="en-US"/>
              </w:rPr>
            </w:pPr>
            <w:r w:rsidRPr="00214730">
              <w:rPr>
                <w:sz w:val="26"/>
                <w:szCs w:val="26"/>
                <w:lang w:eastAsia="en-US"/>
              </w:rPr>
              <w:t xml:space="preserve">Detalizēts izdevumu aprēķins sniegts anotācijas pielikumā. </w:t>
            </w:r>
          </w:p>
          <w:p w14:paraId="03E8BCA8" w14:textId="3FCDC5A7" w:rsidR="00214730" w:rsidRPr="00214730" w:rsidRDefault="00214730" w:rsidP="00214730">
            <w:pPr>
              <w:spacing w:before="10"/>
              <w:ind w:left="113" w:right="113"/>
              <w:jc w:val="both"/>
              <w:rPr>
                <w:sz w:val="26"/>
                <w:szCs w:val="26"/>
                <w:lang w:eastAsia="en-US"/>
              </w:rPr>
            </w:pPr>
            <w:r w:rsidRPr="00214730">
              <w:rPr>
                <w:sz w:val="26"/>
                <w:szCs w:val="26"/>
                <w:lang w:eastAsia="en-US"/>
              </w:rPr>
              <w:t>3.1.2.1.1. aktivitātes projektu uzraudzībai projektu pārskata  periodā:</w:t>
            </w:r>
          </w:p>
          <w:p w14:paraId="40AA1D64" w14:textId="33F329BC" w:rsidR="00214730" w:rsidRPr="00214730" w:rsidRDefault="00AD36C7" w:rsidP="00214730">
            <w:pPr>
              <w:spacing w:before="10"/>
              <w:ind w:left="113" w:right="113"/>
              <w:jc w:val="both"/>
              <w:rPr>
                <w:sz w:val="26"/>
                <w:szCs w:val="26"/>
                <w:lang w:eastAsia="en-US"/>
              </w:rPr>
            </w:pPr>
            <w:r>
              <w:rPr>
                <w:sz w:val="26"/>
                <w:szCs w:val="26"/>
                <w:lang w:eastAsia="en-US"/>
              </w:rPr>
              <w:t>1</w:t>
            </w:r>
            <w:r w:rsidR="00214730" w:rsidRPr="00214730">
              <w:rPr>
                <w:sz w:val="26"/>
                <w:szCs w:val="26"/>
                <w:lang w:eastAsia="en-US"/>
              </w:rPr>
              <w:t>. no 2019. gada 1. j</w:t>
            </w:r>
            <w:r w:rsidR="007A55A6">
              <w:rPr>
                <w:sz w:val="26"/>
                <w:szCs w:val="26"/>
                <w:lang w:eastAsia="en-US"/>
              </w:rPr>
              <w:t>ūnija</w:t>
            </w:r>
            <w:r w:rsidR="00214730" w:rsidRPr="00214730">
              <w:rPr>
                <w:sz w:val="26"/>
                <w:szCs w:val="26"/>
                <w:lang w:eastAsia="en-US"/>
              </w:rPr>
              <w:t xml:space="preserve"> līdz 2020. gada 31. decembrim nepieciešam</w:t>
            </w:r>
            <w:r w:rsidR="007A55A6">
              <w:rPr>
                <w:sz w:val="26"/>
                <w:szCs w:val="26"/>
                <w:lang w:eastAsia="en-US"/>
              </w:rPr>
              <w:t>o</w:t>
            </w:r>
            <w:r w:rsidR="00214730" w:rsidRPr="00214730">
              <w:rPr>
                <w:sz w:val="26"/>
                <w:szCs w:val="26"/>
                <w:lang w:eastAsia="en-US"/>
              </w:rPr>
              <w:t xml:space="preserve"> finansējum</w:t>
            </w:r>
            <w:r w:rsidR="007A55A6">
              <w:rPr>
                <w:sz w:val="26"/>
                <w:szCs w:val="26"/>
                <w:lang w:eastAsia="en-US"/>
              </w:rPr>
              <w:t>u</w:t>
            </w:r>
            <w:r w:rsidR="00214730" w:rsidRPr="00214730">
              <w:rPr>
                <w:sz w:val="26"/>
                <w:szCs w:val="26"/>
                <w:lang w:eastAsia="en-US"/>
              </w:rPr>
              <w:t xml:space="preserve"> </w:t>
            </w:r>
            <w:r w:rsidR="00214730" w:rsidRPr="00214730">
              <w:rPr>
                <w:rFonts w:eastAsia="Times New Roman"/>
                <w:sz w:val="26"/>
                <w:szCs w:val="26"/>
              </w:rPr>
              <w:t>2</w:t>
            </w:r>
            <w:r w:rsidR="006B774D" w:rsidRPr="006B774D">
              <w:rPr>
                <w:rFonts w:eastAsia="Times New Roman"/>
                <w:b/>
                <w:sz w:val="26"/>
                <w:szCs w:val="26"/>
              </w:rPr>
              <w:t>1</w:t>
            </w:r>
            <w:r w:rsidR="00214730" w:rsidRPr="00214730">
              <w:rPr>
                <w:rFonts w:eastAsia="Times New Roman"/>
                <w:sz w:val="26"/>
                <w:szCs w:val="26"/>
              </w:rPr>
              <w:t> </w:t>
            </w:r>
            <w:r w:rsidR="00E6345D">
              <w:rPr>
                <w:rFonts w:eastAsia="Times New Roman"/>
                <w:sz w:val="26"/>
                <w:szCs w:val="26"/>
              </w:rPr>
              <w:t>120</w:t>
            </w:r>
            <w:r w:rsidR="00214730" w:rsidRPr="00214730">
              <w:rPr>
                <w:rFonts w:eastAsia="Times New Roman"/>
                <w:sz w:val="26"/>
                <w:szCs w:val="26"/>
              </w:rPr>
              <w:t xml:space="preserve"> </w:t>
            </w:r>
            <w:r w:rsidR="00214730" w:rsidRPr="00214730">
              <w:rPr>
                <w:sz w:val="26"/>
                <w:szCs w:val="26"/>
                <w:lang w:eastAsia="en-US"/>
              </w:rPr>
              <w:t>EUR</w:t>
            </w:r>
            <w:r w:rsidR="007A55A6">
              <w:rPr>
                <w:sz w:val="26"/>
                <w:szCs w:val="26"/>
                <w:lang w:eastAsia="en-US"/>
              </w:rPr>
              <w:t xml:space="preserve"> apmērā plānots segt no </w:t>
            </w:r>
            <w:r w:rsidRPr="00214730">
              <w:rPr>
                <w:sz w:val="26"/>
                <w:szCs w:val="26"/>
                <w:lang w:eastAsia="en-US"/>
              </w:rPr>
              <w:t xml:space="preserve">Izglītības un zinātnes ministrijas tehniskās palīdzības projekta “Izglītības un zinātnes ministrijas kapacitātes stiprināšana Eiropas Savienības struktūrfondu plānošanai, ieviešanai un uzraudzībai 2014-2020.gada plānošanas periodā, </w:t>
            </w:r>
            <w:r>
              <w:rPr>
                <w:sz w:val="26"/>
                <w:szCs w:val="26"/>
                <w:lang w:eastAsia="en-US"/>
              </w:rPr>
              <w:t>2</w:t>
            </w:r>
            <w:r w:rsidRPr="00214730">
              <w:rPr>
                <w:sz w:val="26"/>
                <w:szCs w:val="26"/>
                <w:lang w:eastAsia="en-US"/>
              </w:rPr>
              <w:t xml:space="preserve">.kārta” </w:t>
            </w:r>
            <w:r w:rsidR="007A55A6">
              <w:rPr>
                <w:sz w:val="26"/>
                <w:szCs w:val="26"/>
                <w:lang w:eastAsia="en-US"/>
              </w:rPr>
              <w:t>(</w:t>
            </w:r>
            <w:r w:rsidR="00214730" w:rsidRPr="00214730">
              <w:rPr>
                <w:i/>
                <w:sz w:val="26"/>
                <w:szCs w:val="26"/>
                <w:lang w:eastAsia="en-US"/>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w:t>
            </w:r>
            <w:r w:rsidR="007A55A6">
              <w:rPr>
                <w:i/>
                <w:sz w:val="26"/>
                <w:szCs w:val="26"/>
                <w:lang w:eastAsia="en-US"/>
              </w:rPr>
              <w:t>ā</w:t>
            </w:r>
            <w:r w:rsidR="00214730" w:rsidRPr="00214730">
              <w:rPr>
                <w:i/>
                <w:sz w:val="26"/>
                <w:szCs w:val="26"/>
                <w:lang w:eastAsia="en-US"/>
              </w:rPr>
              <w:t xml:space="preserve"> kārt</w:t>
            </w:r>
            <w:r w:rsidR="007A55A6">
              <w:rPr>
                <w:i/>
                <w:sz w:val="26"/>
                <w:szCs w:val="26"/>
                <w:lang w:eastAsia="en-US"/>
              </w:rPr>
              <w:t>a)</w:t>
            </w:r>
            <w:r w:rsidR="00214730" w:rsidRPr="00214730">
              <w:rPr>
                <w:sz w:val="26"/>
                <w:szCs w:val="26"/>
                <w:lang w:eastAsia="en-US"/>
              </w:rPr>
              <w:t>;</w:t>
            </w:r>
          </w:p>
          <w:p w14:paraId="59364936" w14:textId="737B9270" w:rsidR="00214730" w:rsidRPr="00214730" w:rsidRDefault="00AD36C7" w:rsidP="00214730">
            <w:pPr>
              <w:spacing w:before="10"/>
              <w:ind w:left="113" w:right="113"/>
              <w:jc w:val="both"/>
              <w:rPr>
                <w:sz w:val="26"/>
                <w:szCs w:val="26"/>
                <w:lang w:eastAsia="en-US"/>
              </w:rPr>
            </w:pPr>
            <w:r>
              <w:rPr>
                <w:sz w:val="26"/>
                <w:szCs w:val="26"/>
                <w:lang w:eastAsia="en-US"/>
              </w:rPr>
              <w:t>2</w:t>
            </w:r>
            <w:r w:rsidR="00214730" w:rsidRPr="00214730">
              <w:rPr>
                <w:sz w:val="26"/>
                <w:szCs w:val="26"/>
                <w:lang w:eastAsia="en-US"/>
              </w:rPr>
              <w:t xml:space="preserve">. no 2021. gada 1. janvāra līdz 2024. gada 31. decembrim nepieciešamais finansējums ir </w:t>
            </w:r>
            <w:r w:rsidR="00214730" w:rsidRPr="00214730">
              <w:rPr>
                <w:rFonts w:eastAsia="Times New Roman"/>
                <w:sz w:val="26"/>
                <w:szCs w:val="26"/>
              </w:rPr>
              <w:t>55 </w:t>
            </w:r>
            <w:r w:rsidR="005E7328">
              <w:rPr>
                <w:rFonts w:eastAsia="Times New Roman"/>
                <w:sz w:val="26"/>
                <w:szCs w:val="26"/>
              </w:rPr>
              <w:t>296</w:t>
            </w:r>
            <w:r w:rsidR="00214730" w:rsidRPr="00214730">
              <w:rPr>
                <w:bCs/>
                <w:color w:val="000000"/>
                <w:sz w:val="26"/>
                <w:szCs w:val="26"/>
                <w:lang w:eastAsia="en-US"/>
              </w:rPr>
              <w:t xml:space="preserve"> </w:t>
            </w:r>
            <w:r w:rsidR="00214730" w:rsidRPr="00214730">
              <w:rPr>
                <w:sz w:val="26"/>
                <w:szCs w:val="26"/>
                <w:lang w:eastAsia="en-US"/>
              </w:rPr>
              <w:t>EUR. Jautājumu par papildu administratīvo izmaksu segšanu plānots risināt, izstrādājot Eiropas Savienības Kohēzijas politikas 2021.–2027. gadam ieviešanas nosacījumus pētniecības un inovācijas attīstībai Latvijā vai izskatot 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p>
          <w:p w14:paraId="12A38C30" w14:textId="422CBB60" w:rsidR="00214730" w:rsidRPr="00214730" w:rsidRDefault="00214730" w:rsidP="00214730">
            <w:pPr>
              <w:spacing w:before="10"/>
              <w:ind w:left="113" w:right="113"/>
              <w:jc w:val="both"/>
              <w:rPr>
                <w:sz w:val="26"/>
                <w:szCs w:val="26"/>
                <w:lang w:eastAsia="en-US"/>
              </w:rPr>
            </w:pPr>
            <w:r w:rsidRPr="00214730">
              <w:rPr>
                <w:sz w:val="26"/>
                <w:szCs w:val="26"/>
                <w:lang w:eastAsia="en-US"/>
              </w:rPr>
              <w:t>Izglītības un zinātnes ministrijai sadarbībā ar Finanšu ministriju informēt Ministru kabinetu par iespējamiem finanšu avotiem 3.1.2.1.1.</w:t>
            </w:r>
            <w:r w:rsidR="00AD36C7">
              <w:rPr>
                <w:sz w:val="26"/>
                <w:szCs w:val="26"/>
                <w:lang w:eastAsia="en-US"/>
              </w:rPr>
              <w:t> </w:t>
            </w:r>
            <w:r w:rsidRPr="00214730">
              <w:rPr>
                <w:sz w:val="26"/>
                <w:szCs w:val="26"/>
                <w:lang w:eastAsia="en-US"/>
              </w:rPr>
              <w:t>aktivitātes projektu uzraudzības nodrošināšanai, informāciju iekļaujot informatīv</w:t>
            </w:r>
            <w:r w:rsidR="0026041E">
              <w:rPr>
                <w:sz w:val="26"/>
                <w:szCs w:val="26"/>
                <w:lang w:eastAsia="en-US"/>
              </w:rPr>
              <w:t>aj</w:t>
            </w:r>
            <w:r w:rsidRPr="00214730">
              <w:rPr>
                <w:sz w:val="26"/>
                <w:szCs w:val="26"/>
                <w:lang w:eastAsia="en-US"/>
              </w:rPr>
              <w:t>ā ziņojumā.</w:t>
            </w:r>
          </w:p>
          <w:p w14:paraId="2745D2AC" w14:textId="77777777" w:rsidR="00214730" w:rsidRPr="00214730" w:rsidRDefault="00214730" w:rsidP="00214730">
            <w:pPr>
              <w:spacing w:before="10"/>
              <w:ind w:left="113" w:right="113"/>
              <w:jc w:val="both"/>
              <w:rPr>
                <w:rFonts w:eastAsia="Times New Roman"/>
                <w:sz w:val="26"/>
                <w:szCs w:val="26"/>
              </w:rPr>
            </w:pPr>
            <w:r w:rsidRPr="00214730">
              <w:rPr>
                <w:sz w:val="26"/>
                <w:szCs w:val="26"/>
                <w:lang w:eastAsia="en-US"/>
              </w:rPr>
              <w:t>Izglītības un zinātnes ministrijai nav pieejami finanšu līdzekļi papildu izdevumu finansēšanai, jo ministrijai nav iespēju veikt institucionālus pārkārtojumus, administratīvo izmaksu vai izdevumu samazināšanu ministrijas kompetencē esošām funkcijām.</w:t>
            </w:r>
            <w:r w:rsidRPr="00214730">
              <w:rPr>
                <w:rFonts w:eastAsia="Times New Roman"/>
                <w:sz w:val="26"/>
                <w:szCs w:val="26"/>
              </w:rPr>
              <w:t xml:space="preserve"> </w:t>
            </w:r>
          </w:p>
        </w:tc>
      </w:tr>
      <w:tr w:rsidR="00214730" w:rsidRPr="00214730" w14:paraId="660C563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2CBCEB0" w14:textId="77777777" w:rsidR="00214730" w:rsidRPr="00214730" w:rsidRDefault="00214730" w:rsidP="00214730">
            <w:pPr>
              <w:rPr>
                <w:rFonts w:eastAsia="Times New Roman"/>
                <w:sz w:val="26"/>
                <w:szCs w:val="26"/>
              </w:rPr>
            </w:pPr>
            <w:r w:rsidRPr="00214730">
              <w:rPr>
                <w:rFonts w:eastAsia="Times New Roman"/>
                <w:sz w:val="26"/>
                <w:szCs w:val="26"/>
              </w:rPr>
              <w:t>6.1. detalizēts ieņēmumu aprēķins</w:t>
            </w:r>
          </w:p>
        </w:tc>
        <w:tc>
          <w:tcPr>
            <w:tcW w:w="407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5103A" w14:textId="77777777" w:rsidR="00214730" w:rsidRPr="00214730" w:rsidRDefault="00214730" w:rsidP="00214730">
            <w:pPr>
              <w:rPr>
                <w:rFonts w:eastAsia="Times New Roman"/>
                <w:sz w:val="26"/>
                <w:szCs w:val="26"/>
              </w:rPr>
            </w:pPr>
          </w:p>
        </w:tc>
      </w:tr>
      <w:tr w:rsidR="00214730" w:rsidRPr="00214730" w14:paraId="05B44D62"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2535678" w14:textId="77777777" w:rsidR="00214730" w:rsidRPr="00214730" w:rsidRDefault="00214730" w:rsidP="00214730">
            <w:pPr>
              <w:rPr>
                <w:rFonts w:eastAsia="Times New Roman"/>
                <w:sz w:val="26"/>
                <w:szCs w:val="26"/>
              </w:rPr>
            </w:pPr>
            <w:r w:rsidRPr="00214730">
              <w:rPr>
                <w:rFonts w:eastAsia="Times New Roman"/>
                <w:sz w:val="26"/>
                <w:szCs w:val="26"/>
              </w:rPr>
              <w:t>6.2. detalizēts izdevumu aprēķins</w:t>
            </w:r>
          </w:p>
        </w:tc>
        <w:tc>
          <w:tcPr>
            <w:tcW w:w="407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8E3B4" w14:textId="77777777" w:rsidR="00214730" w:rsidRPr="00214730" w:rsidRDefault="00214730" w:rsidP="00214730">
            <w:pPr>
              <w:rPr>
                <w:rFonts w:eastAsia="Times New Roman"/>
                <w:sz w:val="26"/>
                <w:szCs w:val="26"/>
              </w:rPr>
            </w:pPr>
          </w:p>
        </w:tc>
      </w:tr>
      <w:tr w:rsidR="00214730" w:rsidRPr="00214730" w14:paraId="0847EBDB"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1095CAD" w14:textId="77777777" w:rsidR="00214730" w:rsidRPr="00214730" w:rsidRDefault="00214730" w:rsidP="00214730">
            <w:pPr>
              <w:rPr>
                <w:rFonts w:eastAsia="Times New Roman"/>
                <w:sz w:val="26"/>
                <w:szCs w:val="26"/>
              </w:rPr>
            </w:pPr>
            <w:r w:rsidRPr="00214730">
              <w:rPr>
                <w:rFonts w:eastAsia="Times New Roman"/>
                <w:sz w:val="26"/>
                <w:szCs w:val="26"/>
              </w:rPr>
              <w:lastRenderedPageBreak/>
              <w:t>7. Amata vietu skaita izmaiņas</w:t>
            </w:r>
          </w:p>
        </w:tc>
        <w:tc>
          <w:tcPr>
            <w:tcW w:w="407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F353BE8" w14:textId="77777777" w:rsidR="00214730" w:rsidRPr="00214730" w:rsidRDefault="00214730" w:rsidP="00214730">
            <w:pPr>
              <w:jc w:val="both"/>
              <w:rPr>
                <w:rFonts w:eastAsia="Times New Roman"/>
                <w:sz w:val="26"/>
                <w:szCs w:val="26"/>
                <w:lang w:eastAsia="ja-JP"/>
              </w:rPr>
            </w:pPr>
            <w:r w:rsidRPr="00214730">
              <w:rPr>
                <w:iCs/>
                <w:color w:val="000000"/>
                <w:sz w:val="26"/>
                <w:szCs w:val="26"/>
              </w:rPr>
              <w:t>Projekts šo jomu neskar.</w:t>
            </w:r>
          </w:p>
        </w:tc>
      </w:tr>
      <w:tr w:rsidR="00214730" w:rsidRPr="00214730" w14:paraId="56079B2D"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2FE95B" w14:textId="77777777" w:rsidR="00214730" w:rsidRPr="00214730" w:rsidRDefault="00214730" w:rsidP="00214730">
            <w:pPr>
              <w:rPr>
                <w:rFonts w:eastAsia="Times New Roman"/>
                <w:sz w:val="26"/>
                <w:szCs w:val="26"/>
              </w:rPr>
            </w:pPr>
            <w:r w:rsidRPr="00214730">
              <w:rPr>
                <w:rFonts w:eastAsia="Times New Roman"/>
                <w:sz w:val="26"/>
                <w:szCs w:val="26"/>
              </w:rPr>
              <w:t>8. Cita informācija</w:t>
            </w:r>
          </w:p>
        </w:tc>
        <w:tc>
          <w:tcPr>
            <w:tcW w:w="407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B1815C3" w14:textId="77777777" w:rsidR="00214730" w:rsidRPr="00214730" w:rsidRDefault="00214730" w:rsidP="00214730">
            <w:pPr>
              <w:spacing w:before="40" w:after="40"/>
              <w:ind w:right="57"/>
              <w:jc w:val="both"/>
              <w:rPr>
                <w:rFonts w:eastAsia="Times New Roman"/>
                <w:sz w:val="26"/>
                <w:szCs w:val="26"/>
                <w:lang w:eastAsia="ja-JP"/>
              </w:rPr>
            </w:pPr>
            <w:r w:rsidRPr="00214730">
              <w:rPr>
                <w:rFonts w:eastAsia="Times New Roman"/>
                <w:sz w:val="26"/>
                <w:szCs w:val="26"/>
                <w:lang w:bidi="lo-LA"/>
              </w:rPr>
              <w:t xml:space="preserve">Anotācijas pielikumā norādīts indikatīvais papildu administratīvo izmaksu sadalījums pa gadiem. </w:t>
            </w:r>
          </w:p>
        </w:tc>
      </w:tr>
    </w:tbl>
    <w:p w14:paraId="157F4513" w14:textId="77777777" w:rsidR="00214730" w:rsidRDefault="00214730" w:rsidP="00135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61"/>
      </w:tblGrid>
      <w:tr w:rsidR="008A3DD6" w:rsidRPr="00600B68" w14:paraId="37DA99DA" w14:textId="77777777" w:rsidTr="008A3DD6">
        <w:trPr>
          <w:trHeight w:val="375"/>
        </w:trPr>
        <w:tc>
          <w:tcPr>
            <w:tcW w:w="5000" w:type="pct"/>
          </w:tcPr>
          <w:p w14:paraId="73E51EC6" w14:textId="3EE78C78" w:rsidR="008A3DD6" w:rsidRPr="00600B68" w:rsidRDefault="008A3DD6" w:rsidP="00782421">
            <w:pPr>
              <w:ind w:firstLine="300"/>
              <w:jc w:val="center"/>
              <w:rPr>
                <w:rFonts w:eastAsia="Times New Roman"/>
                <w:b/>
                <w:bCs/>
              </w:rPr>
            </w:pPr>
            <w:r w:rsidRPr="00600B68">
              <w:rPr>
                <w:b/>
              </w:rPr>
              <w:t>IV.</w:t>
            </w:r>
            <w:r w:rsidRPr="00600B68">
              <w:t xml:space="preserve"> </w:t>
            </w:r>
            <w:r w:rsidRPr="00600B68">
              <w:rPr>
                <w:b/>
              </w:rPr>
              <w:t>Tiesību akta projekta ietekme uz spēkā esošo tiesību normu sistēmu</w:t>
            </w:r>
          </w:p>
        </w:tc>
      </w:tr>
      <w:tr w:rsidR="008A3DD6" w:rsidRPr="00600B68" w14:paraId="4BBAEFD7" w14:textId="77777777" w:rsidTr="008A3DD6">
        <w:tc>
          <w:tcPr>
            <w:tcW w:w="5000" w:type="pct"/>
          </w:tcPr>
          <w:p w14:paraId="491F2AD4" w14:textId="4FD2D8C6" w:rsidR="008A3DD6" w:rsidRPr="00600B68" w:rsidRDefault="008A3DD6" w:rsidP="008A3DD6">
            <w:pPr>
              <w:jc w:val="center"/>
            </w:pPr>
            <w:r w:rsidRPr="00600B68">
              <w:rPr>
                <w:iCs/>
              </w:rPr>
              <w:t>Noteikumu projekts šo jomu neskar.</w:t>
            </w:r>
          </w:p>
        </w:tc>
      </w:tr>
    </w:tbl>
    <w:p w14:paraId="6DE1DA1E" w14:textId="77777777" w:rsidR="00B000A1" w:rsidRPr="00600B68" w:rsidRDefault="00B000A1" w:rsidP="00AB4574">
      <w:pPr>
        <w:rPr>
          <w:rFonts w:eastAsia="Times New Roman"/>
          <w:sz w:val="26"/>
          <w:szCs w:val="2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600B68" w:rsidRPr="00600B68" w14:paraId="08EBC5E3" w14:textId="77777777" w:rsidTr="00B30CB5">
        <w:trPr>
          <w:trHeight w:val="375"/>
        </w:trPr>
        <w:tc>
          <w:tcPr>
            <w:tcW w:w="0" w:type="auto"/>
            <w:gridSpan w:val="3"/>
            <w:vAlign w:val="center"/>
            <w:hideMark/>
          </w:tcPr>
          <w:p w14:paraId="1392FC75" w14:textId="77777777" w:rsidR="00AB4574" w:rsidRPr="00600B68" w:rsidRDefault="00AB4574" w:rsidP="00B30CB5">
            <w:pPr>
              <w:ind w:firstLine="300"/>
              <w:jc w:val="center"/>
              <w:rPr>
                <w:rFonts w:eastAsia="Times New Roman"/>
                <w:b/>
                <w:bCs/>
              </w:rPr>
            </w:pPr>
            <w:r w:rsidRPr="00600B68">
              <w:rPr>
                <w:rFonts w:eastAsia="Times New Roman"/>
                <w:b/>
                <w:bCs/>
              </w:rPr>
              <w:t>V. Tiesību akta projekta atbilstība Latvijas Republikas starptautiskajām saistībām</w:t>
            </w:r>
          </w:p>
        </w:tc>
      </w:tr>
      <w:tr w:rsidR="00600B68" w:rsidRPr="00600B68" w14:paraId="11910149" w14:textId="77777777" w:rsidTr="00B30CB5">
        <w:tc>
          <w:tcPr>
            <w:tcW w:w="402" w:type="pct"/>
            <w:hideMark/>
          </w:tcPr>
          <w:p w14:paraId="58133D7A" w14:textId="77777777" w:rsidR="00AB4574" w:rsidRPr="00600B68" w:rsidRDefault="00AB4574" w:rsidP="00B30CB5">
            <w:pPr>
              <w:rPr>
                <w:rFonts w:eastAsia="Times New Roman"/>
              </w:rPr>
            </w:pPr>
            <w:r w:rsidRPr="00600B68">
              <w:rPr>
                <w:rFonts w:eastAsia="Times New Roman"/>
              </w:rPr>
              <w:t>1.</w:t>
            </w:r>
          </w:p>
        </w:tc>
        <w:tc>
          <w:tcPr>
            <w:tcW w:w="1082" w:type="pct"/>
            <w:hideMark/>
          </w:tcPr>
          <w:p w14:paraId="752A4B02" w14:textId="77777777" w:rsidR="00AB4574" w:rsidRPr="00600B68" w:rsidRDefault="00AB4574" w:rsidP="00B30CB5">
            <w:pPr>
              <w:jc w:val="both"/>
              <w:rPr>
                <w:rFonts w:eastAsia="Times New Roman"/>
              </w:rPr>
            </w:pPr>
            <w:r w:rsidRPr="00600B68">
              <w:rPr>
                <w:rFonts w:eastAsia="Times New Roman"/>
              </w:rPr>
              <w:t>Saistības pret Eiropas Savienību</w:t>
            </w:r>
          </w:p>
        </w:tc>
        <w:tc>
          <w:tcPr>
            <w:tcW w:w="3515" w:type="pct"/>
            <w:hideMark/>
          </w:tcPr>
          <w:p w14:paraId="728C75D2" w14:textId="76842A51" w:rsidR="00AB4574" w:rsidRPr="00600B68" w:rsidRDefault="001F48EC" w:rsidP="001F48EC">
            <w:pPr>
              <w:spacing w:before="10"/>
              <w:ind w:right="113"/>
              <w:jc w:val="both"/>
              <w:rPr>
                <w:rFonts w:eastAsia="Times New Roman"/>
              </w:rPr>
            </w:pPr>
            <w:r w:rsidRPr="001F48EC">
              <w:rPr>
                <w:rFonts w:eastAsia="Times New Roman"/>
              </w:rPr>
              <w:t>Komisijas 2014. gada 3. marta Deleģētā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138/5) (turpmāk – Komisijas regula Nr. 480/2014).</w:t>
            </w:r>
          </w:p>
        </w:tc>
      </w:tr>
      <w:tr w:rsidR="00600B68" w:rsidRPr="00600B68" w14:paraId="3F759626" w14:textId="77777777" w:rsidTr="00B30CB5">
        <w:tc>
          <w:tcPr>
            <w:tcW w:w="402" w:type="pct"/>
            <w:hideMark/>
          </w:tcPr>
          <w:p w14:paraId="02EB1B13" w14:textId="77777777" w:rsidR="00AB4574" w:rsidRPr="00600B68" w:rsidRDefault="00AB4574" w:rsidP="00B30CB5">
            <w:pPr>
              <w:rPr>
                <w:rFonts w:eastAsia="Times New Roman"/>
              </w:rPr>
            </w:pPr>
            <w:r w:rsidRPr="00600B68">
              <w:rPr>
                <w:rFonts w:eastAsia="Times New Roman"/>
              </w:rPr>
              <w:t>2.</w:t>
            </w:r>
          </w:p>
        </w:tc>
        <w:tc>
          <w:tcPr>
            <w:tcW w:w="1082" w:type="pct"/>
            <w:hideMark/>
          </w:tcPr>
          <w:p w14:paraId="107A5B4E" w14:textId="77777777" w:rsidR="00AB4574" w:rsidRPr="00600B68" w:rsidRDefault="00AB4574" w:rsidP="00B30CB5">
            <w:pPr>
              <w:jc w:val="both"/>
              <w:rPr>
                <w:rFonts w:eastAsia="Times New Roman"/>
              </w:rPr>
            </w:pPr>
            <w:r w:rsidRPr="00600B68">
              <w:rPr>
                <w:rFonts w:eastAsia="Times New Roman"/>
              </w:rPr>
              <w:t>Citas starptautiskās saistības</w:t>
            </w:r>
          </w:p>
        </w:tc>
        <w:tc>
          <w:tcPr>
            <w:tcW w:w="3515" w:type="pct"/>
            <w:hideMark/>
          </w:tcPr>
          <w:p w14:paraId="410D8A0B"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F374AD8" w14:textId="77777777" w:rsidTr="00B30CB5">
        <w:tc>
          <w:tcPr>
            <w:tcW w:w="402" w:type="pct"/>
            <w:hideMark/>
          </w:tcPr>
          <w:p w14:paraId="1D0DF497" w14:textId="77777777" w:rsidR="00AB4574" w:rsidRPr="00600B68" w:rsidRDefault="00AB4574" w:rsidP="00B30CB5">
            <w:pPr>
              <w:rPr>
                <w:rFonts w:eastAsia="Times New Roman"/>
              </w:rPr>
            </w:pPr>
            <w:r w:rsidRPr="00600B68">
              <w:rPr>
                <w:rFonts w:eastAsia="Times New Roman"/>
              </w:rPr>
              <w:t>3.</w:t>
            </w:r>
          </w:p>
        </w:tc>
        <w:tc>
          <w:tcPr>
            <w:tcW w:w="1082" w:type="pct"/>
            <w:hideMark/>
          </w:tcPr>
          <w:p w14:paraId="3B6D14F4" w14:textId="77777777" w:rsidR="00AB4574" w:rsidRPr="00600B68" w:rsidRDefault="00AB4574" w:rsidP="00B30CB5">
            <w:pPr>
              <w:jc w:val="both"/>
              <w:rPr>
                <w:rFonts w:eastAsia="Times New Roman"/>
              </w:rPr>
            </w:pPr>
            <w:r w:rsidRPr="00600B68">
              <w:rPr>
                <w:rFonts w:eastAsia="Times New Roman"/>
              </w:rPr>
              <w:t>Cita informācija</w:t>
            </w:r>
          </w:p>
        </w:tc>
        <w:tc>
          <w:tcPr>
            <w:tcW w:w="3515" w:type="pct"/>
            <w:hideMark/>
          </w:tcPr>
          <w:p w14:paraId="62C9B525" w14:textId="0122DAB3" w:rsidR="00AB4574" w:rsidRPr="00600B68" w:rsidRDefault="00D435E6" w:rsidP="00B30CB5">
            <w:r w:rsidRPr="0026041E">
              <w:rPr>
                <w:rFonts w:eastAsia="Times New Roman"/>
              </w:rPr>
              <w:t xml:space="preserve">Ar noteikumu projektu tiek ieviesti </w:t>
            </w:r>
            <w:proofErr w:type="spellStart"/>
            <w:r w:rsidRPr="0026041E">
              <w:rPr>
                <w:rFonts w:eastAsiaTheme="minorEastAsia"/>
                <w:bCs/>
                <w:i/>
                <w:lang w:val="en-US"/>
              </w:rPr>
              <w:t>Komisijas</w:t>
            </w:r>
            <w:proofErr w:type="spellEnd"/>
            <w:r w:rsidRPr="0026041E">
              <w:rPr>
                <w:rFonts w:eastAsiaTheme="minorEastAsia"/>
                <w:bCs/>
                <w:i/>
                <w:lang w:val="en-US"/>
              </w:rPr>
              <w:t xml:space="preserve"> </w:t>
            </w:r>
            <w:proofErr w:type="spellStart"/>
            <w:r w:rsidRPr="0026041E">
              <w:rPr>
                <w:rFonts w:eastAsiaTheme="minorEastAsia"/>
                <w:bCs/>
                <w:i/>
                <w:lang w:val="en-US"/>
              </w:rPr>
              <w:t>paziņojums</w:t>
            </w:r>
            <w:proofErr w:type="spellEnd"/>
            <w:r w:rsidRPr="0026041E">
              <w:rPr>
                <w:rFonts w:eastAsiaTheme="minorEastAsia"/>
                <w:bCs/>
                <w:i/>
                <w:lang w:val="en-US"/>
              </w:rPr>
              <w:t xml:space="preserve"> par </w:t>
            </w:r>
            <w:proofErr w:type="spellStart"/>
            <w:r w:rsidRPr="0026041E">
              <w:rPr>
                <w:rFonts w:eastAsiaTheme="minorEastAsia"/>
                <w:bCs/>
                <w:i/>
                <w:lang w:val="en-US"/>
              </w:rPr>
              <w:t>Līguma</w:t>
            </w:r>
            <w:proofErr w:type="spellEnd"/>
            <w:r w:rsidRPr="0026041E">
              <w:rPr>
                <w:rFonts w:eastAsiaTheme="minorEastAsia"/>
                <w:bCs/>
                <w:i/>
                <w:lang w:val="en-US"/>
              </w:rPr>
              <w:t xml:space="preserve"> par Eiropas </w:t>
            </w:r>
            <w:proofErr w:type="spellStart"/>
            <w:r w:rsidRPr="0026041E">
              <w:rPr>
                <w:rFonts w:eastAsiaTheme="minorEastAsia"/>
                <w:bCs/>
                <w:i/>
                <w:lang w:val="en-US"/>
              </w:rPr>
              <w:t>Savienības</w:t>
            </w:r>
            <w:proofErr w:type="spellEnd"/>
            <w:r w:rsidRPr="0026041E">
              <w:rPr>
                <w:rFonts w:eastAsiaTheme="minorEastAsia"/>
                <w:bCs/>
                <w:i/>
                <w:lang w:val="en-US"/>
              </w:rPr>
              <w:t xml:space="preserve"> </w:t>
            </w:r>
            <w:proofErr w:type="spellStart"/>
            <w:r w:rsidRPr="0026041E">
              <w:rPr>
                <w:rFonts w:eastAsiaTheme="minorEastAsia"/>
                <w:bCs/>
                <w:i/>
                <w:lang w:val="en-US"/>
              </w:rPr>
              <w:t>darbību</w:t>
            </w:r>
            <w:proofErr w:type="spellEnd"/>
            <w:r w:rsidRPr="0026041E">
              <w:rPr>
                <w:rFonts w:eastAsiaTheme="minorEastAsia"/>
                <w:bCs/>
                <w:i/>
                <w:lang w:val="en-US"/>
              </w:rPr>
              <w:t xml:space="preserve"> 107. </w:t>
            </w:r>
            <w:proofErr w:type="spellStart"/>
            <w:proofErr w:type="gramStart"/>
            <w:r w:rsidRPr="0026041E">
              <w:rPr>
                <w:rFonts w:eastAsiaTheme="minorEastAsia"/>
                <w:bCs/>
                <w:i/>
                <w:lang w:val="en-US"/>
              </w:rPr>
              <w:t>panta</w:t>
            </w:r>
            <w:proofErr w:type="spellEnd"/>
            <w:proofErr w:type="gramEnd"/>
            <w:r w:rsidRPr="0026041E">
              <w:rPr>
                <w:rFonts w:eastAsiaTheme="minorEastAsia"/>
                <w:bCs/>
                <w:i/>
                <w:lang w:val="en-US"/>
              </w:rPr>
              <w:t xml:space="preserve"> 1. </w:t>
            </w:r>
            <w:proofErr w:type="spellStart"/>
            <w:proofErr w:type="gramStart"/>
            <w:r w:rsidRPr="0026041E">
              <w:rPr>
                <w:rFonts w:eastAsiaTheme="minorEastAsia"/>
                <w:bCs/>
                <w:i/>
                <w:lang w:val="en-US"/>
              </w:rPr>
              <w:t>punktā</w:t>
            </w:r>
            <w:proofErr w:type="spellEnd"/>
            <w:proofErr w:type="gramEnd"/>
            <w:r w:rsidRPr="0026041E">
              <w:rPr>
                <w:rFonts w:eastAsiaTheme="minorEastAsia"/>
                <w:bCs/>
                <w:i/>
                <w:lang w:val="en-US"/>
              </w:rPr>
              <w:t xml:space="preserve"> </w:t>
            </w:r>
            <w:proofErr w:type="spellStart"/>
            <w:r w:rsidRPr="0026041E">
              <w:rPr>
                <w:rFonts w:eastAsiaTheme="minorEastAsia"/>
                <w:bCs/>
                <w:i/>
                <w:lang w:val="en-US"/>
              </w:rPr>
              <w:t>minēto</w:t>
            </w:r>
            <w:proofErr w:type="spellEnd"/>
            <w:r w:rsidRPr="0026041E">
              <w:rPr>
                <w:rFonts w:eastAsiaTheme="minorEastAsia"/>
                <w:bCs/>
                <w:i/>
                <w:lang w:val="en-US"/>
              </w:rPr>
              <w:t xml:space="preserve"> </w:t>
            </w:r>
            <w:proofErr w:type="spellStart"/>
            <w:r w:rsidRPr="0026041E">
              <w:rPr>
                <w:rFonts w:eastAsiaTheme="minorEastAsia"/>
                <w:bCs/>
                <w:i/>
                <w:lang w:val="en-US"/>
              </w:rPr>
              <w:t>valsts</w:t>
            </w:r>
            <w:proofErr w:type="spellEnd"/>
            <w:r w:rsidRPr="0026041E">
              <w:rPr>
                <w:rFonts w:eastAsiaTheme="minorEastAsia"/>
                <w:bCs/>
                <w:i/>
                <w:lang w:val="en-US"/>
              </w:rPr>
              <w:t xml:space="preserve"> </w:t>
            </w:r>
            <w:proofErr w:type="spellStart"/>
            <w:r w:rsidRPr="0026041E">
              <w:rPr>
                <w:rFonts w:eastAsiaTheme="minorEastAsia"/>
                <w:bCs/>
                <w:i/>
                <w:lang w:val="en-US"/>
              </w:rPr>
              <w:t>atbalsta</w:t>
            </w:r>
            <w:proofErr w:type="spellEnd"/>
            <w:r w:rsidRPr="0026041E">
              <w:rPr>
                <w:rFonts w:eastAsiaTheme="minorEastAsia"/>
                <w:bCs/>
                <w:i/>
                <w:lang w:val="en-US"/>
              </w:rPr>
              <w:t xml:space="preserve"> </w:t>
            </w:r>
            <w:proofErr w:type="spellStart"/>
            <w:r w:rsidRPr="0026041E">
              <w:rPr>
                <w:rFonts w:eastAsiaTheme="minorEastAsia"/>
                <w:bCs/>
                <w:i/>
                <w:lang w:val="en-US"/>
              </w:rPr>
              <w:t>jēdzienu</w:t>
            </w:r>
            <w:proofErr w:type="spellEnd"/>
            <w:r w:rsidRPr="0026041E">
              <w:rPr>
                <w:rFonts w:eastAsiaTheme="minorEastAsia"/>
                <w:bCs/>
                <w:i/>
                <w:lang w:val="en-US"/>
              </w:rPr>
              <w:t xml:space="preserve"> </w:t>
            </w:r>
            <w:r w:rsidRPr="0026041E">
              <w:rPr>
                <w:rFonts w:eastAsiaTheme="minorEastAsia"/>
              </w:rPr>
              <w:t>(Eiropas Savienības Oficiālais Vēstnesis, 2016. gada 19. jūlijs, Nr. C 262/1)</w:t>
            </w:r>
            <w:r>
              <w:rPr>
                <w:rFonts w:eastAsiaTheme="minorEastAsia"/>
              </w:rPr>
              <w:t xml:space="preserve"> noteikumi.</w:t>
            </w:r>
          </w:p>
        </w:tc>
      </w:tr>
    </w:tbl>
    <w:p w14:paraId="373F2AB8" w14:textId="77777777" w:rsidR="00AB4574" w:rsidRPr="00600B68" w:rsidRDefault="00AB4574" w:rsidP="00AB4574">
      <w:pPr>
        <w:rPr>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600B68" w:rsidRPr="00600B68" w14:paraId="4EFFDDB2" w14:textId="77777777" w:rsidTr="00B30CB5">
        <w:tc>
          <w:tcPr>
            <w:tcW w:w="9217" w:type="dxa"/>
            <w:gridSpan w:val="4"/>
            <w:vAlign w:val="center"/>
            <w:hideMark/>
          </w:tcPr>
          <w:p w14:paraId="0D569E34" w14:textId="77777777" w:rsidR="00AB4574" w:rsidRPr="00600B68" w:rsidRDefault="00AB4574" w:rsidP="00B30CB5">
            <w:pPr>
              <w:jc w:val="center"/>
              <w:rPr>
                <w:rFonts w:eastAsia="Times New Roman"/>
                <w:b/>
                <w:bCs/>
              </w:rPr>
            </w:pPr>
            <w:r w:rsidRPr="00600B68">
              <w:rPr>
                <w:rFonts w:eastAsia="Times New Roman"/>
                <w:b/>
                <w:bCs/>
              </w:rPr>
              <w:t>1.tabula</w:t>
            </w:r>
            <w:r w:rsidRPr="00600B68">
              <w:rPr>
                <w:rFonts w:eastAsia="Times New Roman"/>
                <w:b/>
                <w:bCs/>
              </w:rPr>
              <w:br/>
              <w:t>Tiesību akta projekta atbilstība ES tiesību aktiem</w:t>
            </w:r>
          </w:p>
        </w:tc>
      </w:tr>
      <w:tr w:rsidR="00600B68" w:rsidRPr="00600B68" w14:paraId="47883F64" w14:textId="77777777" w:rsidTr="00B30CB5">
        <w:tc>
          <w:tcPr>
            <w:tcW w:w="2755" w:type="dxa"/>
            <w:vAlign w:val="center"/>
            <w:hideMark/>
          </w:tcPr>
          <w:p w14:paraId="48E8E754" w14:textId="77777777" w:rsidR="00AB4574" w:rsidRPr="00600B68" w:rsidRDefault="00AB4574" w:rsidP="00B30CB5">
            <w:pPr>
              <w:jc w:val="both"/>
              <w:rPr>
                <w:rFonts w:eastAsia="Times New Roman"/>
              </w:rPr>
            </w:pPr>
            <w:r w:rsidRPr="00600B68">
              <w:rPr>
                <w:rFonts w:eastAsia="Times New Roman"/>
              </w:rPr>
              <w:t>Attiecīgā ES tiesību akta datums, numurs un nosaukums</w:t>
            </w:r>
          </w:p>
        </w:tc>
        <w:tc>
          <w:tcPr>
            <w:tcW w:w="6462" w:type="dxa"/>
            <w:gridSpan w:val="3"/>
            <w:vAlign w:val="center"/>
            <w:hideMark/>
          </w:tcPr>
          <w:p w14:paraId="29FF7069" w14:textId="77777777" w:rsidR="00AB4574" w:rsidRPr="00600B68" w:rsidRDefault="00AB4574" w:rsidP="00B30CB5">
            <w:pPr>
              <w:spacing w:before="10"/>
              <w:ind w:right="113"/>
              <w:jc w:val="both"/>
            </w:pPr>
            <w:r w:rsidRPr="00600B68">
              <w:rPr>
                <w:rFonts w:eastAsia="Times New Roman"/>
              </w:rPr>
              <w:t>Komisijas regula Nr. 651/2014</w:t>
            </w:r>
          </w:p>
        </w:tc>
      </w:tr>
      <w:tr w:rsidR="00600B68" w:rsidRPr="00600B68" w14:paraId="540ACF89" w14:textId="77777777" w:rsidTr="00B30CB5">
        <w:tc>
          <w:tcPr>
            <w:tcW w:w="2755" w:type="dxa"/>
            <w:vAlign w:val="center"/>
            <w:hideMark/>
          </w:tcPr>
          <w:p w14:paraId="50F4B199" w14:textId="77777777" w:rsidR="00AB4574" w:rsidRPr="00600B68" w:rsidRDefault="00AB4574" w:rsidP="00B30CB5">
            <w:pPr>
              <w:jc w:val="center"/>
              <w:rPr>
                <w:rFonts w:eastAsia="Times New Roman"/>
              </w:rPr>
            </w:pPr>
            <w:r w:rsidRPr="00600B68">
              <w:rPr>
                <w:rFonts w:eastAsia="Times New Roman"/>
              </w:rPr>
              <w:t>A</w:t>
            </w:r>
          </w:p>
        </w:tc>
        <w:tc>
          <w:tcPr>
            <w:tcW w:w="2126" w:type="dxa"/>
            <w:vAlign w:val="center"/>
            <w:hideMark/>
          </w:tcPr>
          <w:p w14:paraId="564E255B" w14:textId="77777777" w:rsidR="00AB4574" w:rsidRPr="00600B68" w:rsidRDefault="00AB4574" w:rsidP="00B30CB5">
            <w:pPr>
              <w:jc w:val="center"/>
              <w:rPr>
                <w:rFonts w:eastAsia="Times New Roman"/>
              </w:rPr>
            </w:pPr>
            <w:r w:rsidRPr="00600B68">
              <w:rPr>
                <w:rFonts w:eastAsia="Times New Roman"/>
              </w:rPr>
              <w:t>B</w:t>
            </w:r>
          </w:p>
        </w:tc>
        <w:tc>
          <w:tcPr>
            <w:tcW w:w="2020" w:type="dxa"/>
            <w:vAlign w:val="center"/>
            <w:hideMark/>
          </w:tcPr>
          <w:p w14:paraId="0EFBE7AF" w14:textId="77777777" w:rsidR="00AB4574" w:rsidRPr="00600B68" w:rsidRDefault="00AB4574" w:rsidP="00B30CB5">
            <w:pPr>
              <w:jc w:val="center"/>
              <w:rPr>
                <w:rFonts w:eastAsia="Times New Roman"/>
              </w:rPr>
            </w:pPr>
            <w:r w:rsidRPr="00600B68">
              <w:rPr>
                <w:rFonts w:eastAsia="Times New Roman"/>
              </w:rPr>
              <w:t>C</w:t>
            </w:r>
          </w:p>
        </w:tc>
        <w:tc>
          <w:tcPr>
            <w:tcW w:w="2316" w:type="dxa"/>
            <w:vAlign w:val="center"/>
            <w:hideMark/>
          </w:tcPr>
          <w:p w14:paraId="70F3CCF5" w14:textId="77777777" w:rsidR="00AB4574" w:rsidRPr="00600B68" w:rsidRDefault="00AB4574" w:rsidP="00B30CB5">
            <w:pPr>
              <w:jc w:val="center"/>
              <w:rPr>
                <w:rFonts w:eastAsia="Times New Roman"/>
              </w:rPr>
            </w:pPr>
            <w:r w:rsidRPr="00600B68">
              <w:rPr>
                <w:rFonts w:eastAsia="Times New Roman"/>
              </w:rPr>
              <w:t>D</w:t>
            </w:r>
          </w:p>
        </w:tc>
      </w:tr>
      <w:tr w:rsidR="00600B68" w:rsidRPr="00600B68" w14:paraId="407D95DB" w14:textId="77777777" w:rsidTr="00B30CB5">
        <w:tc>
          <w:tcPr>
            <w:tcW w:w="2755" w:type="dxa"/>
            <w:hideMark/>
          </w:tcPr>
          <w:p w14:paraId="3DC8906A" w14:textId="77777777" w:rsidR="00AB4574" w:rsidRPr="00600B68" w:rsidRDefault="00AB4574" w:rsidP="00B30CB5">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2126" w:type="dxa"/>
            <w:hideMark/>
          </w:tcPr>
          <w:p w14:paraId="5258FD96" w14:textId="77777777" w:rsidR="00AB4574" w:rsidRPr="00600B68" w:rsidRDefault="00AB4574" w:rsidP="00B30CB5">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3B053D7B" w14:textId="77777777" w:rsidR="00AB4574" w:rsidRPr="00600B68" w:rsidRDefault="00AB4574" w:rsidP="00B30CB5">
            <w:pPr>
              <w:pStyle w:val="naiskr"/>
              <w:spacing w:before="0" w:after="0"/>
              <w:jc w:val="both"/>
              <w:rPr>
                <w:lang w:eastAsia="en-US"/>
              </w:rPr>
            </w:pPr>
            <w:r w:rsidRPr="00600B68">
              <w:rPr>
                <w:lang w:eastAsia="en-US"/>
              </w:rPr>
              <w:t>Informācija par to, vai šīs tabulas A ailē minētās ES tiesību akta vienības tiek pārņemtas vai ieviestas pilnībā vai daļēji.</w:t>
            </w:r>
          </w:p>
          <w:p w14:paraId="5314774B" w14:textId="77777777" w:rsidR="00AB4574" w:rsidRPr="00600B68" w:rsidRDefault="00AB4574" w:rsidP="00B30CB5">
            <w:pPr>
              <w:pStyle w:val="naiskr"/>
              <w:spacing w:before="0" w:after="0"/>
              <w:jc w:val="both"/>
              <w:rPr>
                <w:lang w:eastAsia="en-US"/>
              </w:rPr>
            </w:pPr>
            <w:r w:rsidRPr="00600B68">
              <w:rPr>
                <w:lang w:eastAsia="en-US"/>
              </w:rPr>
              <w:t xml:space="preserve">Ja attiecīgā ES tiesību akta vienība tiek pārņemta vai ieviesta daļēji, – </w:t>
            </w:r>
            <w:r w:rsidRPr="00600B68">
              <w:rPr>
                <w:lang w:eastAsia="en-US"/>
              </w:rPr>
              <w:lastRenderedPageBreak/>
              <w:t>sniedz attiecīgu skaidrojumu, kā arī precīzi norāda, kad un kādā veidā ES tiesību akta vienība tiks pārņemta vai ieviesta pilnībā.</w:t>
            </w:r>
          </w:p>
          <w:p w14:paraId="53314965" w14:textId="77777777" w:rsidR="00AB4574" w:rsidRPr="00600B68" w:rsidRDefault="00AB4574" w:rsidP="00B30CB5">
            <w:pPr>
              <w:pStyle w:val="naiskr"/>
              <w:spacing w:before="0" w:after="0"/>
              <w:jc w:val="both"/>
              <w:rPr>
                <w:lang w:eastAsia="en-US"/>
              </w:rPr>
            </w:pPr>
            <w:r w:rsidRPr="00600B68">
              <w:rPr>
                <w:lang w:eastAsia="en-US"/>
              </w:rPr>
              <w:t>Norāda institūciju, kas ir atbildīga par šo saistību izpildi pilnībā</w:t>
            </w:r>
          </w:p>
        </w:tc>
        <w:tc>
          <w:tcPr>
            <w:tcW w:w="2316" w:type="dxa"/>
            <w:hideMark/>
          </w:tcPr>
          <w:p w14:paraId="24D976AB" w14:textId="77777777" w:rsidR="00AB4574" w:rsidRPr="00600B68" w:rsidRDefault="00AB4574" w:rsidP="00B30CB5">
            <w:pPr>
              <w:pStyle w:val="naiskr"/>
              <w:spacing w:before="0" w:after="0"/>
              <w:jc w:val="both"/>
              <w:rPr>
                <w:lang w:eastAsia="en-US"/>
              </w:rPr>
            </w:pPr>
            <w:r w:rsidRPr="00600B68">
              <w:rPr>
                <w:lang w:eastAsia="en-US"/>
              </w:rPr>
              <w:lastRenderedPageBreak/>
              <w:t>Informācija par to, vai šīs tabulas B ailē minētās projekta vienības paredz stingrākas prasības nekā šīs tabulas A ailē minētās ES tiesību akta vienības.</w:t>
            </w:r>
          </w:p>
          <w:p w14:paraId="45AA42D5" w14:textId="77777777" w:rsidR="00AB4574" w:rsidRPr="00600B68" w:rsidRDefault="00AB4574" w:rsidP="00B30CB5">
            <w:pPr>
              <w:pStyle w:val="naiskr"/>
              <w:spacing w:before="0" w:after="0"/>
              <w:jc w:val="both"/>
              <w:rPr>
                <w:lang w:eastAsia="en-US"/>
              </w:rPr>
            </w:pPr>
            <w:r w:rsidRPr="00600B68">
              <w:rPr>
                <w:lang w:eastAsia="en-US"/>
              </w:rPr>
              <w:t xml:space="preserve">Ja projekts satur stingrākas prasības nekā attiecīgais ES </w:t>
            </w:r>
            <w:r w:rsidRPr="00600B68">
              <w:rPr>
                <w:lang w:eastAsia="en-US"/>
              </w:rPr>
              <w:lastRenderedPageBreak/>
              <w:t>tiesību akts, – norāda pamatojumu un samērīgumu.</w:t>
            </w:r>
          </w:p>
          <w:p w14:paraId="2FD2AE83" w14:textId="77777777" w:rsidR="00AB4574" w:rsidRPr="00600B68" w:rsidRDefault="00AB4574" w:rsidP="00B30CB5">
            <w:pPr>
              <w:pStyle w:val="naiskr"/>
              <w:spacing w:before="0" w:after="0"/>
              <w:jc w:val="both"/>
              <w:rPr>
                <w:lang w:eastAsia="en-US"/>
              </w:rPr>
            </w:pPr>
            <w:r w:rsidRPr="00600B68">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1F48EC" w:rsidRPr="00600B68" w14:paraId="53C9D258" w14:textId="77777777" w:rsidTr="0000522A">
        <w:tc>
          <w:tcPr>
            <w:tcW w:w="2755" w:type="dxa"/>
          </w:tcPr>
          <w:p w14:paraId="2CEACA3A" w14:textId="766C7819" w:rsidR="001F48EC" w:rsidRPr="00600B68" w:rsidRDefault="001F48EC" w:rsidP="001F48EC">
            <w:pPr>
              <w:spacing w:before="10"/>
              <w:ind w:left="113" w:right="113"/>
              <w:jc w:val="both"/>
              <w:rPr>
                <w:rFonts w:eastAsia="Times New Roman"/>
              </w:rPr>
            </w:pPr>
            <w:r w:rsidRPr="00E16F8E">
              <w:lastRenderedPageBreak/>
              <w:t>Komisijas regulas Nr. 480/2014) 1. pielikums</w:t>
            </w:r>
          </w:p>
        </w:tc>
        <w:tc>
          <w:tcPr>
            <w:tcW w:w="2126" w:type="dxa"/>
          </w:tcPr>
          <w:p w14:paraId="465CDA7A" w14:textId="0AA8F3AE" w:rsidR="001F48EC" w:rsidRPr="00600B68" w:rsidRDefault="001F48EC" w:rsidP="001F48EC">
            <w:pPr>
              <w:spacing w:before="10"/>
              <w:ind w:left="113" w:right="113"/>
              <w:jc w:val="both"/>
              <w:rPr>
                <w:rFonts w:eastAsia="Times New Roman"/>
              </w:rPr>
            </w:pPr>
            <w:r w:rsidRPr="00E16F8E">
              <w:t>Noteikumu projekta 1. punkts</w:t>
            </w:r>
            <w:r w:rsidR="0026041E">
              <w:t xml:space="preserve"> (MK noteikumu Nr. 265 6.8. apakšpunkts).</w:t>
            </w:r>
          </w:p>
        </w:tc>
        <w:tc>
          <w:tcPr>
            <w:tcW w:w="2020" w:type="dxa"/>
          </w:tcPr>
          <w:p w14:paraId="73365821" w14:textId="22007B89" w:rsidR="001F48EC" w:rsidRPr="00600B68" w:rsidRDefault="001F48EC" w:rsidP="001F48EC">
            <w:pPr>
              <w:spacing w:before="10"/>
              <w:ind w:left="113" w:right="113"/>
              <w:jc w:val="both"/>
              <w:rPr>
                <w:rFonts w:eastAsia="Times New Roman"/>
              </w:rPr>
            </w:pPr>
            <w:r w:rsidRPr="00E16F8E">
              <w:t>ieviesta pilnībā</w:t>
            </w:r>
          </w:p>
        </w:tc>
        <w:tc>
          <w:tcPr>
            <w:tcW w:w="2316" w:type="dxa"/>
          </w:tcPr>
          <w:p w14:paraId="06DFD3B7" w14:textId="37665D04" w:rsidR="001F48EC" w:rsidRPr="00600B68" w:rsidRDefault="001F48EC" w:rsidP="001F48EC">
            <w:pPr>
              <w:spacing w:before="10"/>
              <w:ind w:left="113" w:right="113"/>
              <w:jc w:val="both"/>
              <w:rPr>
                <w:rFonts w:eastAsia="Times New Roman"/>
              </w:rPr>
            </w:pPr>
            <w:r w:rsidRPr="00E16F8E">
              <w:t>neparedz stingrākas prasības</w:t>
            </w:r>
          </w:p>
        </w:tc>
      </w:tr>
      <w:tr w:rsidR="001F48EC" w:rsidRPr="00600B68" w14:paraId="0B3A97D1" w14:textId="77777777" w:rsidTr="0000522A">
        <w:tc>
          <w:tcPr>
            <w:tcW w:w="2755" w:type="dxa"/>
          </w:tcPr>
          <w:p w14:paraId="00976306" w14:textId="6D0B242A" w:rsidR="001F48EC" w:rsidRPr="00600B68" w:rsidRDefault="001F48EC" w:rsidP="001F48EC">
            <w:pPr>
              <w:spacing w:before="10"/>
              <w:ind w:left="113" w:right="113"/>
              <w:jc w:val="both"/>
              <w:rPr>
                <w:rFonts w:eastAsia="Times New Roman"/>
              </w:rPr>
            </w:pPr>
            <w:r w:rsidRPr="00E16F8E">
              <w:t>Komisijas regulas Nr. 480/2014) 1. pielikums</w:t>
            </w:r>
          </w:p>
        </w:tc>
        <w:tc>
          <w:tcPr>
            <w:tcW w:w="2126" w:type="dxa"/>
          </w:tcPr>
          <w:p w14:paraId="4ABE839E" w14:textId="0E991F86" w:rsidR="001F48EC" w:rsidRPr="00600B68" w:rsidRDefault="001F48EC" w:rsidP="0026041E">
            <w:pPr>
              <w:spacing w:before="10"/>
              <w:ind w:left="113" w:right="113"/>
              <w:jc w:val="both"/>
              <w:rPr>
                <w:rFonts w:eastAsia="Times New Roman"/>
              </w:rPr>
            </w:pPr>
            <w:r w:rsidRPr="00E16F8E">
              <w:t>Noteikumu projekta 2. punkts</w:t>
            </w:r>
            <w:r w:rsidR="0026041E">
              <w:t xml:space="preserve"> (MK noteikumu Nr. 265 7.14. apakšpunkts).</w:t>
            </w:r>
          </w:p>
        </w:tc>
        <w:tc>
          <w:tcPr>
            <w:tcW w:w="2020" w:type="dxa"/>
          </w:tcPr>
          <w:p w14:paraId="09CC2536" w14:textId="7D8E11F7" w:rsidR="001F48EC" w:rsidRPr="00600B68" w:rsidRDefault="001F48EC" w:rsidP="001F48EC">
            <w:pPr>
              <w:spacing w:before="10"/>
              <w:ind w:left="113" w:right="113"/>
              <w:jc w:val="both"/>
              <w:rPr>
                <w:rFonts w:eastAsia="Times New Roman"/>
              </w:rPr>
            </w:pPr>
            <w:r w:rsidRPr="00E16F8E">
              <w:t>ieviesta pilnībā</w:t>
            </w:r>
          </w:p>
        </w:tc>
        <w:tc>
          <w:tcPr>
            <w:tcW w:w="2316" w:type="dxa"/>
          </w:tcPr>
          <w:p w14:paraId="77BC3B44" w14:textId="4E541FC6" w:rsidR="001F48EC" w:rsidRPr="00600B68" w:rsidRDefault="001F48EC" w:rsidP="001F48EC">
            <w:pPr>
              <w:spacing w:before="10"/>
              <w:ind w:left="113" w:right="113"/>
              <w:jc w:val="both"/>
              <w:rPr>
                <w:rFonts w:eastAsia="Times New Roman"/>
              </w:rPr>
            </w:pPr>
            <w:r w:rsidRPr="00E16F8E">
              <w:t>neparedz stingrākas prasības</w:t>
            </w:r>
          </w:p>
        </w:tc>
      </w:tr>
      <w:tr w:rsidR="00600B68" w:rsidRPr="00600B68" w14:paraId="118C2F20" w14:textId="77777777" w:rsidTr="00B30CB5">
        <w:trPr>
          <w:trHeight w:val="805"/>
        </w:trPr>
        <w:tc>
          <w:tcPr>
            <w:tcW w:w="2755" w:type="dxa"/>
            <w:vAlign w:val="center"/>
            <w:hideMark/>
          </w:tcPr>
          <w:p w14:paraId="61DEE6FE" w14:textId="77777777" w:rsidR="00AB4574" w:rsidRPr="00600B68" w:rsidRDefault="00AB4574" w:rsidP="00B30CB5">
            <w:pPr>
              <w:ind w:left="174" w:right="149"/>
              <w:jc w:val="both"/>
              <w:rPr>
                <w:rFonts w:eastAsia="Times New Roman"/>
              </w:rPr>
            </w:pPr>
            <w:r w:rsidRPr="00600B68">
              <w:rPr>
                <w:rFonts w:eastAsia="Times New Roman"/>
              </w:rPr>
              <w:t>Kā ir izmantota ES tiesību aktā paredzētā rīcības brīvība dalībvalstij pārņemt vai ieviest noteiktas ES tiesību akta normas.</w:t>
            </w:r>
          </w:p>
        </w:tc>
        <w:tc>
          <w:tcPr>
            <w:tcW w:w="6462" w:type="dxa"/>
            <w:gridSpan w:val="3"/>
            <w:hideMark/>
          </w:tcPr>
          <w:p w14:paraId="3F5095B6"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35A65821" w14:textId="77777777" w:rsidTr="00B30CB5">
        <w:trPr>
          <w:trHeight w:val="2934"/>
        </w:trPr>
        <w:tc>
          <w:tcPr>
            <w:tcW w:w="2755" w:type="dxa"/>
            <w:vAlign w:val="center"/>
            <w:hideMark/>
          </w:tcPr>
          <w:p w14:paraId="49F8A774" w14:textId="77777777" w:rsidR="00AB4574" w:rsidRPr="00600B68" w:rsidRDefault="00AB4574" w:rsidP="00B30CB5">
            <w:pPr>
              <w:ind w:left="174" w:right="149"/>
              <w:jc w:val="both"/>
              <w:rPr>
                <w:rFonts w:eastAsia="Times New Roman"/>
              </w:rPr>
            </w:pPr>
            <w:r w:rsidRPr="00600B68">
              <w:rPr>
                <w:rFonts w:eastAsia="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633CFC42"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54ACB69" w14:textId="77777777" w:rsidTr="00B30CB5">
        <w:tc>
          <w:tcPr>
            <w:tcW w:w="2755" w:type="dxa"/>
            <w:hideMark/>
          </w:tcPr>
          <w:p w14:paraId="498FAFE5" w14:textId="77777777" w:rsidR="00AB4574" w:rsidRPr="00600B68" w:rsidRDefault="00AB4574" w:rsidP="007A4F23">
            <w:pPr>
              <w:ind w:left="174" w:right="149"/>
              <w:jc w:val="both"/>
              <w:rPr>
                <w:rFonts w:eastAsia="Times New Roman"/>
              </w:rPr>
            </w:pPr>
            <w:r w:rsidRPr="00600B68">
              <w:rPr>
                <w:rFonts w:eastAsia="Times New Roman"/>
              </w:rPr>
              <w:t>Cita informācija</w:t>
            </w:r>
          </w:p>
        </w:tc>
        <w:tc>
          <w:tcPr>
            <w:tcW w:w="6462" w:type="dxa"/>
            <w:gridSpan w:val="3"/>
            <w:hideMark/>
          </w:tcPr>
          <w:p w14:paraId="285BD017" w14:textId="6F7FC42E" w:rsidR="00AB4574" w:rsidRPr="0026041E" w:rsidRDefault="001F48EC" w:rsidP="0026041E">
            <w:pPr>
              <w:jc w:val="both"/>
            </w:pPr>
            <w:r w:rsidRPr="0026041E">
              <w:rPr>
                <w:rFonts w:eastAsia="Times New Roman"/>
              </w:rPr>
              <w:t xml:space="preserve">Ar noteikumu projektu tiek ieviesti </w:t>
            </w:r>
            <w:proofErr w:type="spellStart"/>
            <w:r w:rsidR="0026041E" w:rsidRPr="0026041E">
              <w:rPr>
                <w:rFonts w:eastAsiaTheme="minorEastAsia"/>
                <w:bCs/>
                <w:i/>
                <w:lang w:val="en-US"/>
              </w:rPr>
              <w:t>Komisijas</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paziņojums</w:t>
            </w:r>
            <w:proofErr w:type="spellEnd"/>
            <w:r w:rsidR="0026041E" w:rsidRPr="0026041E">
              <w:rPr>
                <w:rFonts w:eastAsiaTheme="minorEastAsia"/>
                <w:bCs/>
                <w:i/>
                <w:lang w:val="en-US"/>
              </w:rPr>
              <w:t xml:space="preserve"> par </w:t>
            </w:r>
            <w:proofErr w:type="spellStart"/>
            <w:r w:rsidR="0026041E" w:rsidRPr="0026041E">
              <w:rPr>
                <w:rFonts w:eastAsiaTheme="minorEastAsia"/>
                <w:bCs/>
                <w:i/>
                <w:lang w:val="en-US"/>
              </w:rPr>
              <w:t>Līguma</w:t>
            </w:r>
            <w:proofErr w:type="spellEnd"/>
            <w:r w:rsidR="0026041E" w:rsidRPr="0026041E">
              <w:rPr>
                <w:rFonts w:eastAsiaTheme="minorEastAsia"/>
                <w:bCs/>
                <w:i/>
                <w:lang w:val="en-US"/>
              </w:rPr>
              <w:t xml:space="preserve"> par Eiropas </w:t>
            </w:r>
            <w:proofErr w:type="spellStart"/>
            <w:r w:rsidR="0026041E" w:rsidRPr="0026041E">
              <w:rPr>
                <w:rFonts w:eastAsiaTheme="minorEastAsia"/>
                <w:bCs/>
                <w:i/>
                <w:lang w:val="en-US"/>
              </w:rPr>
              <w:t>Savienības</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darbību</w:t>
            </w:r>
            <w:proofErr w:type="spellEnd"/>
            <w:r w:rsidR="0026041E" w:rsidRPr="0026041E">
              <w:rPr>
                <w:rFonts w:eastAsiaTheme="minorEastAsia"/>
                <w:bCs/>
                <w:i/>
                <w:lang w:val="en-US"/>
              </w:rPr>
              <w:t xml:space="preserve"> 107. </w:t>
            </w:r>
            <w:proofErr w:type="spellStart"/>
            <w:proofErr w:type="gramStart"/>
            <w:r w:rsidR="0026041E" w:rsidRPr="0026041E">
              <w:rPr>
                <w:rFonts w:eastAsiaTheme="minorEastAsia"/>
                <w:bCs/>
                <w:i/>
                <w:lang w:val="en-US"/>
              </w:rPr>
              <w:t>panta</w:t>
            </w:r>
            <w:proofErr w:type="spellEnd"/>
            <w:proofErr w:type="gramEnd"/>
            <w:r w:rsidR="0026041E" w:rsidRPr="0026041E">
              <w:rPr>
                <w:rFonts w:eastAsiaTheme="minorEastAsia"/>
                <w:bCs/>
                <w:i/>
                <w:lang w:val="en-US"/>
              </w:rPr>
              <w:t xml:space="preserve"> 1. </w:t>
            </w:r>
            <w:proofErr w:type="spellStart"/>
            <w:proofErr w:type="gramStart"/>
            <w:r w:rsidR="0026041E" w:rsidRPr="0026041E">
              <w:rPr>
                <w:rFonts w:eastAsiaTheme="minorEastAsia"/>
                <w:bCs/>
                <w:i/>
                <w:lang w:val="en-US"/>
              </w:rPr>
              <w:t>punktā</w:t>
            </w:r>
            <w:proofErr w:type="spellEnd"/>
            <w:proofErr w:type="gramEnd"/>
            <w:r w:rsidR="0026041E" w:rsidRPr="0026041E">
              <w:rPr>
                <w:rFonts w:eastAsiaTheme="minorEastAsia"/>
                <w:bCs/>
                <w:i/>
                <w:lang w:val="en-US"/>
              </w:rPr>
              <w:t xml:space="preserve"> </w:t>
            </w:r>
            <w:proofErr w:type="spellStart"/>
            <w:r w:rsidR="0026041E" w:rsidRPr="0026041E">
              <w:rPr>
                <w:rFonts w:eastAsiaTheme="minorEastAsia"/>
                <w:bCs/>
                <w:i/>
                <w:lang w:val="en-US"/>
              </w:rPr>
              <w:t>minēto</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valsts</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atbalsta</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jēdzienu</w:t>
            </w:r>
            <w:proofErr w:type="spellEnd"/>
            <w:r w:rsidR="0026041E" w:rsidRPr="0026041E">
              <w:rPr>
                <w:rFonts w:eastAsiaTheme="minorEastAsia"/>
                <w:bCs/>
                <w:i/>
                <w:lang w:val="en-US"/>
              </w:rPr>
              <w:t xml:space="preserve"> </w:t>
            </w:r>
            <w:r w:rsidR="0026041E" w:rsidRPr="0026041E">
              <w:rPr>
                <w:rFonts w:eastAsiaTheme="minorEastAsia"/>
              </w:rPr>
              <w:t xml:space="preserve">(Eiropas Savienības Oficiālais </w:t>
            </w:r>
            <w:r w:rsidR="0026041E" w:rsidRPr="0026041E">
              <w:rPr>
                <w:rFonts w:eastAsiaTheme="minorEastAsia"/>
              </w:rPr>
              <w:lastRenderedPageBreak/>
              <w:t>Vēstnesis, 2016. gada 19. jūlijs, Nr. C 262/1)</w:t>
            </w:r>
            <w:r w:rsidR="00D435E6">
              <w:rPr>
                <w:rFonts w:eastAsiaTheme="minorEastAsia"/>
              </w:rPr>
              <w:t xml:space="preserve"> noteikumi</w:t>
            </w:r>
            <w:r w:rsidRPr="0026041E">
              <w:rPr>
                <w:rFonts w:eastAsia="Times New Roman"/>
              </w:rPr>
              <w:t xml:space="preserve">, tai skaitā </w:t>
            </w:r>
            <w:r w:rsidR="0026041E">
              <w:rPr>
                <w:rFonts w:eastAsia="Times New Roman"/>
              </w:rPr>
              <w:t>paziņojuma</w:t>
            </w:r>
            <w:r w:rsidRPr="0026041E">
              <w:rPr>
                <w:rFonts w:eastAsia="Times New Roman"/>
              </w:rPr>
              <w:t xml:space="preserve"> 20</w:t>
            </w:r>
            <w:r w:rsidR="0026041E">
              <w:rPr>
                <w:rFonts w:eastAsia="Times New Roman"/>
              </w:rPr>
              <w:t>7</w:t>
            </w:r>
            <w:r w:rsidRPr="0026041E">
              <w:rPr>
                <w:rFonts w:eastAsia="Times New Roman"/>
              </w:rPr>
              <w:t xml:space="preserve">. punktā iekļauto </w:t>
            </w:r>
            <w:r w:rsidRPr="0026041E">
              <w:t>normu pārņemšana.</w:t>
            </w:r>
          </w:p>
        </w:tc>
      </w:tr>
    </w:tbl>
    <w:p w14:paraId="1FE6CD26" w14:textId="77777777" w:rsidR="00AB4574" w:rsidRPr="00600B68"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600B68" w:rsidRPr="00600B68" w14:paraId="1D1294BA" w14:textId="77777777" w:rsidTr="00AB4574">
        <w:trPr>
          <w:trHeight w:val="421"/>
        </w:trPr>
        <w:tc>
          <w:tcPr>
            <w:tcW w:w="5000" w:type="pct"/>
            <w:gridSpan w:val="3"/>
            <w:vAlign w:val="center"/>
          </w:tcPr>
          <w:p w14:paraId="1C6D02D6" w14:textId="77777777" w:rsidR="004A7F10" w:rsidRPr="00600B68" w:rsidRDefault="004A7F10" w:rsidP="006B07D7">
            <w:pPr>
              <w:pStyle w:val="naisnod"/>
              <w:spacing w:before="0" w:beforeAutospacing="0" w:after="0" w:afterAutospacing="0"/>
              <w:ind w:left="57" w:right="57"/>
              <w:jc w:val="center"/>
            </w:pPr>
            <w:r w:rsidRPr="00600B68">
              <w:rPr>
                <w:b/>
              </w:rPr>
              <w:t>VI. Sabiedrības līdzdalība un komunikācijas aktivitātes</w:t>
            </w:r>
          </w:p>
        </w:tc>
      </w:tr>
      <w:tr w:rsidR="00600B68" w:rsidRPr="00600B68" w14:paraId="7EEF2664" w14:textId="77777777" w:rsidTr="009B6065">
        <w:trPr>
          <w:trHeight w:val="553"/>
        </w:trPr>
        <w:tc>
          <w:tcPr>
            <w:tcW w:w="169" w:type="pct"/>
          </w:tcPr>
          <w:p w14:paraId="6CE053E6" w14:textId="77777777" w:rsidR="004A7F10" w:rsidRPr="00600B68" w:rsidRDefault="004A7F10" w:rsidP="006B07D7">
            <w:pPr>
              <w:ind w:left="57" w:right="57"/>
              <w:jc w:val="both"/>
              <w:rPr>
                <w:bCs/>
              </w:rPr>
            </w:pPr>
            <w:r w:rsidRPr="00600B68">
              <w:rPr>
                <w:bCs/>
              </w:rPr>
              <w:t>1.</w:t>
            </w:r>
          </w:p>
        </w:tc>
        <w:tc>
          <w:tcPr>
            <w:tcW w:w="1419" w:type="pct"/>
          </w:tcPr>
          <w:p w14:paraId="74FF7E76"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3412" w:type="pct"/>
          </w:tcPr>
          <w:p w14:paraId="793D4B89" w14:textId="77777777" w:rsidR="001F48EC" w:rsidRPr="001F48EC" w:rsidRDefault="001F48EC" w:rsidP="001F48EC">
            <w:pPr>
              <w:shd w:val="clear" w:color="auto" w:fill="FFFFFF"/>
              <w:ind w:left="94" w:right="57"/>
              <w:jc w:val="both"/>
              <w:rPr>
                <w:rFonts w:eastAsiaTheme="minorHAnsi"/>
                <w:bCs/>
                <w:iCs/>
                <w:lang w:eastAsia="en-US"/>
              </w:rPr>
            </w:pPr>
            <w:bookmarkStart w:id="1" w:name="p61"/>
            <w:bookmarkEnd w:id="1"/>
            <w:r w:rsidRPr="001F48EC">
              <w:rPr>
                <w:rFonts w:eastAsiaTheme="minorHAnsi"/>
                <w:bCs/>
                <w:iCs/>
                <w:lang w:eastAsia="en-US"/>
              </w:rPr>
              <w:t>Izstrādātais noteikumu projekts ir ievietots tīmekļa vietnē www.izm.gov.lv (sadaļā Normatīvie akti / Normatīvo aktu projekti).</w:t>
            </w:r>
          </w:p>
          <w:p w14:paraId="08A361E4" w14:textId="3F87CFD0" w:rsidR="002F1D81" w:rsidRPr="00600B68" w:rsidRDefault="001F48EC" w:rsidP="001F48EC">
            <w:pPr>
              <w:shd w:val="clear" w:color="auto" w:fill="FFFFFF"/>
              <w:ind w:left="94" w:right="57"/>
              <w:jc w:val="both"/>
            </w:pPr>
            <w:r w:rsidRPr="001F48EC">
              <w:rPr>
                <w:rFonts w:eastAsiaTheme="minorHAnsi"/>
                <w:bCs/>
                <w:iCs/>
                <w:lang w:eastAsia="en-US"/>
              </w:rPr>
              <w:t>Finansējuma saņēmējiem un sabiedrībai sniegta informācija par plānotajām izmaiņām.</w:t>
            </w:r>
          </w:p>
        </w:tc>
      </w:tr>
      <w:tr w:rsidR="00600B68" w:rsidRPr="00600B68" w14:paraId="07CF51C6" w14:textId="77777777" w:rsidTr="009B6065">
        <w:trPr>
          <w:trHeight w:val="339"/>
        </w:trPr>
        <w:tc>
          <w:tcPr>
            <w:tcW w:w="169" w:type="pct"/>
          </w:tcPr>
          <w:p w14:paraId="37A0BDDE" w14:textId="77777777" w:rsidR="004A7F10" w:rsidRPr="00600B68" w:rsidRDefault="004A7F10" w:rsidP="006B07D7">
            <w:pPr>
              <w:ind w:left="57" w:right="57"/>
              <w:jc w:val="both"/>
              <w:rPr>
                <w:bCs/>
              </w:rPr>
            </w:pPr>
            <w:r w:rsidRPr="00600B68">
              <w:rPr>
                <w:bCs/>
              </w:rPr>
              <w:t>2.</w:t>
            </w:r>
          </w:p>
        </w:tc>
        <w:tc>
          <w:tcPr>
            <w:tcW w:w="1419" w:type="pct"/>
          </w:tcPr>
          <w:p w14:paraId="2CA0CB16" w14:textId="77777777" w:rsidR="004A7F10" w:rsidRPr="00600B68" w:rsidRDefault="004A7F10" w:rsidP="006B07D7">
            <w:pPr>
              <w:ind w:left="57" w:right="57"/>
            </w:pPr>
            <w:r w:rsidRPr="00600B68">
              <w:t>Sabiedrības līdzdalība projekta izstrādē</w:t>
            </w:r>
          </w:p>
        </w:tc>
        <w:tc>
          <w:tcPr>
            <w:tcW w:w="3412" w:type="pct"/>
          </w:tcPr>
          <w:p w14:paraId="2F9BD1E0" w14:textId="6771D950" w:rsidR="004A7F10" w:rsidRPr="00600B68" w:rsidRDefault="002871D2" w:rsidP="004A2355">
            <w:pPr>
              <w:shd w:val="clear" w:color="auto" w:fill="FFFFFF"/>
              <w:ind w:left="94" w:right="57"/>
              <w:jc w:val="both"/>
              <w:rPr>
                <w:rFonts w:eastAsiaTheme="minorHAnsi"/>
                <w:bCs/>
                <w:lang w:eastAsia="en-US"/>
              </w:rPr>
            </w:pPr>
            <w:bookmarkStart w:id="2" w:name="p62"/>
            <w:bookmarkEnd w:id="2"/>
            <w:r w:rsidRPr="00600B68">
              <w:rPr>
                <w:rFonts w:eastAsiaTheme="minorHAnsi"/>
                <w:bCs/>
                <w:iCs/>
                <w:lang w:eastAsia="en-US"/>
              </w:rPr>
              <w:t xml:space="preserve">Sabiedrības līdzdalība noteikumu projekta izstrādē tiks nodrošināta, ievietojot noteikumu projektu tīmekļa vietnē </w:t>
            </w:r>
            <w:hyperlink r:id="rId8" w:history="1">
              <w:r w:rsidRPr="00600B68">
                <w:rPr>
                  <w:rStyle w:val="Hyperlink"/>
                  <w:rFonts w:eastAsiaTheme="minorHAnsi"/>
                  <w:bCs/>
                  <w:iCs/>
                  <w:color w:val="auto"/>
                  <w:lang w:eastAsia="en-US"/>
                </w:rPr>
                <w:t>www.izm.gov.lv</w:t>
              </w:r>
            </w:hyperlink>
            <w:r w:rsidRPr="00600B68">
              <w:rPr>
                <w:rFonts w:eastAsiaTheme="minorHAnsi"/>
                <w:bCs/>
                <w:iCs/>
                <w:lang w:eastAsia="en-US"/>
              </w:rPr>
              <w:t xml:space="preserve"> un aicinot sabiedrības pārstāvjus rakstiski sniegt viedokli par noteikumu projektu tā izstrādes stadijā – nosūtot elektroniski uz e-past</w:t>
            </w:r>
            <w:r w:rsidR="00A25D9C" w:rsidRPr="00600B68">
              <w:rPr>
                <w:rFonts w:eastAsiaTheme="minorHAnsi"/>
                <w:bCs/>
                <w:iCs/>
                <w:lang w:eastAsia="en-US"/>
              </w:rPr>
              <w:t>a adresi</w:t>
            </w:r>
            <w:r w:rsidRPr="00600B68">
              <w:rPr>
                <w:rFonts w:eastAsiaTheme="minorHAnsi"/>
                <w:bCs/>
                <w:iCs/>
                <w:lang w:eastAsia="en-US"/>
              </w:rPr>
              <w:t xml:space="preserve"> </w:t>
            </w:r>
            <w:hyperlink r:id="rId9" w:history="1">
              <w:r w:rsidRPr="00600B68">
                <w:rPr>
                  <w:rStyle w:val="Hyperlink"/>
                  <w:rFonts w:eastAsiaTheme="minorHAnsi"/>
                  <w:bCs/>
                  <w:iCs/>
                  <w:color w:val="auto"/>
                  <w:lang w:eastAsia="en-US"/>
                </w:rPr>
                <w:t>pasts@izm.gov.lv</w:t>
              </w:r>
            </w:hyperlink>
            <w:r w:rsidRPr="00600B68">
              <w:rPr>
                <w:rFonts w:eastAsiaTheme="minorHAnsi"/>
                <w:bCs/>
                <w:iCs/>
                <w:lang w:eastAsia="en-US"/>
              </w:rPr>
              <w:t xml:space="preserve"> vai </w:t>
            </w:r>
            <w:r w:rsidR="004A2355" w:rsidRPr="00600B68">
              <w:rPr>
                <w:rFonts w:eastAsiaTheme="minorHAnsi"/>
                <w:bCs/>
                <w:iCs/>
                <w:lang w:eastAsia="en-US"/>
              </w:rPr>
              <w:t>esf@izm.gov.lv</w:t>
            </w:r>
            <w:r w:rsidRPr="00600B68">
              <w:rPr>
                <w:rFonts w:eastAsiaTheme="minorHAnsi"/>
                <w:bCs/>
                <w:iCs/>
                <w:lang w:eastAsia="en-US"/>
              </w:rPr>
              <w:t>.</w:t>
            </w:r>
          </w:p>
        </w:tc>
      </w:tr>
      <w:tr w:rsidR="00600B68" w:rsidRPr="00600B68" w14:paraId="7D711ADD" w14:textId="77777777" w:rsidTr="009B6065">
        <w:trPr>
          <w:trHeight w:val="476"/>
        </w:trPr>
        <w:tc>
          <w:tcPr>
            <w:tcW w:w="169" w:type="pct"/>
          </w:tcPr>
          <w:p w14:paraId="3780D2C6" w14:textId="77777777" w:rsidR="004A7F10" w:rsidRPr="00600B68" w:rsidRDefault="004A7F10" w:rsidP="006B07D7">
            <w:pPr>
              <w:ind w:left="57" w:right="57"/>
              <w:jc w:val="both"/>
              <w:rPr>
                <w:bCs/>
              </w:rPr>
            </w:pPr>
            <w:r w:rsidRPr="00600B68">
              <w:rPr>
                <w:bCs/>
              </w:rPr>
              <w:t>3.</w:t>
            </w:r>
          </w:p>
        </w:tc>
        <w:tc>
          <w:tcPr>
            <w:tcW w:w="1419" w:type="pct"/>
          </w:tcPr>
          <w:p w14:paraId="6422D875" w14:textId="77777777" w:rsidR="004A7F10" w:rsidRPr="00600B68" w:rsidRDefault="004A7F10" w:rsidP="006B07D7">
            <w:pPr>
              <w:ind w:left="57" w:right="57"/>
            </w:pPr>
            <w:r w:rsidRPr="00600B68">
              <w:t>Sabiedrības līdzdalības rezultāti</w:t>
            </w:r>
          </w:p>
        </w:tc>
        <w:tc>
          <w:tcPr>
            <w:tcW w:w="3412" w:type="pct"/>
          </w:tcPr>
          <w:p w14:paraId="5FF7F62E" w14:textId="55628B99" w:rsidR="004A7F10" w:rsidRPr="00600B68" w:rsidRDefault="006B3106" w:rsidP="006B07D7">
            <w:pPr>
              <w:shd w:val="clear" w:color="auto" w:fill="FFFFFF"/>
              <w:tabs>
                <w:tab w:val="left" w:pos="878"/>
              </w:tabs>
              <w:ind w:left="94" w:right="57"/>
              <w:jc w:val="both"/>
              <w:rPr>
                <w:iCs/>
              </w:rPr>
            </w:pPr>
            <w:r w:rsidRPr="00600B68">
              <w:rPr>
                <w:iCs/>
              </w:rPr>
              <w:t>Saņemtie iebildumi un priekšlikumi tiks ņemti vērtā noteikumu projekta izstrādē</w:t>
            </w:r>
            <w:r w:rsidR="002871D2" w:rsidRPr="00600B68">
              <w:rPr>
                <w:iCs/>
              </w:rPr>
              <w:t>.</w:t>
            </w:r>
          </w:p>
          <w:p w14:paraId="27D6FB3D" w14:textId="4C00C44A" w:rsidR="002871D2" w:rsidRPr="00600B68" w:rsidRDefault="002871D2" w:rsidP="006B07D7">
            <w:pPr>
              <w:shd w:val="clear" w:color="auto" w:fill="FFFFFF"/>
              <w:tabs>
                <w:tab w:val="left" w:pos="878"/>
              </w:tabs>
              <w:ind w:left="94" w:right="57"/>
              <w:jc w:val="both"/>
            </w:pPr>
          </w:p>
        </w:tc>
      </w:tr>
      <w:tr w:rsidR="00600B68" w:rsidRPr="00600B68" w14:paraId="6ECC5445" w14:textId="77777777" w:rsidTr="009B6065">
        <w:trPr>
          <w:trHeight w:val="205"/>
        </w:trPr>
        <w:tc>
          <w:tcPr>
            <w:tcW w:w="169" w:type="pct"/>
          </w:tcPr>
          <w:p w14:paraId="772089F7" w14:textId="77777777" w:rsidR="004A7F10" w:rsidRPr="00600B68" w:rsidRDefault="004A7F10" w:rsidP="006B07D7">
            <w:pPr>
              <w:ind w:left="57" w:right="57"/>
              <w:jc w:val="both"/>
              <w:rPr>
                <w:bCs/>
              </w:rPr>
            </w:pPr>
            <w:r w:rsidRPr="00600B68">
              <w:rPr>
                <w:bCs/>
              </w:rPr>
              <w:t>4.</w:t>
            </w:r>
          </w:p>
        </w:tc>
        <w:tc>
          <w:tcPr>
            <w:tcW w:w="1419" w:type="pct"/>
          </w:tcPr>
          <w:p w14:paraId="3659C856" w14:textId="77777777" w:rsidR="004A7F10" w:rsidRPr="00600B68" w:rsidRDefault="004A7F10" w:rsidP="006B07D7">
            <w:pPr>
              <w:ind w:left="57" w:right="57"/>
            </w:pPr>
            <w:r w:rsidRPr="00600B68">
              <w:t>Cita informācija</w:t>
            </w:r>
          </w:p>
        </w:tc>
        <w:tc>
          <w:tcPr>
            <w:tcW w:w="3412" w:type="pct"/>
          </w:tcPr>
          <w:p w14:paraId="2D674B9B" w14:textId="77777777" w:rsidR="004A7F10" w:rsidRPr="00600B68" w:rsidRDefault="004A7F10" w:rsidP="006B07D7">
            <w:pPr>
              <w:ind w:left="57" w:right="113" w:firstLine="37"/>
              <w:jc w:val="both"/>
            </w:pPr>
            <w:r w:rsidRPr="00600B68">
              <w:t>Nav.</w:t>
            </w:r>
          </w:p>
        </w:tc>
      </w:tr>
    </w:tbl>
    <w:p w14:paraId="2FC9C88A" w14:textId="77777777" w:rsidR="004A7F10" w:rsidRPr="00600B68" w:rsidRDefault="004A7F10" w:rsidP="004A7F10">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634"/>
        <w:gridCol w:w="6379"/>
      </w:tblGrid>
      <w:tr w:rsidR="00600B68" w:rsidRPr="00600B68" w14:paraId="01A2BDF2" w14:textId="77777777" w:rsidTr="00477F62">
        <w:trPr>
          <w:trHeight w:val="421"/>
        </w:trPr>
        <w:tc>
          <w:tcPr>
            <w:tcW w:w="9346" w:type="dxa"/>
            <w:gridSpan w:val="3"/>
            <w:vAlign w:val="center"/>
          </w:tcPr>
          <w:p w14:paraId="43B7EA42" w14:textId="77777777" w:rsidR="000952B3" w:rsidRPr="00600B68" w:rsidRDefault="00B650B7" w:rsidP="001351FC">
            <w:pPr>
              <w:pStyle w:val="naisnod"/>
              <w:spacing w:before="0" w:beforeAutospacing="0" w:after="0" w:afterAutospacing="0"/>
              <w:ind w:left="57" w:right="57"/>
              <w:jc w:val="center"/>
            </w:pPr>
            <w:r w:rsidRPr="00600B68">
              <w:rPr>
                <w:b/>
              </w:rPr>
              <w:t>VII. Tiesību akta projekta izpildes nodrošināšana un tās ietekme uz institūcijām</w:t>
            </w:r>
          </w:p>
        </w:tc>
      </w:tr>
      <w:tr w:rsidR="00600B68" w:rsidRPr="00600B68" w14:paraId="4802C351" w14:textId="77777777" w:rsidTr="00785EFA">
        <w:trPr>
          <w:trHeight w:val="553"/>
        </w:trPr>
        <w:tc>
          <w:tcPr>
            <w:tcW w:w="333" w:type="dxa"/>
          </w:tcPr>
          <w:p w14:paraId="5B5DA9D4" w14:textId="77777777" w:rsidR="000952B3" w:rsidRPr="00600B68" w:rsidRDefault="00B650B7" w:rsidP="001351FC">
            <w:pPr>
              <w:ind w:left="57" w:right="57"/>
              <w:jc w:val="both"/>
              <w:rPr>
                <w:bCs/>
              </w:rPr>
            </w:pPr>
            <w:r w:rsidRPr="00600B68">
              <w:rPr>
                <w:bCs/>
              </w:rPr>
              <w:t>1.</w:t>
            </w:r>
          </w:p>
        </w:tc>
        <w:tc>
          <w:tcPr>
            <w:tcW w:w="2634" w:type="dxa"/>
          </w:tcPr>
          <w:p w14:paraId="33491DB5" w14:textId="77777777" w:rsidR="000952B3" w:rsidRPr="00600B68" w:rsidRDefault="00B650B7" w:rsidP="001351FC">
            <w:pPr>
              <w:ind w:left="57" w:right="57"/>
            </w:pPr>
            <w:r w:rsidRPr="00600B68">
              <w:t>Projekta izpildē iesaistītās institūcijas</w:t>
            </w:r>
          </w:p>
        </w:tc>
        <w:tc>
          <w:tcPr>
            <w:tcW w:w="6379" w:type="dxa"/>
          </w:tcPr>
          <w:p w14:paraId="17057914" w14:textId="657CE0C1" w:rsidR="002871D2" w:rsidRPr="00600B68" w:rsidRDefault="002F1D81" w:rsidP="00FD20DA">
            <w:pPr>
              <w:shd w:val="clear" w:color="auto" w:fill="FFFFFF"/>
              <w:ind w:left="57" w:right="113"/>
              <w:jc w:val="both"/>
            </w:pPr>
            <w:r w:rsidRPr="00600B68">
              <w:t xml:space="preserve">Noteikumu projekta izpildi nodrošinās </w:t>
            </w:r>
            <w:r w:rsidR="00154ADC" w:rsidRPr="00600B68">
              <w:t>Izglītības un zinātnes ministrija kā atbildīgā iestāde</w:t>
            </w:r>
            <w:r w:rsidRPr="00600B68">
              <w:t xml:space="preserve"> un</w:t>
            </w:r>
            <w:r w:rsidR="004A2355" w:rsidRPr="00600B68">
              <w:t xml:space="preserve"> </w:t>
            </w:r>
            <w:r w:rsidR="001F48EC">
              <w:t>VIAA</w:t>
            </w:r>
            <w:r w:rsidR="008026E6" w:rsidRPr="00600B68">
              <w:t xml:space="preserve"> kā sadarbības iestāde</w:t>
            </w:r>
            <w:r w:rsidR="008E2B4B" w:rsidRPr="00600B68">
              <w:t>.</w:t>
            </w:r>
          </w:p>
        </w:tc>
      </w:tr>
      <w:tr w:rsidR="00600B68" w:rsidRPr="00600B68" w14:paraId="4F24F579" w14:textId="77777777" w:rsidTr="00785EFA">
        <w:trPr>
          <w:trHeight w:val="339"/>
        </w:trPr>
        <w:tc>
          <w:tcPr>
            <w:tcW w:w="333" w:type="dxa"/>
          </w:tcPr>
          <w:p w14:paraId="2D0BC61B" w14:textId="77777777" w:rsidR="000952B3" w:rsidRPr="00600B68" w:rsidRDefault="00B650B7" w:rsidP="001351FC">
            <w:pPr>
              <w:ind w:left="57" w:right="57"/>
              <w:jc w:val="both"/>
              <w:rPr>
                <w:bCs/>
              </w:rPr>
            </w:pPr>
            <w:r w:rsidRPr="00600B68">
              <w:rPr>
                <w:bCs/>
              </w:rPr>
              <w:t>2.</w:t>
            </w:r>
          </w:p>
        </w:tc>
        <w:tc>
          <w:tcPr>
            <w:tcW w:w="2634" w:type="dxa"/>
          </w:tcPr>
          <w:p w14:paraId="37BBBED2" w14:textId="77777777" w:rsidR="000952B3" w:rsidRPr="00600B68" w:rsidRDefault="00B650B7" w:rsidP="001351FC">
            <w:pPr>
              <w:ind w:left="57" w:right="57"/>
            </w:pPr>
            <w:r w:rsidRPr="00600B68">
              <w:t xml:space="preserve">Projekta izpildes ietekme uz pārvaldes funkcijām un institucionālo struktūru. </w:t>
            </w:r>
          </w:p>
          <w:p w14:paraId="38943CEE"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6379" w:type="dxa"/>
          </w:tcPr>
          <w:p w14:paraId="0748703C" w14:textId="4C54275A" w:rsidR="00FE7980" w:rsidRPr="00600B68" w:rsidRDefault="008026E6" w:rsidP="008026E6">
            <w:pPr>
              <w:spacing w:before="100" w:beforeAutospacing="1" w:after="100" w:afterAutospacing="1"/>
              <w:ind w:left="57"/>
              <w:jc w:val="both"/>
              <w:rPr>
                <w:iCs/>
              </w:rPr>
            </w:pPr>
            <w:r w:rsidRPr="00600B68">
              <w:rPr>
                <w:iCs/>
              </w:rPr>
              <w:t xml:space="preserve">Noteikumu projekta izpildes </w:t>
            </w:r>
            <w:r w:rsidRPr="00E6345D">
              <w:rPr>
                <w:iCs/>
              </w:rPr>
              <w:t xml:space="preserve">rezultātā tiek paplašinātas esošo institūciju </w:t>
            </w:r>
            <w:r w:rsidR="005E7328" w:rsidRPr="00E6345D">
              <w:rPr>
                <w:iCs/>
              </w:rPr>
              <w:t>(atbildīgās iestādes un sadarbības iestādes</w:t>
            </w:r>
            <w:r w:rsidR="005E7328">
              <w:rPr>
                <w:iCs/>
              </w:rPr>
              <w:t xml:space="preserve">) </w:t>
            </w:r>
            <w:r w:rsidRPr="00600B68">
              <w:rPr>
                <w:iCs/>
              </w:rPr>
              <w:t>funkcijas</w:t>
            </w:r>
            <w:r w:rsidR="005E7328">
              <w:rPr>
                <w:iCs/>
              </w:rPr>
              <w:t xml:space="preserve">. </w:t>
            </w:r>
            <w:r w:rsidRPr="00600B68">
              <w:rPr>
                <w:iCs/>
              </w:rPr>
              <w:t xml:space="preserve"> </w:t>
            </w:r>
            <w:r w:rsidR="005E7328">
              <w:rPr>
                <w:iCs/>
              </w:rPr>
              <w:t>N</w:t>
            </w:r>
            <w:r w:rsidRPr="00600B68">
              <w:rPr>
                <w:iCs/>
              </w:rPr>
              <w:t xml:space="preserve">epieciešams veidot jaunas institūcijas, likvidēt vai reorganizēt esošās institūcijas. </w:t>
            </w:r>
          </w:p>
          <w:p w14:paraId="29F24A9B" w14:textId="01066CAA" w:rsidR="000952B3" w:rsidRPr="00600B68" w:rsidRDefault="008026E6" w:rsidP="008026E6">
            <w:pPr>
              <w:spacing w:before="100" w:beforeAutospacing="1" w:after="100" w:afterAutospacing="1"/>
              <w:ind w:left="57"/>
              <w:jc w:val="both"/>
              <w:rPr>
                <w:iCs/>
              </w:rPr>
            </w:pPr>
            <w:r w:rsidRPr="00600B68">
              <w:rPr>
                <w:iCs/>
              </w:rPr>
              <w:t>Projekta izpilde nodrošināma pieejamo cilvēkresursu ietvaros.</w:t>
            </w:r>
          </w:p>
        </w:tc>
      </w:tr>
      <w:tr w:rsidR="00600B68" w:rsidRPr="00600B68" w14:paraId="48A2FB66" w14:textId="77777777" w:rsidTr="00FD20DA">
        <w:trPr>
          <w:trHeight w:val="354"/>
        </w:trPr>
        <w:tc>
          <w:tcPr>
            <w:tcW w:w="333" w:type="dxa"/>
          </w:tcPr>
          <w:p w14:paraId="57EA02A4" w14:textId="77777777" w:rsidR="000952B3" w:rsidRPr="00600B68" w:rsidRDefault="00B650B7" w:rsidP="001351FC">
            <w:pPr>
              <w:ind w:left="57" w:right="57"/>
              <w:jc w:val="both"/>
              <w:rPr>
                <w:bCs/>
              </w:rPr>
            </w:pPr>
            <w:r w:rsidRPr="00600B68">
              <w:rPr>
                <w:bCs/>
              </w:rPr>
              <w:t>3.</w:t>
            </w:r>
          </w:p>
        </w:tc>
        <w:tc>
          <w:tcPr>
            <w:tcW w:w="2634" w:type="dxa"/>
          </w:tcPr>
          <w:p w14:paraId="477425B2" w14:textId="77777777" w:rsidR="000952B3" w:rsidRPr="00600B68" w:rsidRDefault="00B650B7" w:rsidP="001351FC">
            <w:pPr>
              <w:ind w:left="57" w:right="57"/>
            </w:pPr>
            <w:r w:rsidRPr="00600B68">
              <w:t>Cita informācija</w:t>
            </w:r>
          </w:p>
        </w:tc>
        <w:tc>
          <w:tcPr>
            <w:tcW w:w="6379" w:type="dxa"/>
          </w:tcPr>
          <w:p w14:paraId="4DD6E884" w14:textId="363012EB" w:rsidR="000952B3" w:rsidRPr="00600B68" w:rsidRDefault="000A5450" w:rsidP="00FE5FE2">
            <w:pPr>
              <w:shd w:val="clear" w:color="auto" w:fill="FFFFFF"/>
              <w:ind w:left="57" w:right="113"/>
              <w:jc w:val="both"/>
            </w:pPr>
            <w:r w:rsidRPr="00600B68">
              <w:t>Nav.</w:t>
            </w:r>
          </w:p>
        </w:tc>
      </w:tr>
    </w:tbl>
    <w:p w14:paraId="2F936407" w14:textId="77777777" w:rsidR="007A045B" w:rsidRPr="00600B68" w:rsidRDefault="007A045B" w:rsidP="001351FC">
      <w:pPr>
        <w:rPr>
          <w:b/>
        </w:rPr>
      </w:pPr>
    </w:p>
    <w:p w14:paraId="44713091" w14:textId="77777777" w:rsidR="00AF0818" w:rsidRDefault="00AF0818" w:rsidP="001351FC"/>
    <w:tbl>
      <w:tblPr>
        <w:tblW w:w="0" w:type="auto"/>
        <w:tblLook w:val="04A0" w:firstRow="1" w:lastRow="0" w:firstColumn="1" w:lastColumn="0" w:noHBand="0" w:noVBand="1"/>
      </w:tblPr>
      <w:tblGrid>
        <w:gridCol w:w="3313"/>
        <w:gridCol w:w="1679"/>
        <w:gridCol w:w="1903"/>
        <w:gridCol w:w="476"/>
        <w:gridCol w:w="1700"/>
      </w:tblGrid>
      <w:tr w:rsidR="00600B68" w:rsidRPr="00600B68" w14:paraId="5834315E" w14:textId="77777777" w:rsidTr="00600B68">
        <w:tc>
          <w:tcPr>
            <w:tcW w:w="3313" w:type="dxa"/>
          </w:tcPr>
          <w:p w14:paraId="45610437" w14:textId="6ABA0989" w:rsidR="002D2BD0" w:rsidRPr="00600B68" w:rsidRDefault="002D2BD0" w:rsidP="002D2BD0">
            <w:pPr>
              <w:tabs>
                <w:tab w:val="left" w:pos="4320"/>
              </w:tabs>
            </w:pPr>
            <w:r w:rsidRPr="00600B68">
              <w:t>Izglītības un zinātnes ministre</w:t>
            </w:r>
          </w:p>
        </w:tc>
        <w:tc>
          <w:tcPr>
            <w:tcW w:w="1679" w:type="dxa"/>
          </w:tcPr>
          <w:p w14:paraId="31702815" w14:textId="77777777" w:rsidR="002D2BD0" w:rsidRPr="00600B68" w:rsidRDefault="002D2BD0" w:rsidP="002D2BD0">
            <w:pPr>
              <w:tabs>
                <w:tab w:val="left" w:pos="4320"/>
              </w:tabs>
            </w:pPr>
          </w:p>
        </w:tc>
        <w:tc>
          <w:tcPr>
            <w:tcW w:w="2379" w:type="dxa"/>
            <w:gridSpan w:val="2"/>
          </w:tcPr>
          <w:p w14:paraId="336E0D9E" w14:textId="77777777" w:rsidR="002D2BD0" w:rsidRPr="00600B68" w:rsidRDefault="002D2BD0" w:rsidP="002D2BD0">
            <w:pPr>
              <w:tabs>
                <w:tab w:val="left" w:pos="4320"/>
              </w:tabs>
            </w:pPr>
          </w:p>
        </w:tc>
        <w:tc>
          <w:tcPr>
            <w:tcW w:w="1700" w:type="dxa"/>
          </w:tcPr>
          <w:p w14:paraId="28B8E4F4" w14:textId="57CB75AB" w:rsidR="002D2BD0" w:rsidRPr="00600B68" w:rsidRDefault="002D2BD0" w:rsidP="002D2BD0">
            <w:pPr>
              <w:tabs>
                <w:tab w:val="left" w:pos="4320"/>
              </w:tabs>
            </w:pPr>
            <w:r w:rsidRPr="00600B68">
              <w:t xml:space="preserve">Ilga </w:t>
            </w:r>
            <w:proofErr w:type="spellStart"/>
            <w:r w:rsidRPr="00600B68">
              <w:t>Šuplinska</w:t>
            </w:r>
            <w:proofErr w:type="spellEnd"/>
          </w:p>
        </w:tc>
      </w:tr>
      <w:tr w:rsidR="00600B68" w:rsidRPr="00600B68" w14:paraId="184E6440" w14:textId="77777777" w:rsidTr="002D2BD0">
        <w:tc>
          <w:tcPr>
            <w:tcW w:w="3313" w:type="dxa"/>
          </w:tcPr>
          <w:p w14:paraId="6EF7940B" w14:textId="77777777" w:rsidR="00CC2B2A" w:rsidRDefault="00CC2B2A" w:rsidP="001351FC">
            <w:pPr>
              <w:pStyle w:val="NormalWeb"/>
              <w:spacing w:before="0" w:beforeAutospacing="0" w:after="0" w:afterAutospacing="0"/>
            </w:pPr>
          </w:p>
          <w:p w14:paraId="18CD8731" w14:textId="77777777" w:rsidR="007D4CE3" w:rsidRPr="00600B68" w:rsidRDefault="007D4CE3" w:rsidP="001351FC">
            <w:pPr>
              <w:pStyle w:val="NormalWeb"/>
              <w:spacing w:before="0" w:beforeAutospacing="0" w:after="0" w:afterAutospacing="0"/>
            </w:pPr>
          </w:p>
          <w:p w14:paraId="4B9D0795" w14:textId="2B799526" w:rsidR="002D2BD0" w:rsidRPr="00600B68" w:rsidRDefault="002D2BD0" w:rsidP="00EA151B">
            <w:pPr>
              <w:pStyle w:val="NormalWeb"/>
              <w:spacing w:before="0" w:beforeAutospacing="0" w:after="0" w:afterAutospacing="0"/>
            </w:pPr>
            <w:r w:rsidRPr="00600B68">
              <w:t>Vizē:</w:t>
            </w:r>
            <w:r w:rsidRPr="00600B68">
              <w:tab/>
            </w:r>
          </w:p>
        </w:tc>
        <w:tc>
          <w:tcPr>
            <w:tcW w:w="1679" w:type="dxa"/>
          </w:tcPr>
          <w:p w14:paraId="43BC56A8" w14:textId="77777777" w:rsidR="002D2BD0" w:rsidRPr="00600B68" w:rsidRDefault="002D2BD0" w:rsidP="001351FC">
            <w:pPr>
              <w:tabs>
                <w:tab w:val="left" w:pos="4320"/>
              </w:tabs>
              <w:jc w:val="right"/>
            </w:pPr>
          </w:p>
        </w:tc>
        <w:tc>
          <w:tcPr>
            <w:tcW w:w="1903" w:type="dxa"/>
          </w:tcPr>
          <w:p w14:paraId="377D34CC" w14:textId="77777777" w:rsidR="002D2BD0" w:rsidRPr="00600B68" w:rsidRDefault="002D2BD0" w:rsidP="001351FC">
            <w:pPr>
              <w:tabs>
                <w:tab w:val="left" w:pos="4320"/>
              </w:tabs>
              <w:jc w:val="right"/>
            </w:pPr>
          </w:p>
        </w:tc>
        <w:tc>
          <w:tcPr>
            <w:tcW w:w="2176" w:type="dxa"/>
            <w:gridSpan w:val="2"/>
          </w:tcPr>
          <w:p w14:paraId="6238B884" w14:textId="200D40D7" w:rsidR="002D2BD0" w:rsidRPr="00600B68" w:rsidRDefault="002D2BD0" w:rsidP="001351FC">
            <w:pPr>
              <w:tabs>
                <w:tab w:val="left" w:pos="4320"/>
              </w:tabs>
              <w:jc w:val="right"/>
            </w:pPr>
          </w:p>
          <w:p w14:paraId="350B948B" w14:textId="0FC3E964" w:rsidR="002D2BD0" w:rsidRPr="00600B68" w:rsidRDefault="002D2BD0" w:rsidP="001351FC">
            <w:pPr>
              <w:tabs>
                <w:tab w:val="left" w:pos="4320"/>
              </w:tabs>
              <w:jc w:val="center"/>
            </w:pPr>
          </w:p>
        </w:tc>
      </w:tr>
    </w:tbl>
    <w:p w14:paraId="452EB243" w14:textId="6F7BC551" w:rsidR="00EA151B" w:rsidRPr="00600B68" w:rsidRDefault="008B2BBF" w:rsidP="00EA151B">
      <w:pPr>
        <w:tabs>
          <w:tab w:val="left" w:pos="4020"/>
        </w:tabs>
        <w:ind w:left="709" w:hanging="567"/>
      </w:pPr>
      <w:r w:rsidRPr="00600B68">
        <w:t>Valsts sekretār</w:t>
      </w:r>
      <w:r w:rsidR="00600B68" w:rsidRPr="00600B68">
        <w:t xml:space="preserve">e </w:t>
      </w:r>
      <w:r w:rsidRPr="00600B68">
        <w:t xml:space="preserve"> </w:t>
      </w:r>
      <w:r w:rsidR="00F3153D" w:rsidRPr="00600B68">
        <w:tab/>
      </w:r>
      <w:r w:rsidR="00F3153D" w:rsidRPr="00600B68">
        <w:tab/>
      </w:r>
      <w:r w:rsidR="00F3153D" w:rsidRPr="00600B68">
        <w:tab/>
      </w:r>
      <w:r w:rsidR="00F3153D" w:rsidRPr="00600B68">
        <w:tab/>
      </w:r>
      <w:r w:rsidR="00F3153D" w:rsidRPr="00600B68">
        <w:tab/>
      </w:r>
      <w:r w:rsidR="00F3153D" w:rsidRPr="00600B68">
        <w:tab/>
      </w:r>
      <w:r w:rsidR="00600B68" w:rsidRPr="00600B68">
        <w:tab/>
        <w:t>Līga Lejiņa</w:t>
      </w:r>
    </w:p>
    <w:p w14:paraId="1268B73B" w14:textId="77777777" w:rsidR="007A045B" w:rsidRPr="00600B68" w:rsidRDefault="007A045B" w:rsidP="001351FC"/>
    <w:p w14:paraId="77704C28" w14:textId="46B6FCEC" w:rsidR="009B6065" w:rsidRPr="00600B68" w:rsidRDefault="009B6065" w:rsidP="009B6065">
      <w:pPr>
        <w:rPr>
          <w:sz w:val="20"/>
          <w:szCs w:val="20"/>
        </w:rPr>
      </w:pPr>
      <w:r w:rsidRPr="00600B68">
        <w:rPr>
          <w:sz w:val="20"/>
          <w:szCs w:val="20"/>
        </w:rPr>
        <w:fldChar w:fldCharType="begin"/>
      </w:r>
      <w:r w:rsidRPr="00600B68">
        <w:rPr>
          <w:sz w:val="20"/>
          <w:szCs w:val="20"/>
        </w:rPr>
        <w:instrText xml:space="preserve"> DATE  \@ "dd.MM.yyyy H:mm"  \* MERGEFORMAT </w:instrText>
      </w:r>
      <w:r w:rsidRPr="00600B68">
        <w:rPr>
          <w:sz w:val="20"/>
          <w:szCs w:val="20"/>
        </w:rPr>
        <w:fldChar w:fldCharType="separate"/>
      </w:r>
      <w:r w:rsidR="00F40A2A">
        <w:rPr>
          <w:noProof/>
          <w:sz w:val="20"/>
          <w:szCs w:val="20"/>
        </w:rPr>
        <w:t>29.04.2019 14:07</w:t>
      </w:r>
      <w:r w:rsidRPr="00600B68">
        <w:rPr>
          <w:sz w:val="20"/>
          <w:szCs w:val="20"/>
        </w:rPr>
        <w:fldChar w:fldCharType="end"/>
      </w:r>
    </w:p>
    <w:p w14:paraId="2A269C9C" w14:textId="33A8FA84" w:rsidR="009B6065" w:rsidRPr="00600B68" w:rsidRDefault="009B6065" w:rsidP="009B6065">
      <w:pPr>
        <w:rPr>
          <w:sz w:val="20"/>
          <w:szCs w:val="20"/>
        </w:rPr>
      </w:pPr>
      <w:r w:rsidRPr="00600B68">
        <w:rPr>
          <w:sz w:val="20"/>
          <w:szCs w:val="20"/>
        </w:rPr>
        <w:fldChar w:fldCharType="begin"/>
      </w:r>
      <w:r w:rsidRPr="00600B68">
        <w:rPr>
          <w:sz w:val="20"/>
          <w:szCs w:val="20"/>
        </w:rPr>
        <w:instrText xml:space="preserve"> NUMWORDS   \* MERGEFORMAT </w:instrText>
      </w:r>
      <w:r w:rsidRPr="00600B68">
        <w:rPr>
          <w:sz w:val="20"/>
          <w:szCs w:val="20"/>
        </w:rPr>
        <w:fldChar w:fldCharType="separate"/>
      </w:r>
      <w:r w:rsidR="00E6345D">
        <w:rPr>
          <w:noProof/>
          <w:sz w:val="20"/>
          <w:szCs w:val="20"/>
        </w:rPr>
        <w:t>3993</w:t>
      </w:r>
      <w:r w:rsidRPr="00600B68">
        <w:rPr>
          <w:sz w:val="20"/>
          <w:szCs w:val="20"/>
        </w:rPr>
        <w:fldChar w:fldCharType="end"/>
      </w:r>
    </w:p>
    <w:p w14:paraId="7D38F656" w14:textId="77777777" w:rsidR="009B6065" w:rsidRDefault="009B6065" w:rsidP="009B6065">
      <w:pPr>
        <w:rPr>
          <w:sz w:val="20"/>
          <w:szCs w:val="20"/>
        </w:rPr>
      </w:pPr>
    </w:p>
    <w:p w14:paraId="2652CCBD" w14:textId="77777777" w:rsidR="009B6065" w:rsidRPr="00600B68" w:rsidRDefault="009B6065" w:rsidP="009B6065">
      <w:pPr>
        <w:rPr>
          <w:sz w:val="20"/>
          <w:szCs w:val="20"/>
        </w:rPr>
      </w:pPr>
      <w:proofErr w:type="spellStart"/>
      <w:r w:rsidRPr="00600B68">
        <w:rPr>
          <w:sz w:val="20"/>
          <w:szCs w:val="20"/>
        </w:rPr>
        <w:t>I..Švirksta</w:t>
      </w:r>
      <w:proofErr w:type="spellEnd"/>
      <w:r w:rsidRPr="00600B68">
        <w:rPr>
          <w:sz w:val="20"/>
          <w:szCs w:val="20"/>
        </w:rPr>
        <w:t xml:space="preserve"> 67047878</w:t>
      </w:r>
    </w:p>
    <w:p w14:paraId="6E837871" w14:textId="3AE2F659" w:rsidR="00FE7980" w:rsidRPr="00600B68" w:rsidRDefault="003E7DA9" w:rsidP="00FD20DA">
      <w:pPr>
        <w:tabs>
          <w:tab w:val="left" w:pos="2340"/>
          <w:tab w:val="center" w:pos="4153"/>
          <w:tab w:val="right" w:pos="8306"/>
        </w:tabs>
        <w:rPr>
          <w:sz w:val="20"/>
        </w:rPr>
      </w:pPr>
      <w:hyperlink r:id="rId10" w:history="1">
        <w:r w:rsidR="009B6065" w:rsidRPr="00600B68">
          <w:rPr>
            <w:rStyle w:val="Hyperlink"/>
            <w:color w:val="auto"/>
            <w:sz w:val="20"/>
            <w:szCs w:val="20"/>
          </w:rPr>
          <w:t>inta.svirksta@izm.gov.lv</w:t>
        </w:r>
      </w:hyperlink>
    </w:p>
    <w:sectPr w:rsidR="00FE7980" w:rsidRPr="00600B68" w:rsidSect="003B01C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DB5B" w14:textId="77777777" w:rsidR="003E7DA9" w:rsidRDefault="003E7DA9">
      <w:r>
        <w:separator/>
      </w:r>
    </w:p>
  </w:endnote>
  <w:endnote w:type="continuationSeparator" w:id="0">
    <w:p w14:paraId="1CA6E9F7" w14:textId="77777777" w:rsidR="003E7DA9" w:rsidRDefault="003E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C5A6" w14:textId="77777777" w:rsidR="006910BE" w:rsidRDefault="00691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842D" w14:textId="77777777" w:rsidR="00AB431B" w:rsidRPr="00077CDB" w:rsidRDefault="00572A41" w:rsidP="00214730">
    <w:pPr>
      <w:jc w:val="both"/>
      <w:rPr>
        <w:sz w:val="20"/>
        <w:szCs w:val="20"/>
      </w:rPr>
    </w:pPr>
    <w:fldSimple w:instr=" FILENAME   \* MERGEFORMAT ">
      <w:r w:rsidR="006910BE" w:rsidRPr="006910BE">
        <w:rPr>
          <w:noProof/>
          <w:color w:val="000000" w:themeColor="text1"/>
          <w:sz w:val="20"/>
          <w:szCs w:val="20"/>
        </w:rPr>
        <w:t>IZMAnot_290419_VSS</w:t>
      </w:r>
      <w:r w:rsidR="006910BE" w:rsidRPr="006910BE">
        <w:rPr>
          <w:noProof/>
          <w:sz w:val="20"/>
          <w:szCs w:val="20"/>
        </w:rPr>
        <w:t>_494</w:t>
      </w:r>
    </w:fldSimple>
    <w:r w:rsidR="00AB431B" w:rsidRPr="00077CDB">
      <w:rPr>
        <w:color w:val="000000" w:themeColor="text1"/>
        <w:sz w:val="20"/>
        <w:szCs w:val="20"/>
      </w:rPr>
      <w:t xml:space="preserve">; Ministru kabineta noteikumu </w:t>
    </w:r>
    <w:r w:rsidR="00AB431B" w:rsidRPr="00A25DF3">
      <w:rPr>
        <w:color w:val="000000" w:themeColor="text1"/>
        <w:sz w:val="20"/>
        <w:szCs w:val="20"/>
      </w:rPr>
      <w:t xml:space="preserv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r w:rsidR="00AB431B" w:rsidRPr="00077CDB">
      <w:rPr>
        <w:color w:val="000000" w:themeColor="text1"/>
        <w:sz w:val="20"/>
        <w:szCs w:val="20"/>
      </w:rPr>
      <w:t xml:space="preserve"> projekta sākotnējās ietekmes novērtējuma ziņojums (anotācija)</w:t>
    </w:r>
  </w:p>
  <w:p w14:paraId="0A0FBBC8" w14:textId="6F65367E" w:rsidR="00AB431B" w:rsidRPr="00214730" w:rsidRDefault="00AB431B" w:rsidP="00214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6257CB36" w:rsidR="00AB431B" w:rsidRPr="00AB4574" w:rsidRDefault="00AB431B" w:rsidP="00192C5F">
    <w:pPr>
      <w:pStyle w:val="Footer"/>
      <w:jc w:val="both"/>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6910BE">
      <w:rPr>
        <w:noProof/>
        <w:sz w:val="20"/>
        <w:szCs w:val="20"/>
      </w:rPr>
      <w:t>IZMAnot_290419_VSS_494</w:t>
    </w:r>
    <w:r>
      <w:rPr>
        <w:noProof/>
        <w:sz w:val="20"/>
        <w:szCs w:val="20"/>
      </w:rPr>
      <w:fldChar w:fldCharType="end"/>
    </w:r>
    <w:r>
      <w:rPr>
        <w:noProof/>
        <w:sz w:val="20"/>
        <w:szCs w:val="20"/>
      </w:rPr>
      <w:t xml:space="preserve">; </w:t>
    </w:r>
    <w:r w:rsidRPr="0099788D">
      <w:rPr>
        <w:color w:val="000000" w:themeColor="text1"/>
        <w:sz w:val="20"/>
        <w:szCs w:val="20"/>
      </w:rPr>
      <w:t>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14B1A" w14:textId="77777777" w:rsidR="003E7DA9" w:rsidRDefault="003E7DA9">
      <w:r>
        <w:separator/>
      </w:r>
    </w:p>
  </w:footnote>
  <w:footnote w:type="continuationSeparator" w:id="0">
    <w:p w14:paraId="377370CD" w14:textId="77777777" w:rsidR="003E7DA9" w:rsidRDefault="003E7DA9">
      <w:r>
        <w:continuationSeparator/>
      </w:r>
    </w:p>
  </w:footnote>
  <w:footnote w:id="1">
    <w:p w14:paraId="32757144" w14:textId="0BEAB040" w:rsidR="00AB431B" w:rsidRDefault="00AB431B">
      <w:pPr>
        <w:pStyle w:val="FootnoteText"/>
      </w:pPr>
      <w:r>
        <w:rPr>
          <w:rStyle w:val="FootnoteReference"/>
        </w:rPr>
        <w:footnoteRef/>
      </w:r>
      <w:r>
        <w:t xml:space="preserve"> </w:t>
      </w:r>
      <w:r>
        <w:rPr>
          <w:color w:val="000000"/>
          <w:sz w:val="19"/>
          <w:szCs w:val="19"/>
          <w:shd w:val="clear" w:color="auto" w:fill="FFFFFF"/>
        </w:rPr>
        <w:t>Šajā kontekstā infrastruktūras saimniecisko izmantojumu var uzskatīt par papildinošu, ja šai darbībai ik gadu atvēlētā jauda nepārsniedz 20 % no infrastruktūras kopējās gada jaudas.</w:t>
      </w:r>
    </w:p>
  </w:footnote>
  <w:footnote w:id="2">
    <w:p w14:paraId="3EE58BFD" w14:textId="2B18C4F0" w:rsidR="00AB431B" w:rsidRDefault="00AB431B">
      <w:pPr>
        <w:pStyle w:val="FootnoteText"/>
      </w:pPr>
      <w:r>
        <w:rPr>
          <w:rStyle w:val="FootnoteReference"/>
        </w:rPr>
        <w:footnoteRef/>
      </w:r>
      <w:hyperlink r:id="rId1" w:history="1">
        <w:r w:rsidRPr="00F04754">
          <w:rPr>
            <w:rStyle w:val="Hyperlink"/>
          </w:rPr>
          <w:t>https://webgate.ec.europa.eu/fpfis/wikis/pages/viewpage.action?pageId=177902081&amp;pagepropertiesreport.serverrender</w:t>
        </w:r>
      </w:hyperlink>
    </w:p>
  </w:footnote>
  <w:footnote w:id="3">
    <w:p w14:paraId="53EE21AD" w14:textId="77777777" w:rsidR="00AB431B" w:rsidRPr="00A65B18" w:rsidRDefault="00AB431B" w:rsidP="00892D66">
      <w:pPr>
        <w:pStyle w:val="FootnoteText"/>
      </w:pPr>
      <w:r>
        <w:rPr>
          <w:rStyle w:val="FootnoteReference"/>
        </w:rPr>
        <w:footnoteRef/>
      </w:r>
      <w:r>
        <w:t xml:space="preserve"> Informācijas avots: </w:t>
      </w:r>
      <w:hyperlink r:id="rId2" w:history="1">
        <w:r w:rsidRPr="007745F8">
          <w:rPr>
            <w:rStyle w:val="Hyperlink"/>
          </w:rPr>
          <w:t>https://webgate.ec.europa.eu/fpfis/wikis/display/StateAid/Homepage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0AE9" w14:textId="77777777" w:rsidR="006910BE" w:rsidRDefault="00691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AB431B" w:rsidRDefault="00AB431B">
        <w:pPr>
          <w:pStyle w:val="Header"/>
          <w:jc w:val="center"/>
        </w:pPr>
        <w:r>
          <w:fldChar w:fldCharType="begin"/>
        </w:r>
        <w:r>
          <w:instrText xml:space="preserve"> PAGE   \* MERGEFORMAT </w:instrText>
        </w:r>
        <w:r>
          <w:fldChar w:fldCharType="separate"/>
        </w:r>
        <w:r w:rsidR="00F40A2A">
          <w:rPr>
            <w:noProof/>
          </w:rPr>
          <w:t>15</w:t>
        </w:r>
        <w:r>
          <w:rPr>
            <w:noProof/>
          </w:rPr>
          <w:fldChar w:fldCharType="end"/>
        </w:r>
      </w:p>
    </w:sdtContent>
  </w:sdt>
  <w:p w14:paraId="08EA09F9" w14:textId="77777777" w:rsidR="00AB431B" w:rsidRDefault="00AB431B" w:rsidP="00521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B25D4" w14:textId="77777777" w:rsidR="006910BE" w:rsidRDefault="00691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5">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6">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8">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0">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F61721"/>
    <w:multiLevelType w:val="hybridMultilevel"/>
    <w:tmpl w:val="11820002"/>
    <w:lvl w:ilvl="0" w:tplc="A426C738">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5">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6">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8">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1">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2">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3">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4">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26">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28">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20"/>
  </w:num>
  <w:num w:numId="2">
    <w:abstractNumId w:val="5"/>
  </w:num>
  <w:num w:numId="3">
    <w:abstractNumId w:val="7"/>
  </w:num>
  <w:num w:numId="4">
    <w:abstractNumId w:val="15"/>
  </w:num>
  <w:num w:numId="5">
    <w:abstractNumId w:val="9"/>
  </w:num>
  <w:num w:numId="6">
    <w:abstractNumId w:val="17"/>
  </w:num>
  <w:num w:numId="7">
    <w:abstractNumId w:val="4"/>
  </w:num>
  <w:num w:numId="8">
    <w:abstractNumId w:val="27"/>
  </w:num>
  <w:num w:numId="9">
    <w:abstractNumId w:val="28"/>
  </w:num>
  <w:num w:numId="10">
    <w:abstractNumId w:val="25"/>
  </w:num>
  <w:num w:numId="11">
    <w:abstractNumId w:val="14"/>
  </w:num>
  <w:num w:numId="12">
    <w:abstractNumId w:val="18"/>
  </w:num>
  <w:num w:numId="13">
    <w:abstractNumId w:val="0"/>
  </w:num>
  <w:num w:numId="14">
    <w:abstractNumId w:val="19"/>
  </w:num>
  <w:num w:numId="15">
    <w:abstractNumId w:val="13"/>
  </w:num>
  <w:num w:numId="16">
    <w:abstractNumId w:val="6"/>
  </w:num>
  <w:num w:numId="17">
    <w:abstractNumId w:val="10"/>
  </w:num>
  <w:num w:numId="18">
    <w:abstractNumId w:val="24"/>
  </w:num>
  <w:num w:numId="19">
    <w:abstractNumId w:val="11"/>
  </w:num>
  <w:num w:numId="20">
    <w:abstractNumId w:val="16"/>
  </w:num>
  <w:num w:numId="21">
    <w:abstractNumId w:val="22"/>
  </w:num>
  <w:num w:numId="22">
    <w:abstractNumId w:val="2"/>
  </w:num>
  <w:num w:numId="23">
    <w:abstractNumId w:val="8"/>
  </w:num>
  <w:num w:numId="24">
    <w:abstractNumId w:val="3"/>
  </w:num>
  <w:num w:numId="25">
    <w:abstractNumId w:val="23"/>
  </w:num>
  <w:num w:numId="26">
    <w:abstractNumId w:val="26"/>
  </w:num>
  <w:num w:numId="27">
    <w:abstractNumId w:val="21"/>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522A"/>
    <w:rsid w:val="00006F0F"/>
    <w:rsid w:val="000142D2"/>
    <w:rsid w:val="000168A6"/>
    <w:rsid w:val="00017924"/>
    <w:rsid w:val="000203E5"/>
    <w:rsid w:val="00027BAD"/>
    <w:rsid w:val="00041814"/>
    <w:rsid w:val="00042BE9"/>
    <w:rsid w:val="00044224"/>
    <w:rsid w:val="00044C80"/>
    <w:rsid w:val="00046435"/>
    <w:rsid w:val="00047A59"/>
    <w:rsid w:val="00052921"/>
    <w:rsid w:val="000532A9"/>
    <w:rsid w:val="00055596"/>
    <w:rsid w:val="00055FF5"/>
    <w:rsid w:val="000570D3"/>
    <w:rsid w:val="00060804"/>
    <w:rsid w:val="00061975"/>
    <w:rsid w:val="000644ED"/>
    <w:rsid w:val="00066596"/>
    <w:rsid w:val="000717F0"/>
    <w:rsid w:val="000726BF"/>
    <w:rsid w:val="00073C8B"/>
    <w:rsid w:val="00077314"/>
    <w:rsid w:val="00085D80"/>
    <w:rsid w:val="000864C7"/>
    <w:rsid w:val="00092CEF"/>
    <w:rsid w:val="00094B40"/>
    <w:rsid w:val="000952B3"/>
    <w:rsid w:val="000A4EDF"/>
    <w:rsid w:val="000A5450"/>
    <w:rsid w:val="000A7A0E"/>
    <w:rsid w:val="000B2EE9"/>
    <w:rsid w:val="000B2F72"/>
    <w:rsid w:val="000C127A"/>
    <w:rsid w:val="000D24CB"/>
    <w:rsid w:val="000E7C62"/>
    <w:rsid w:val="000F01C5"/>
    <w:rsid w:val="000F2179"/>
    <w:rsid w:val="000F21B1"/>
    <w:rsid w:val="000F2D2A"/>
    <w:rsid w:val="000F3637"/>
    <w:rsid w:val="000F796B"/>
    <w:rsid w:val="001151C4"/>
    <w:rsid w:val="00115924"/>
    <w:rsid w:val="001226BE"/>
    <w:rsid w:val="001247CA"/>
    <w:rsid w:val="001273A7"/>
    <w:rsid w:val="00131111"/>
    <w:rsid w:val="0013477A"/>
    <w:rsid w:val="001351FC"/>
    <w:rsid w:val="001435F6"/>
    <w:rsid w:val="00150FB3"/>
    <w:rsid w:val="001522EB"/>
    <w:rsid w:val="0015241F"/>
    <w:rsid w:val="001531F9"/>
    <w:rsid w:val="00154ADC"/>
    <w:rsid w:val="00162663"/>
    <w:rsid w:val="001718C7"/>
    <w:rsid w:val="00173A4C"/>
    <w:rsid w:val="001740A1"/>
    <w:rsid w:val="0017518B"/>
    <w:rsid w:val="00175D92"/>
    <w:rsid w:val="00176E94"/>
    <w:rsid w:val="001916E1"/>
    <w:rsid w:val="00192C5F"/>
    <w:rsid w:val="001930D7"/>
    <w:rsid w:val="0019383F"/>
    <w:rsid w:val="001A037F"/>
    <w:rsid w:val="001A4EC5"/>
    <w:rsid w:val="001A7223"/>
    <w:rsid w:val="001B090E"/>
    <w:rsid w:val="001B348C"/>
    <w:rsid w:val="001B37C9"/>
    <w:rsid w:val="001B6449"/>
    <w:rsid w:val="001C0AEA"/>
    <w:rsid w:val="001C0C9B"/>
    <w:rsid w:val="001C217C"/>
    <w:rsid w:val="001C5666"/>
    <w:rsid w:val="001D1E23"/>
    <w:rsid w:val="001D3C5A"/>
    <w:rsid w:val="001D45E6"/>
    <w:rsid w:val="001D5531"/>
    <w:rsid w:val="001D6C6A"/>
    <w:rsid w:val="001D78E9"/>
    <w:rsid w:val="001D7DE5"/>
    <w:rsid w:val="001E081D"/>
    <w:rsid w:val="001E0FDF"/>
    <w:rsid w:val="001E130E"/>
    <w:rsid w:val="001E2C60"/>
    <w:rsid w:val="001F097E"/>
    <w:rsid w:val="001F3907"/>
    <w:rsid w:val="001F48EC"/>
    <w:rsid w:val="00201E47"/>
    <w:rsid w:val="0020262C"/>
    <w:rsid w:val="00202B48"/>
    <w:rsid w:val="002054F1"/>
    <w:rsid w:val="00207834"/>
    <w:rsid w:val="00214730"/>
    <w:rsid w:val="0022054B"/>
    <w:rsid w:val="0022526E"/>
    <w:rsid w:val="0023009A"/>
    <w:rsid w:val="00231822"/>
    <w:rsid w:val="002323EB"/>
    <w:rsid w:val="00236A1F"/>
    <w:rsid w:val="00240A69"/>
    <w:rsid w:val="00251A42"/>
    <w:rsid w:val="00253057"/>
    <w:rsid w:val="002532F9"/>
    <w:rsid w:val="00254E50"/>
    <w:rsid w:val="0026041E"/>
    <w:rsid w:val="00261E34"/>
    <w:rsid w:val="002659F1"/>
    <w:rsid w:val="00273E66"/>
    <w:rsid w:val="00275A46"/>
    <w:rsid w:val="00276D5D"/>
    <w:rsid w:val="00277223"/>
    <w:rsid w:val="00285319"/>
    <w:rsid w:val="0028585B"/>
    <w:rsid w:val="00286420"/>
    <w:rsid w:val="002871D2"/>
    <w:rsid w:val="00291002"/>
    <w:rsid w:val="00297863"/>
    <w:rsid w:val="002A0265"/>
    <w:rsid w:val="002A1724"/>
    <w:rsid w:val="002B0227"/>
    <w:rsid w:val="002B0E96"/>
    <w:rsid w:val="002B6DF9"/>
    <w:rsid w:val="002B7D78"/>
    <w:rsid w:val="002C22BE"/>
    <w:rsid w:val="002C2A22"/>
    <w:rsid w:val="002C4A80"/>
    <w:rsid w:val="002C7ECF"/>
    <w:rsid w:val="002D02E7"/>
    <w:rsid w:val="002D0FBD"/>
    <w:rsid w:val="002D2BD0"/>
    <w:rsid w:val="002D4307"/>
    <w:rsid w:val="002F1D81"/>
    <w:rsid w:val="002F2913"/>
    <w:rsid w:val="00300972"/>
    <w:rsid w:val="00301E2B"/>
    <w:rsid w:val="00302DC1"/>
    <w:rsid w:val="0031039B"/>
    <w:rsid w:val="00317A45"/>
    <w:rsid w:val="00317DFD"/>
    <w:rsid w:val="00322331"/>
    <w:rsid w:val="0032248C"/>
    <w:rsid w:val="00327F78"/>
    <w:rsid w:val="00332321"/>
    <w:rsid w:val="00332366"/>
    <w:rsid w:val="00335A14"/>
    <w:rsid w:val="00336B56"/>
    <w:rsid w:val="00336E9F"/>
    <w:rsid w:val="003405A7"/>
    <w:rsid w:val="00340F29"/>
    <w:rsid w:val="00342C1C"/>
    <w:rsid w:val="00345702"/>
    <w:rsid w:val="0034707A"/>
    <w:rsid w:val="0034796B"/>
    <w:rsid w:val="00350684"/>
    <w:rsid w:val="00352BE9"/>
    <w:rsid w:val="00353C15"/>
    <w:rsid w:val="00364B5A"/>
    <w:rsid w:val="003676E2"/>
    <w:rsid w:val="0037076B"/>
    <w:rsid w:val="0037447A"/>
    <w:rsid w:val="00376346"/>
    <w:rsid w:val="0038083D"/>
    <w:rsid w:val="003810A1"/>
    <w:rsid w:val="00384728"/>
    <w:rsid w:val="003930D5"/>
    <w:rsid w:val="003A21D1"/>
    <w:rsid w:val="003A4486"/>
    <w:rsid w:val="003A7EE0"/>
    <w:rsid w:val="003B01C6"/>
    <w:rsid w:val="003B27C6"/>
    <w:rsid w:val="003B2930"/>
    <w:rsid w:val="003B6A5E"/>
    <w:rsid w:val="003B7FA9"/>
    <w:rsid w:val="003C0E5E"/>
    <w:rsid w:val="003C2699"/>
    <w:rsid w:val="003C775D"/>
    <w:rsid w:val="003C7E17"/>
    <w:rsid w:val="003D5D8B"/>
    <w:rsid w:val="003E05A2"/>
    <w:rsid w:val="003E7DA9"/>
    <w:rsid w:val="003F0DD3"/>
    <w:rsid w:val="003F3A05"/>
    <w:rsid w:val="003F61CB"/>
    <w:rsid w:val="004040B1"/>
    <w:rsid w:val="004048C7"/>
    <w:rsid w:val="00407F82"/>
    <w:rsid w:val="0041305A"/>
    <w:rsid w:val="00413BD9"/>
    <w:rsid w:val="0041580B"/>
    <w:rsid w:val="00417B84"/>
    <w:rsid w:val="004210D4"/>
    <w:rsid w:val="004219C7"/>
    <w:rsid w:val="00423276"/>
    <w:rsid w:val="00430E44"/>
    <w:rsid w:val="00433F84"/>
    <w:rsid w:val="004355FE"/>
    <w:rsid w:val="00441759"/>
    <w:rsid w:val="00442A7F"/>
    <w:rsid w:val="00446908"/>
    <w:rsid w:val="00446A92"/>
    <w:rsid w:val="00452AE2"/>
    <w:rsid w:val="0045535A"/>
    <w:rsid w:val="0045655E"/>
    <w:rsid w:val="004622C3"/>
    <w:rsid w:val="004648FA"/>
    <w:rsid w:val="00465C98"/>
    <w:rsid w:val="00477435"/>
    <w:rsid w:val="00477F62"/>
    <w:rsid w:val="00481885"/>
    <w:rsid w:val="00484783"/>
    <w:rsid w:val="00491E9B"/>
    <w:rsid w:val="00492D3C"/>
    <w:rsid w:val="0049306F"/>
    <w:rsid w:val="00494B25"/>
    <w:rsid w:val="00496760"/>
    <w:rsid w:val="004A2355"/>
    <w:rsid w:val="004A4EBE"/>
    <w:rsid w:val="004A7F10"/>
    <w:rsid w:val="004B3AE5"/>
    <w:rsid w:val="004B4AB8"/>
    <w:rsid w:val="004C4068"/>
    <w:rsid w:val="004D17FB"/>
    <w:rsid w:val="004D2E35"/>
    <w:rsid w:val="004D4B94"/>
    <w:rsid w:val="004D5248"/>
    <w:rsid w:val="004D628F"/>
    <w:rsid w:val="004E25DB"/>
    <w:rsid w:val="004F4986"/>
    <w:rsid w:val="004F4DF8"/>
    <w:rsid w:val="0050493A"/>
    <w:rsid w:val="00510199"/>
    <w:rsid w:val="005138E3"/>
    <w:rsid w:val="00521075"/>
    <w:rsid w:val="0052108D"/>
    <w:rsid w:val="00523237"/>
    <w:rsid w:val="00530226"/>
    <w:rsid w:val="0053202D"/>
    <w:rsid w:val="005464A0"/>
    <w:rsid w:val="005533BE"/>
    <w:rsid w:val="00553EFC"/>
    <w:rsid w:val="005607AD"/>
    <w:rsid w:val="00572A41"/>
    <w:rsid w:val="00583F50"/>
    <w:rsid w:val="00586FED"/>
    <w:rsid w:val="005944D8"/>
    <w:rsid w:val="00596DC7"/>
    <w:rsid w:val="005B11A3"/>
    <w:rsid w:val="005B1A5F"/>
    <w:rsid w:val="005C1803"/>
    <w:rsid w:val="005C451C"/>
    <w:rsid w:val="005C4A89"/>
    <w:rsid w:val="005C6E35"/>
    <w:rsid w:val="005D5FAE"/>
    <w:rsid w:val="005E2B9A"/>
    <w:rsid w:val="005E7328"/>
    <w:rsid w:val="005F658D"/>
    <w:rsid w:val="00600B68"/>
    <w:rsid w:val="00601BEB"/>
    <w:rsid w:val="00604986"/>
    <w:rsid w:val="00605C6C"/>
    <w:rsid w:val="006109C0"/>
    <w:rsid w:val="00610EA4"/>
    <w:rsid w:val="006130EC"/>
    <w:rsid w:val="00614E6D"/>
    <w:rsid w:val="00615F04"/>
    <w:rsid w:val="00616CE1"/>
    <w:rsid w:val="00621927"/>
    <w:rsid w:val="00624449"/>
    <w:rsid w:val="006260FC"/>
    <w:rsid w:val="00627584"/>
    <w:rsid w:val="00632C56"/>
    <w:rsid w:val="0063785B"/>
    <w:rsid w:val="006403D5"/>
    <w:rsid w:val="006445B9"/>
    <w:rsid w:val="006679D1"/>
    <w:rsid w:val="006679EF"/>
    <w:rsid w:val="00671043"/>
    <w:rsid w:val="0067170E"/>
    <w:rsid w:val="0067518D"/>
    <w:rsid w:val="00684E6E"/>
    <w:rsid w:val="006872A6"/>
    <w:rsid w:val="006909B9"/>
    <w:rsid w:val="006910BE"/>
    <w:rsid w:val="00692943"/>
    <w:rsid w:val="0069529E"/>
    <w:rsid w:val="00695F0A"/>
    <w:rsid w:val="006964E3"/>
    <w:rsid w:val="00696F18"/>
    <w:rsid w:val="006A07CE"/>
    <w:rsid w:val="006B07D7"/>
    <w:rsid w:val="006B15E9"/>
    <w:rsid w:val="006B3106"/>
    <w:rsid w:val="006B4F32"/>
    <w:rsid w:val="006B774D"/>
    <w:rsid w:val="006C03A6"/>
    <w:rsid w:val="006C11AD"/>
    <w:rsid w:val="006C1629"/>
    <w:rsid w:val="006C27E2"/>
    <w:rsid w:val="006C4B7C"/>
    <w:rsid w:val="006C73A6"/>
    <w:rsid w:val="006D01E5"/>
    <w:rsid w:val="006D146B"/>
    <w:rsid w:val="006D1EAD"/>
    <w:rsid w:val="006D231B"/>
    <w:rsid w:val="006D4F7C"/>
    <w:rsid w:val="006E2626"/>
    <w:rsid w:val="006E48A2"/>
    <w:rsid w:val="006E6C0E"/>
    <w:rsid w:val="006E755A"/>
    <w:rsid w:val="006F0239"/>
    <w:rsid w:val="00701085"/>
    <w:rsid w:val="007028F9"/>
    <w:rsid w:val="00704DDD"/>
    <w:rsid w:val="00710801"/>
    <w:rsid w:val="00710DE1"/>
    <w:rsid w:val="007125BD"/>
    <w:rsid w:val="007164D3"/>
    <w:rsid w:val="00717BF9"/>
    <w:rsid w:val="007213EE"/>
    <w:rsid w:val="0072528C"/>
    <w:rsid w:val="007257CB"/>
    <w:rsid w:val="007362D7"/>
    <w:rsid w:val="007403A1"/>
    <w:rsid w:val="00742CA8"/>
    <w:rsid w:val="00745F7A"/>
    <w:rsid w:val="00750EC0"/>
    <w:rsid w:val="007525AE"/>
    <w:rsid w:val="00763C11"/>
    <w:rsid w:val="007660C6"/>
    <w:rsid w:val="00776FF2"/>
    <w:rsid w:val="00780E7D"/>
    <w:rsid w:val="00781529"/>
    <w:rsid w:val="00782421"/>
    <w:rsid w:val="00782C36"/>
    <w:rsid w:val="00782FE5"/>
    <w:rsid w:val="00785EFA"/>
    <w:rsid w:val="00786AB4"/>
    <w:rsid w:val="00791266"/>
    <w:rsid w:val="00791FE1"/>
    <w:rsid w:val="00796FD3"/>
    <w:rsid w:val="00797354"/>
    <w:rsid w:val="007A045B"/>
    <w:rsid w:val="007A2571"/>
    <w:rsid w:val="007A4F23"/>
    <w:rsid w:val="007A5090"/>
    <w:rsid w:val="007A55A6"/>
    <w:rsid w:val="007A59A4"/>
    <w:rsid w:val="007B1C53"/>
    <w:rsid w:val="007B1CFF"/>
    <w:rsid w:val="007B69B3"/>
    <w:rsid w:val="007B7A42"/>
    <w:rsid w:val="007D2897"/>
    <w:rsid w:val="007D4CE3"/>
    <w:rsid w:val="007D6B9E"/>
    <w:rsid w:val="007E3B7C"/>
    <w:rsid w:val="007F3CF4"/>
    <w:rsid w:val="007F6DA4"/>
    <w:rsid w:val="007F72AF"/>
    <w:rsid w:val="007F7448"/>
    <w:rsid w:val="008026E6"/>
    <w:rsid w:val="00806804"/>
    <w:rsid w:val="00814195"/>
    <w:rsid w:val="0082224C"/>
    <w:rsid w:val="0082251E"/>
    <w:rsid w:val="00827F11"/>
    <w:rsid w:val="00830676"/>
    <w:rsid w:val="00832044"/>
    <w:rsid w:val="00833B5D"/>
    <w:rsid w:val="0083701C"/>
    <w:rsid w:val="008378A2"/>
    <w:rsid w:val="0084191B"/>
    <w:rsid w:val="00850B98"/>
    <w:rsid w:val="008542CA"/>
    <w:rsid w:val="0085441A"/>
    <w:rsid w:val="0085612F"/>
    <w:rsid w:val="00856FD9"/>
    <w:rsid w:val="008573E5"/>
    <w:rsid w:val="008605BD"/>
    <w:rsid w:val="00864C2A"/>
    <w:rsid w:val="00867D90"/>
    <w:rsid w:val="008772B7"/>
    <w:rsid w:val="00883AD6"/>
    <w:rsid w:val="00884C9F"/>
    <w:rsid w:val="00887F3F"/>
    <w:rsid w:val="00892D66"/>
    <w:rsid w:val="008939F7"/>
    <w:rsid w:val="00895249"/>
    <w:rsid w:val="00896040"/>
    <w:rsid w:val="008A0436"/>
    <w:rsid w:val="008A0CD3"/>
    <w:rsid w:val="008A3327"/>
    <w:rsid w:val="008A3DD6"/>
    <w:rsid w:val="008B18A8"/>
    <w:rsid w:val="008B2BBF"/>
    <w:rsid w:val="008B392D"/>
    <w:rsid w:val="008C5103"/>
    <w:rsid w:val="008E2B4B"/>
    <w:rsid w:val="008E626F"/>
    <w:rsid w:val="008F0A6A"/>
    <w:rsid w:val="008F746A"/>
    <w:rsid w:val="008F7B2D"/>
    <w:rsid w:val="00903B19"/>
    <w:rsid w:val="00904E14"/>
    <w:rsid w:val="00906145"/>
    <w:rsid w:val="00907E1B"/>
    <w:rsid w:val="00910BBB"/>
    <w:rsid w:val="00912B59"/>
    <w:rsid w:val="00913BBD"/>
    <w:rsid w:val="00913D6E"/>
    <w:rsid w:val="0092196F"/>
    <w:rsid w:val="00922D98"/>
    <w:rsid w:val="0092310A"/>
    <w:rsid w:val="00930F1B"/>
    <w:rsid w:val="0094153F"/>
    <w:rsid w:val="00943752"/>
    <w:rsid w:val="00946F67"/>
    <w:rsid w:val="0096290D"/>
    <w:rsid w:val="00962FB9"/>
    <w:rsid w:val="0096600D"/>
    <w:rsid w:val="0096666B"/>
    <w:rsid w:val="009755BE"/>
    <w:rsid w:val="0098188F"/>
    <w:rsid w:val="00983B1A"/>
    <w:rsid w:val="00984AEC"/>
    <w:rsid w:val="009877B1"/>
    <w:rsid w:val="00993742"/>
    <w:rsid w:val="00994359"/>
    <w:rsid w:val="009966FA"/>
    <w:rsid w:val="00997420"/>
    <w:rsid w:val="0099780F"/>
    <w:rsid w:val="009A1BBC"/>
    <w:rsid w:val="009B1E75"/>
    <w:rsid w:val="009B26E3"/>
    <w:rsid w:val="009B6065"/>
    <w:rsid w:val="009B7421"/>
    <w:rsid w:val="009C2904"/>
    <w:rsid w:val="009C4B01"/>
    <w:rsid w:val="009D4C0E"/>
    <w:rsid w:val="009F0CDF"/>
    <w:rsid w:val="009F20CD"/>
    <w:rsid w:val="009F25AA"/>
    <w:rsid w:val="009F2AFD"/>
    <w:rsid w:val="009F2F0F"/>
    <w:rsid w:val="00A004BB"/>
    <w:rsid w:val="00A029E8"/>
    <w:rsid w:val="00A03194"/>
    <w:rsid w:val="00A11266"/>
    <w:rsid w:val="00A16A05"/>
    <w:rsid w:val="00A1753F"/>
    <w:rsid w:val="00A179BA"/>
    <w:rsid w:val="00A25D9C"/>
    <w:rsid w:val="00A262E5"/>
    <w:rsid w:val="00A324CA"/>
    <w:rsid w:val="00A360A5"/>
    <w:rsid w:val="00A43112"/>
    <w:rsid w:val="00A434F6"/>
    <w:rsid w:val="00A45D1C"/>
    <w:rsid w:val="00A46330"/>
    <w:rsid w:val="00A540C5"/>
    <w:rsid w:val="00A5457D"/>
    <w:rsid w:val="00A547FE"/>
    <w:rsid w:val="00A57712"/>
    <w:rsid w:val="00A61A8E"/>
    <w:rsid w:val="00A64DD6"/>
    <w:rsid w:val="00A82BE1"/>
    <w:rsid w:val="00A87150"/>
    <w:rsid w:val="00A936C8"/>
    <w:rsid w:val="00AA2182"/>
    <w:rsid w:val="00AB431B"/>
    <w:rsid w:val="00AB4574"/>
    <w:rsid w:val="00AC3975"/>
    <w:rsid w:val="00AC4BC8"/>
    <w:rsid w:val="00AD1252"/>
    <w:rsid w:val="00AD36C7"/>
    <w:rsid w:val="00AD59A6"/>
    <w:rsid w:val="00AD5C9A"/>
    <w:rsid w:val="00AE008E"/>
    <w:rsid w:val="00AE0688"/>
    <w:rsid w:val="00AE0973"/>
    <w:rsid w:val="00AE1DA4"/>
    <w:rsid w:val="00AE2B42"/>
    <w:rsid w:val="00AE3C96"/>
    <w:rsid w:val="00AF0818"/>
    <w:rsid w:val="00AF3F9D"/>
    <w:rsid w:val="00AF60F9"/>
    <w:rsid w:val="00B000A1"/>
    <w:rsid w:val="00B0050E"/>
    <w:rsid w:val="00B023C3"/>
    <w:rsid w:val="00B025BF"/>
    <w:rsid w:val="00B050F6"/>
    <w:rsid w:val="00B15E8C"/>
    <w:rsid w:val="00B17F1A"/>
    <w:rsid w:val="00B216F0"/>
    <w:rsid w:val="00B25163"/>
    <w:rsid w:val="00B30CB5"/>
    <w:rsid w:val="00B31328"/>
    <w:rsid w:val="00B31617"/>
    <w:rsid w:val="00B4020C"/>
    <w:rsid w:val="00B4034C"/>
    <w:rsid w:val="00B405D4"/>
    <w:rsid w:val="00B42F43"/>
    <w:rsid w:val="00B50AC4"/>
    <w:rsid w:val="00B53338"/>
    <w:rsid w:val="00B555AF"/>
    <w:rsid w:val="00B650B7"/>
    <w:rsid w:val="00B6710B"/>
    <w:rsid w:val="00B671C5"/>
    <w:rsid w:val="00B71EA1"/>
    <w:rsid w:val="00B7771D"/>
    <w:rsid w:val="00B77F99"/>
    <w:rsid w:val="00B80793"/>
    <w:rsid w:val="00B827BC"/>
    <w:rsid w:val="00B82DBF"/>
    <w:rsid w:val="00B84CC0"/>
    <w:rsid w:val="00B94A93"/>
    <w:rsid w:val="00B94D4E"/>
    <w:rsid w:val="00BA020E"/>
    <w:rsid w:val="00BA3CA9"/>
    <w:rsid w:val="00BA7A9F"/>
    <w:rsid w:val="00BB393B"/>
    <w:rsid w:val="00BB4F00"/>
    <w:rsid w:val="00BC0E04"/>
    <w:rsid w:val="00BC4492"/>
    <w:rsid w:val="00BC58D7"/>
    <w:rsid w:val="00BD0156"/>
    <w:rsid w:val="00BE06CF"/>
    <w:rsid w:val="00BE10D8"/>
    <w:rsid w:val="00BE5F13"/>
    <w:rsid w:val="00BE72D9"/>
    <w:rsid w:val="00BF61BD"/>
    <w:rsid w:val="00C00421"/>
    <w:rsid w:val="00C0136E"/>
    <w:rsid w:val="00C06EED"/>
    <w:rsid w:val="00C1100C"/>
    <w:rsid w:val="00C11118"/>
    <w:rsid w:val="00C14E75"/>
    <w:rsid w:val="00C20D0C"/>
    <w:rsid w:val="00C232D2"/>
    <w:rsid w:val="00C237D6"/>
    <w:rsid w:val="00C314FA"/>
    <w:rsid w:val="00C327AE"/>
    <w:rsid w:val="00C3351F"/>
    <w:rsid w:val="00C34D87"/>
    <w:rsid w:val="00C36014"/>
    <w:rsid w:val="00C37BBD"/>
    <w:rsid w:val="00C4035B"/>
    <w:rsid w:val="00C42D8C"/>
    <w:rsid w:val="00C46410"/>
    <w:rsid w:val="00C53C73"/>
    <w:rsid w:val="00C55E67"/>
    <w:rsid w:val="00C635A7"/>
    <w:rsid w:val="00C65DC3"/>
    <w:rsid w:val="00C66C36"/>
    <w:rsid w:val="00C710EF"/>
    <w:rsid w:val="00C71FC8"/>
    <w:rsid w:val="00C722A7"/>
    <w:rsid w:val="00C73FF6"/>
    <w:rsid w:val="00C74F29"/>
    <w:rsid w:val="00C7680B"/>
    <w:rsid w:val="00C84132"/>
    <w:rsid w:val="00C84DF1"/>
    <w:rsid w:val="00C84E4C"/>
    <w:rsid w:val="00C85B2A"/>
    <w:rsid w:val="00C93278"/>
    <w:rsid w:val="00CA6F38"/>
    <w:rsid w:val="00CB40A3"/>
    <w:rsid w:val="00CC1C10"/>
    <w:rsid w:val="00CC2B2A"/>
    <w:rsid w:val="00CC49A8"/>
    <w:rsid w:val="00CD6FEA"/>
    <w:rsid w:val="00CE03D1"/>
    <w:rsid w:val="00CE5D85"/>
    <w:rsid w:val="00CF5953"/>
    <w:rsid w:val="00D019DA"/>
    <w:rsid w:val="00D06379"/>
    <w:rsid w:val="00D120EE"/>
    <w:rsid w:val="00D15822"/>
    <w:rsid w:val="00D15CDC"/>
    <w:rsid w:val="00D26436"/>
    <w:rsid w:val="00D27B91"/>
    <w:rsid w:val="00D27C0A"/>
    <w:rsid w:val="00D32ABF"/>
    <w:rsid w:val="00D435E6"/>
    <w:rsid w:val="00D4587A"/>
    <w:rsid w:val="00D47E43"/>
    <w:rsid w:val="00D52B0A"/>
    <w:rsid w:val="00D53D15"/>
    <w:rsid w:val="00D544B7"/>
    <w:rsid w:val="00D5567F"/>
    <w:rsid w:val="00D615D0"/>
    <w:rsid w:val="00D6166B"/>
    <w:rsid w:val="00D63F38"/>
    <w:rsid w:val="00D64315"/>
    <w:rsid w:val="00D645B5"/>
    <w:rsid w:val="00D650B2"/>
    <w:rsid w:val="00D71A77"/>
    <w:rsid w:val="00D71F8E"/>
    <w:rsid w:val="00D83004"/>
    <w:rsid w:val="00D83AB0"/>
    <w:rsid w:val="00D85B21"/>
    <w:rsid w:val="00D872A3"/>
    <w:rsid w:val="00D87E7D"/>
    <w:rsid w:val="00D9484E"/>
    <w:rsid w:val="00DA1882"/>
    <w:rsid w:val="00DB3879"/>
    <w:rsid w:val="00DC5C89"/>
    <w:rsid w:val="00DD5E7A"/>
    <w:rsid w:val="00DD69D9"/>
    <w:rsid w:val="00DE1198"/>
    <w:rsid w:val="00DE4937"/>
    <w:rsid w:val="00DF01B7"/>
    <w:rsid w:val="00DF1351"/>
    <w:rsid w:val="00DF3C5B"/>
    <w:rsid w:val="00DF4080"/>
    <w:rsid w:val="00E03D9E"/>
    <w:rsid w:val="00E1520E"/>
    <w:rsid w:val="00E15EC6"/>
    <w:rsid w:val="00E16B77"/>
    <w:rsid w:val="00E216DD"/>
    <w:rsid w:val="00E23120"/>
    <w:rsid w:val="00E24D2C"/>
    <w:rsid w:val="00E263CE"/>
    <w:rsid w:val="00E322DA"/>
    <w:rsid w:val="00E433E3"/>
    <w:rsid w:val="00E461BF"/>
    <w:rsid w:val="00E46DD8"/>
    <w:rsid w:val="00E501E8"/>
    <w:rsid w:val="00E54FB9"/>
    <w:rsid w:val="00E5666D"/>
    <w:rsid w:val="00E567F1"/>
    <w:rsid w:val="00E6345D"/>
    <w:rsid w:val="00E645DB"/>
    <w:rsid w:val="00E64D98"/>
    <w:rsid w:val="00E6780B"/>
    <w:rsid w:val="00E67F36"/>
    <w:rsid w:val="00E74851"/>
    <w:rsid w:val="00E74F9D"/>
    <w:rsid w:val="00E751FC"/>
    <w:rsid w:val="00E86E59"/>
    <w:rsid w:val="00E970CE"/>
    <w:rsid w:val="00E97127"/>
    <w:rsid w:val="00EA151B"/>
    <w:rsid w:val="00EA63E8"/>
    <w:rsid w:val="00EC4ECA"/>
    <w:rsid w:val="00EC579B"/>
    <w:rsid w:val="00EC6C87"/>
    <w:rsid w:val="00ED2CF7"/>
    <w:rsid w:val="00ED6931"/>
    <w:rsid w:val="00EE1431"/>
    <w:rsid w:val="00EE3E4B"/>
    <w:rsid w:val="00EE3EA1"/>
    <w:rsid w:val="00EF1CC5"/>
    <w:rsid w:val="00F01D7A"/>
    <w:rsid w:val="00F04754"/>
    <w:rsid w:val="00F04EF5"/>
    <w:rsid w:val="00F07651"/>
    <w:rsid w:val="00F106E3"/>
    <w:rsid w:val="00F14906"/>
    <w:rsid w:val="00F226DE"/>
    <w:rsid w:val="00F2345E"/>
    <w:rsid w:val="00F23D99"/>
    <w:rsid w:val="00F27283"/>
    <w:rsid w:val="00F3153D"/>
    <w:rsid w:val="00F31CB6"/>
    <w:rsid w:val="00F40A2A"/>
    <w:rsid w:val="00F4193B"/>
    <w:rsid w:val="00F427F9"/>
    <w:rsid w:val="00F53A6B"/>
    <w:rsid w:val="00F61B54"/>
    <w:rsid w:val="00F62143"/>
    <w:rsid w:val="00F674BD"/>
    <w:rsid w:val="00F71640"/>
    <w:rsid w:val="00F77CB4"/>
    <w:rsid w:val="00F77D07"/>
    <w:rsid w:val="00F81418"/>
    <w:rsid w:val="00F8323A"/>
    <w:rsid w:val="00F832E9"/>
    <w:rsid w:val="00F863D0"/>
    <w:rsid w:val="00F86F16"/>
    <w:rsid w:val="00F94388"/>
    <w:rsid w:val="00FA0397"/>
    <w:rsid w:val="00FA115F"/>
    <w:rsid w:val="00FA2764"/>
    <w:rsid w:val="00FA699C"/>
    <w:rsid w:val="00FB3D8B"/>
    <w:rsid w:val="00FB4F5C"/>
    <w:rsid w:val="00FB6A69"/>
    <w:rsid w:val="00FC052C"/>
    <w:rsid w:val="00FD20DA"/>
    <w:rsid w:val="00FD487B"/>
    <w:rsid w:val="00FE414E"/>
    <w:rsid w:val="00FE5FE2"/>
    <w:rsid w:val="00FE61D7"/>
    <w:rsid w:val="00FE7643"/>
    <w:rsid w:val="00FE7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display/StateAid/Homepage" TargetMode="External"/><Relationship Id="rId1" Type="http://schemas.openxmlformats.org/officeDocument/2006/relationships/hyperlink" Target="https://webgate.ec.europa.eu/fpfis/wikis/pages/viewpage.action?pageId=177902081&amp;pagepropertiesreport.serverr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32B7-E398-456C-B1F3-FBF99C6B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4828</Words>
  <Characters>27522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subject>
  <dc:creator>Švirksta</dc:creator>
  <dc:description>Švirksta
67047878
Inta.Svirksta@izm.gov.lv</dc:description>
  <cp:lastModifiedBy>Inta Švirksta</cp:lastModifiedBy>
  <cp:revision>4</cp:revision>
  <cp:lastPrinted>2019-03-15T11:09:00Z</cp:lastPrinted>
  <dcterms:created xsi:type="dcterms:W3CDTF">2019-04-29T10:59:00Z</dcterms:created>
  <dcterms:modified xsi:type="dcterms:W3CDTF">2019-04-29T11:08:00Z</dcterms:modified>
</cp:coreProperties>
</file>