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74E53" w14:textId="77777777" w:rsidR="00C50D47" w:rsidRPr="006F6D1E" w:rsidRDefault="00BC529D" w:rsidP="00E273A1">
      <w:pPr>
        <w:pStyle w:val="NormalWeb"/>
        <w:spacing w:before="0" w:beforeAutospacing="0" w:after="0" w:afterAutospacing="0"/>
        <w:jc w:val="center"/>
        <w:rPr>
          <w:rFonts w:ascii="Times New Roman" w:hAnsi="Times New Roman"/>
          <w:b/>
          <w:bCs/>
          <w:sz w:val="26"/>
          <w:szCs w:val="26"/>
          <w:lang w:val="lv-LV" w:eastAsia="lv-LV"/>
        </w:rPr>
      </w:pPr>
      <w:r w:rsidRPr="006F6D1E">
        <w:rPr>
          <w:rFonts w:ascii="Times New Roman" w:hAnsi="Times New Roman"/>
          <w:b/>
          <w:bCs/>
          <w:sz w:val="26"/>
          <w:szCs w:val="26"/>
          <w:lang w:val="lv-LV" w:eastAsia="lv-LV"/>
        </w:rPr>
        <w:t>Minist</w:t>
      </w:r>
      <w:r w:rsidR="00694072" w:rsidRPr="006F6D1E">
        <w:rPr>
          <w:rFonts w:ascii="Times New Roman" w:hAnsi="Times New Roman"/>
          <w:b/>
          <w:bCs/>
          <w:sz w:val="26"/>
          <w:szCs w:val="26"/>
          <w:lang w:val="lv-LV" w:eastAsia="lv-LV"/>
        </w:rPr>
        <w:t>ru kabineta noteikumu projektu kopas par izglītību un profesionālo kvalifikāciju apliecinošiem dokumentiem, kurus atzīst, piemērojot speciālo profesionālās kvalifikācijas atzīšanas sistēmu,</w:t>
      </w:r>
      <w:r w:rsidRPr="006F6D1E">
        <w:rPr>
          <w:rFonts w:ascii="Times New Roman" w:hAnsi="Times New Roman"/>
          <w:b/>
          <w:bCs/>
          <w:sz w:val="26"/>
          <w:szCs w:val="26"/>
          <w:lang w:val="lv-LV" w:eastAsia="lv-LV"/>
        </w:rPr>
        <w:t xml:space="preserve"> sākotnējās ietekmes novērtējuma ziņojums (</w:t>
      </w:r>
      <w:r w:rsidR="00694072" w:rsidRPr="006F6D1E">
        <w:rPr>
          <w:rFonts w:ascii="Times New Roman" w:hAnsi="Times New Roman"/>
          <w:b/>
          <w:bCs/>
          <w:sz w:val="26"/>
          <w:szCs w:val="26"/>
          <w:lang w:val="lv-LV" w:eastAsia="lv-LV"/>
        </w:rPr>
        <w:t xml:space="preserve">apvienotā </w:t>
      </w:r>
      <w:r w:rsidRPr="006F6D1E">
        <w:rPr>
          <w:rFonts w:ascii="Times New Roman" w:hAnsi="Times New Roman"/>
          <w:b/>
          <w:bCs/>
          <w:sz w:val="26"/>
          <w:szCs w:val="26"/>
          <w:lang w:val="lv-LV" w:eastAsia="lv-LV"/>
        </w:rPr>
        <w:t>anotācija)</w:t>
      </w:r>
    </w:p>
    <w:p w14:paraId="0A474E54" w14:textId="77777777" w:rsidR="00161647" w:rsidRPr="006F6D1E" w:rsidRDefault="00161647" w:rsidP="00161647">
      <w:pPr>
        <w:pStyle w:val="Title"/>
        <w:spacing w:before="130" w:line="260" w:lineRule="exact"/>
        <w:jc w:val="both"/>
        <w:rPr>
          <w:sz w:val="24"/>
          <w:szCs w:val="24"/>
        </w:rPr>
      </w:pP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122"/>
        <w:gridCol w:w="7047"/>
      </w:tblGrid>
      <w:tr w:rsidR="00E3290D" w:rsidRPr="006F6D1E" w14:paraId="0A474E56" w14:textId="77777777" w:rsidTr="0035526D">
        <w:trPr>
          <w:cantSplit/>
        </w:trPr>
        <w:tc>
          <w:tcPr>
            <w:tcW w:w="9169" w:type="dxa"/>
            <w:gridSpan w:val="2"/>
            <w:shd w:val="clear" w:color="auto" w:fill="FFFFFF"/>
            <w:vAlign w:val="center"/>
            <w:hideMark/>
          </w:tcPr>
          <w:p w14:paraId="0A474E55" w14:textId="77777777" w:rsidR="00BD5588" w:rsidRPr="006F6D1E" w:rsidRDefault="00BC529D" w:rsidP="00E273A1">
            <w:pPr>
              <w:jc w:val="center"/>
              <w:rPr>
                <w:b/>
                <w:iCs/>
                <w:lang w:eastAsia="en-US"/>
              </w:rPr>
            </w:pPr>
            <w:r w:rsidRPr="006F6D1E">
              <w:rPr>
                <w:b/>
                <w:iCs/>
                <w:lang w:eastAsia="en-US"/>
              </w:rPr>
              <w:t>Tiesību akta projekta anotācijas kopsavilkums</w:t>
            </w:r>
          </w:p>
        </w:tc>
      </w:tr>
      <w:tr w:rsidR="00E3290D" w:rsidRPr="006F6D1E" w14:paraId="0A474E5A" w14:textId="77777777" w:rsidTr="0035526D">
        <w:trPr>
          <w:cantSplit/>
        </w:trPr>
        <w:tc>
          <w:tcPr>
            <w:tcW w:w="2122" w:type="dxa"/>
            <w:shd w:val="clear" w:color="auto" w:fill="FFFFFF"/>
            <w:hideMark/>
          </w:tcPr>
          <w:p w14:paraId="0A474E57" w14:textId="77777777" w:rsidR="00BD5588" w:rsidRPr="006F6D1E" w:rsidRDefault="00BC529D" w:rsidP="00E273A1">
            <w:pPr>
              <w:rPr>
                <w:iCs/>
                <w:lang w:eastAsia="en-US"/>
              </w:rPr>
            </w:pPr>
            <w:r w:rsidRPr="006F6D1E">
              <w:rPr>
                <w:iCs/>
                <w:lang w:eastAsia="en-US"/>
              </w:rPr>
              <w:t>Mērķis, risinājums un projekta spēkā stāšanās laiks (500 zīmes bez atstarpēm)</w:t>
            </w:r>
          </w:p>
        </w:tc>
        <w:tc>
          <w:tcPr>
            <w:tcW w:w="7047" w:type="dxa"/>
            <w:shd w:val="clear" w:color="auto" w:fill="FFFFFF"/>
            <w:hideMark/>
          </w:tcPr>
          <w:p w14:paraId="0A474E59" w14:textId="5CB849C9" w:rsidR="00770594" w:rsidRPr="006F6D1E" w:rsidRDefault="008F2F1B" w:rsidP="00496D93">
            <w:pPr>
              <w:jc w:val="both"/>
              <w:rPr>
                <w:bCs/>
                <w:bdr w:val="none" w:sz="0" w:space="0" w:color="auto" w:frame="1"/>
                <w:shd w:val="clear" w:color="auto" w:fill="FFFFFF"/>
              </w:rPr>
            </w:pPr>
            <w:r w:rsidRPr="006F6D1E">
              <w:t xml:space="preserve">     </w:t>
            </w:r>
            <w:r w:rsidR="00C324B3" w:rsidRPr="006F6D1E">
              <w:t>Ministru kabineta n</w:t>
            </w:r>
            <w:r w:rsidR="00DD14EA" w:rsidRPr="006F6D1E">
              <w:t>oteikumu projektu m</w:t>
            </w:r>
            <w:r w:rsidR="00656B5C" w:rsidRPr="006F6D1E">
              <w:t xml:space="preserve">ērķis ir </w:t>
            </w:r>
            <w:r w:rsidR="00BC529D" w:rsidRPr="006F6D1E">
              <w:t xml:space="preserve">aktualizēt </w:t>
            </w:r>
            <w:r w:rsidR="00FA3B65" w:rsidRPr="006F6D1E">
              <w:t>se</w:t>
            </w:r>
            <w:r w:rsidR="006716A3" w:rsidRPr="006F6D1E">
              <w:t>šus</w:t>
            </w:r>
            <w:r w:rsidR="00FA3B65" w:rsidRPr="006F6D1E">
              <w:t xml:space="preserve"> </w:t>
            </w:r>
            <w:r w:rsidR="00BC529D" w:rsidRPr="006F6D1E">
              <w:t>Ministru kabinet</w:t>
            </w:r>
            <w:r w:rsidR="00A313A1" w:rsidRPr="006F6D1E">
              <w:t>a</w:t>
            </w:r>
            <w:r w:rsidR="00FA3B65" w:rsidRPr="006F6D1E">
              <w:t xml:space="preserve"> noteikumus, kas nosaka</w:t>
            </w:r>
            <w:r w:rsidR="00A313A1" w:rsidRPr="006F6D1E">
              <w:t xml:space="preserve"> </w:t>
            </w:r>
            <w:r w:rsidR="007A0521" w:rsidRPr="006F6D1E">
              <w:t xml:space="preserve">ārvalstīs iegūtus </w:t>
            </w:r>
            <w:r w:rsidR="00BC529D" w:rsidRPr="006F6D1E">
              <w:t>izglītību un profesio</w:t>
            </w:r>
            <w:r w:rsidR="00FA3B65" w:rsidRPr="006F6D1E">
              <w:t>nālo kvalifikāciju apliecinošos dokumentus</w:t>
            </w:r>
            <w:r w:rsidR="00BC529D" w:rsidRPr="006F6D1E">
              <w:t>, kurus atzīst, piemērojot speciālo profesionālās kvalifikācijas atzīšanas s</w:t>
            </w:r>
            <w:r w:rsidR="00FA3B65" w:rsidRPr="006F6D1E">
              <w:t>istēmu,</w:t>
            </w:r>
            <w:r w:rsidR="00BC529D" w:rsidRPr="006F6D1E">
              <w:t xml:space="preserve"> atbilstoši</w:t>
            </w:r>
            <w:r w:rsidR="006716A3" w:rsidRPr="006F6D1E">
              <w:t xml:space="preserve"> </w:t>
            </w:r>
            <w:r w:rsidR="006716A3" w:rsidRPr="006F6D1E">
              <w:rPr>
                <w:rStyle w:val="Strong"/>
                <w:b w:val="0"/>
                <w:bdr w:val="none" w:sz="0" w:space="0" w:color="auto" w:frame="1"/>
                <w:shd w:val="clear" w:color="auto" w:fill="FFFFFF"/>
              </w:rPr>
              <w:t>Eiropas Parlamenta un Padomes 2005.</w:t>
            </w:r>
            <w:r w:rsidR="00F56764" w:rsidRPr="006F6D1E">
              <w:rPr>
                <w:rStyle w:val="Strong"/>
                <w:b w:val="0"/>
                <w:bdr w:val="none" w:sz="0" w:space="0" w:color="auto" w:frame="1"/>
                <w:shd w:val="clear" w:color="auto" w:fill="FFFFFF"/>
              </w:rPr>
              <w:t> </w:t>
            </w:r>
            <w:r w:rsidR="006716A3" w:rsidRPr="006F6D1E">
              <w:rPr>
                <w:rStyle w:val="Strong"/>
                <w:b w:val="0"/>
                <w:bdr w:val="none" w:sz="0" w:space="0" w:color="auto" w:frame="1"/>
                <w:shd w:val="clear" w:color="auto" w:fill="FFFFFF"/>
              </w:rPr>
              <w:t>gada 7.</w:t>
            </w:r>
            <w:r w:rsidR="00F56764" w:rsidRPr="006F6D1E">
              <w:rPr>
                <w:rStyle w:val="Strong"/>
                <w:b w:val="0"/>
                <w:bdr w:val="none" w:sz="0" w:space="0" w:color="auto" w:frame="1"/>
                <w:shd w:val="clear" w:color="auto" w:fill="FFFFFF"/>
              </w:rPr>
              <w:t> </w:t>
            </w:r>
            <w:r w:rsidR="006716A3" w:rsidRPr="006F6D1E">
              <w:rPr>
                <w:rStyle w:val="Strong"/>
                <w:b w:val="0"/>
                <w:bdr w:val="none" w:sz="0" w:space="0" w:color="auto" w:frame="1"/>
                <w:shd w:val="clear" w:color="auto" w:fill="FFFFFF"/>
              </w:rPr>
              <w:t>septembra direktīvas 2005/36/EK par profesionālo kvalifikāciju atzīšanu (turpmāk – direktīva 2005/36/EK) prasībām</w:t>
            </w:r>
            <w:r w:rsidR="00A35D30" w:rsidRPr="006F6D1E">
              <w:rPr>
                <w:rStyle w:val="Strong"/>
                <w:b w:val="0"/>
                <w:bdr w:val="none" w:sz="0" w:space="0" w:color="auto" w:frame="1"/>
                <w:shd w:val="clear" w:color="auto" w:fill="FFFFFF"/>
              </w:rPr>
              <w:t>.</w:t>
            </w:r>
            <w:r w:rsidR="0035526D" w:rsidRPr="006F6D1E">
              <w:rPr>
                <w:rStyle w:val="Strong"/>
                <w:b w:val="0"/>
                <w:bdr w:val="none" w:sz="0" w:space="0" w:color="auto" w:frame="1"/>
                <w:shd w:val="clear" w:color="auto" w:fill="FFFFFF"/>
              </w:rPr>
              <w:t xml:space="preserve"> </w:t>
            </w:r>
            <w:r w:rsidR="00BC529D" w:rsidRPr="006F6D1E">
              <w:rPr>
                <w:rStyle w:val="Strong"/>
                <w:b w:val="0"/>
                <w:bdr w:val="none" w:sz="0" w:space="0" w:color="auto" w:frame="1"/>
                <w:shd w:val="clear" w:color="auto" w:fill="FFFFFF"/>
              </w:rPr>
              <w:t xml:space="preserve">Noteikumi stāsies spēkā </w:t>
            </w:r>
            <w:r w:rsidR="00B12B2D" w:rsidRPr="006F6D1E">
              <w:rPr>
                <w:rStyle w:val="Strong"/>
                <w:b w:val="0"/>
                <w:bdr w:val="none" w:sz="0" w:space="0" w:color="auto" w:frame="1"/>
                <w:shd w:val="clear" w:color="auto" w:fill="FFFFFF"/>
              </w:rPr>
              <w:t>Oficiālo publikāciju un tiesiskās informācijas likumā noteiktajā kārtībā.</w:t>
            </w:r>
          </w:p>
        </w:tc>
      </w:tr>
    </w:tbl>
    <w:p w14:paraId="0A474E5B" w14:textId="77777777" w:rsidR="00161647" w:rsidRPr="006F6D1E" w:rsidRDefault="00161647" w:rsidP="00161647">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6A0" w:firstRow="1" w:lastRow="0" w:firstColumn="1" w:lastColumn="0" w:noHBand="1" w:noVBand="1"/>
      </w:tblPr>
      <w:tblGrid>
        <w:gridCol w:w="279"/>
        <w:gridCol w:w="1844"/>
        <w:gridCol w:w="7044"/>
      </w:tblGrid>
      <w:tr w:rsidR="00E3290D" w:rsidRPr="006F6D1E" w14:paraId="0A474E5D" w14:textId="77777777" w:rsidTr="0035526D">
        <w:tc>
          <w:tcPr>
            <w:tcW w:w="5000" w:type="pct"/>
            <w:gridSpan w:val="3"/>
            <w:vAlign w:val="center"/>
            <w:hideMark/>
          </w:tcPr>
          <w:p w14:paraId="0A474E5C" w14:textId="77777777" w:rsidR="00BD5588" w:rsidRPr="006F6D1E" w:rsidRDefault="00BC529D" w:rsidP="00793205">
            <w:pPr>
              <w:widowControl w:val="0"/>
              <w:jc w:val="center"/>
              <w:rPr>
                <w:b/>
                <w:bCs/>
              </w:rPr>
            </w:pPr>
            <w:r w:rsidRPr="006F6D1E">
              <w:rPr>
                <w:b/>
                <w:bCs/>
              </w:rPr>
              <w:t>I. Tiesību akta projekta izstrādes nepieciešamība</w:t>
            </w:r>
          </w:p>
        </w:tc>
      </w:tr>
      <w:tr w:rsidR="00E3290D" w:rsidRPr="006F6D1E" w14:paraId="0A474E61" w14:textId="77777777" w:rsidTr="0035526D">
        <w:tc>
          <w:tcPr>
            <w:tcW w:w="152" w:type="pct"/>
            <w:hideMark/>
          </w:tcPr>
          <w:p w14:paraId="0A474E5E" w14:textId="77777777" w:rsidR="00BD5588" w:rsidRPr="006F6D1E" w:rsidRDefault="00BC529D" w:rsidP="00793205">
            <w:pPr>
              <w:widowControl w:val="0"/>
              <w:jc w:val="center"/>
            </w:pPr>
            <w:r w:rsidRPr="006F6D1E">
              <w:t>1.</w:t>
            </w:r>
          </w:p>
        </w:tc>
        <w:tc>
          <w:tcPr>
            <w:tcW w:w="1006" w:type="pct"/>
            <w:hideMark/>
          </w:tcPr>
          <w:p w14:paraId="0A474E5F" w14:textId="77777777" w:rsidR="00BD5588" w:rsidRPr="006F6D1E" w:rsidRDefault="00BC529D" w:rsidP="00793205">
            <w:pPr>
              <w:widowControl w:val="0"/>
            </w:pPr>
            <w:r w:rsidRPr="006F6D1E">
              <w:t>Pamatojums</w:t>
            </w:r>
          </w:p>
        </w:tc>
        <w:tc>
          <w:tcPr>
            <w:tcW w:w="3842" w:type="pct"/>
            <w:hideMark/>
          </w:tcPr>
          <w:p w14:paraId="5C250881" w14:textId="24F3856E" w:rsidR="004D2D34" w:rsidRPr="006F6D1E" w:rsidRDefault="008F2F1B" w:rsidP="00EE640D">
            <w:pPr>
              <w:pStyle w:val="BodyTextIndent2"/>
              <w:spacing w:after="0"/>
              <w:ind w:firstLine="0"/>
              <w:rPr>
                <w:sz w:val="24"/>
                <w:szCs w:val="24"/>
                <w:lang w:val="lv-LV"/>
              </w:rPr>
            </w:pPr>
            <w:r w:rsidRPr="006F6D1E">
              <w:rPr>
                <w:sz w:val="24"/>
                <w:szCs w:val="24"/>
                <w:lang w:val="lv-LV"/>
              </w:rPr>
              <w:t xml:space="preserve">     </w:t>
            </w:r>
            <w:r w:rsidR="00C324B3" w:rsidRPr="006F6D1E">
              <w:rPr>
                <w:sz w:val="24"/>
                <w:szCs w:val="24"/>
                <w:lang w:val="lv-LV"/>
              </w:rPr>
              <w:t>Ministru kabineta n</w:t>
            </w:r>
            <w:r w:rsidR="00BC529D" w:rsidRPr="006F6D1E">
              <w:rPr>
                <w:sz w:val="24"/>
                <w:szCs w:val="24"/>
                <w:lang w:val="lv-LV"/>
              </w:rPr>
              <w:t>oteikumu projekti izstrādāti saskaņā ar</w:t>
            </w:r>
            <w:r w:rsidR="004A74F5" w:rsidRPr="006F6D1E">
              <w:rPr>
                <w:sz w:val="24"/>
                <w:szCs w:val="24"/>
                <w:lang w:val="lv-LV"/>
              </w:rPr>
              <w:t>:</w:t>
            </w:r>
            <w:r w:rsidR="00BC529D" w:rsidRPr="006F6D1E">
              <w:rPr>
                <w:sz w:val="24"/>
                <w:szCs w:val="24"/>
                <w:lang w:val="lv-LV"/>
              </w:rPr>
              <w:t xml:space="preserve"> </w:t>
            </w:r>
          </w:p>
          <w:p w14:paraId="5C390F14" w14:textId="0A02BDF2" w:rsidR="004D2D34" w:rsidRPr="006F6D1E" w:rsidRDefault="00981F86" w:rsidP="002C3432">
            <w:pPr>
              <w:pStyle w:val="BodyTextIndent2"/>
              <w:spacing w:after="0"/>
              <w:ind w:firstLine="0"/>
              <w:rPr>
                <w:sz w:val="24"/>
                <w:szCs w:val="24"/>
                <w:lang w:val="lv-LV"/>
              </w:rPr>
            </w:pPr>
            <w:r w:rsidRPr="006F6D1E">
              <w:rPr>
                <w:sz w:val="24"/>
                <w:szCs w:val="24"/>
                <w:lang w:val="lv-LV"/>
              </w:rPr>
              <w:t xml:space="preserve">     </w:t>
            </w:r>
            <w:r w:rsidR="002C3432" w:rsidRPr="006F6D1E">
              <w:rPr>
                <w:sz w:val="24"/>
                <w:szCs w:val="24"/>
                <w:lang w:val="lv-LV"/>
              </w:rPr>
              <w:t xml:space="preserve">1) </w:t>
            </w:r>
            <w:r w:rsidR="00BC529D" w:rsidRPr="006F6D1E">
              <w:rPr>
                <w:sz w:val="24"/>
                <w:szCs w:val="24"/>
                <w:lang w:val="lv-LV"/>
              </w:rPr>
              <w:t xml:space="preserve">likuma “Par reglamentētajām profesijām un profesionālās kvalifikācijas atzīšanu” 36. panta </w:t>
            </w:r>
            <w:r w:rsidR="007A0521" w:rsidRPr="006F6D1E">
              <w:rPr>
                <w:sz w:val="24"/>
                <w:szCs w:val="24"/>
                <w:lang w:val="lv-LV"/>
              </w:rPr>
              <w:t xml:space="preserve">5. </w:t>
            </w:r>
            <w:r w:rsidR="004A74F5" w:rsidRPr="006F6D1E">
              <w:rPr>
                <w:sz w:val="24"/>
                <w:szCs w:val="24"/>
                <w:lang w:val="lv-LV"/>
              </w:rPr>
              <w:t xml:space="preserve">un </w:t>
            </w:r>
            <w:r w:rsidR="00BC529D" w:rsidRPr="006F6D1E">
              <w:rPr>
                <w:sz w:val="24"/>
                <w:szCs w:val="24"/>
                <w:lang w:val="lv-LV"/>
              </w:rPr>
              <w:t>6. punktu un 54. panta pirmo daļu</w:t>
            </w:r>
            <w:r w:rsidR="004A74F5" w:rsidRPr="006F6D1E">
              <w:rPr>
                <w:sz w:val="24"/>
                <w:szCs w:val="24"/>
                <w:lang w:val="lv-LV"/>
              </w:rPr>
              <w:t>;</w:t>
            </w:r>
          </w:p>
          <w:p w14:paraId="7F7101D5" w14:textId="3F13561B" w:rsidR="002C3432" w:rsidRPr="006F6D1E" w:rsidRDefault="00981F86" w:rsidP="002C3432">
            <w:pPr>
              <w:pStyle w:val="BodyTextIndent2"/>
              <w:spacing w:after="0"/>
              <w:ind w:firstLine="0"/>
              <w:rPr>
                <w:sz w:val="24"/>
                <w:szCs w:val="24"/>
                <w:lang w:val="lv-LV"/>
              </w:rPr>
            </w:pPr>
            <w:r w:rsidRPr="006F6D1E">
              <w:rPr>
                <w:sz w:val="24"/>
                <w:szCs w:val="24"/>
                <w:lang w:val="lv-LV"/>
              </w:rPr>
              <w:t xml:space="preserve">     </w:t>
            </w:r>
            <w:r w:rsidR="002C3432" w:rsidRPr="006F6D1E">
              <w:rPr>
                <w:sz w:val="24"/>
                <w:szCs w:val="24"/>
                <w:lang w:val="lv-LV"/>
              </w:rPr>
              <w:t xml:space="preserve">2) </w:t>
            </w:r>
            <w:proofErr w:type="spellStart"/>
            <w:r w:rsidR="002C3432" w:rsidRPr="006F6D1E">
              <w:rPr>
                <w:sz w:val="24"/>
                <w:szCs w:val="24"/>
              </w:rPr>
              <w:t>Ministru</w:t>
            </w:r>
            <w:proofErr w:type="spellEnd"/>
            <w:r w:rsidR="002C3432" w:rsidRPr="006F6D1E">
              <w:rPr>
                <w:sz w:val="24"/>
                <w:szCs w:val="24"/>
              </w:rPr>
              <w:t xml:space="preserve"> </w:t>
            </w:r>
            <w:proofErr w:type="spellStart"/>
            <w:r w:rsidR="002C3432" w:rsidRPr="006F6D1E">
              <w:rPr>
                <w:sz w:val="24"/>
                <w:szCs w:val="24"/>
              </w:rPr>
              <w:t>kabineta</w:t>
            </w:r>
            <w:proofErr w:type="spellEnd"/>
            <w:r w:rsidR="002C3432" w:rsidRPr="006F6D1E">
              <w:rPr>
                <w:sz w:val="24"/>
                <w:szCs w:val="24"/>
              </w:rPr>
              <w:t xml:space="preserve"> 2019.</w:t>
            </w:r>
            <w:r w:rsidR="004A74F5" w:rsidRPr="006F6D1E">
              <w:rPr>
                <w:sz w:val="24"/>
                <w:szCs w:val="24"/>
              </w:rPr>
              <w:t> </w:t>
            </w:r>
            <w:proofErr w:type="spellStart"/>
            <w:proofErr w:type="gramStart"/>
            <w:r w:rsidR="002C3432" w:rsidRPr="006F6D1E">
              <w:rPr>
                <w:sz w:val="24"/>
                <w:szCs w:val="24"/>
              </w:rPr>
              <w:t>gada</w:t>
            </w:r>
            <w:proofErr w:type="spellEnd"/>
            <w:proofErr w:type="gramEnd"/>
            <w:r w:rsidR="002C3432" w:rsidRPr="006F6D1E">
              <w:rPr>
                <w:sz w:val="24"/>
                <w:szCs w:val="24"/>
              </w:rPr>
              <w:t xml:space="preserve"> 19. </w:t>
            </w:r>
            <w:proofErr w:type="spellStart"/>
            <w:proofErr w:type="gramStart"/>
            <w:r w:rsidR="002C3432" w:rsidRPr="006F6D1E">
              <w:rPr>
                <w:sz w:val="24"/>
                <w:szCs w:val="24"/>
              </w:rPr>
              <w:t>marta</w:t>
            </w:r>
            <w:proofErr w:type="spellEnd"/>
            <w:proofErr w:type="gramEnd"/>
            <w:r w:rsidR="002C3432" w:rsidRPr="006F6D1E">
              <w:rPr>
                <w:sz w:val="24"/>
                <w:szCs w:val="24"/>
              </w:rPr>
              <w:t xml:space="preserve"> </w:t>
            </w:r>
            <w:proofErr w:type="spellStart"/>
            <w:r w:rsidR="002C3432" w:rsidRPr="006F6D1E">
              <w:rPr>
                <w:sz w:val="24"/>
                <w:szCs w:val="24"/>
              </w:rPr>
              <w:t>sēd</w:t>
            </w:r>
            <w:r w:rsidR="003C4DC4" w:rsidRPr="006F6D1E">
              <w:rPr>
                <w:sz w:val="24"/>
                <w:szCs w:val="24"/>
              </w:rPr>
              <w:t>es</w:t>
            </w:r>
            <w:proofErr w:type="spellEnd"/>
            <w:r w:rsidR="003C4DC4" w:rsidRPr="006F6D1E">
              <w:rPr>
                <w:sz w:val="24"/>
                <w:szCs w:val="24"/>
              </w:rPr>
              <w:t xml:space="preserve"> </w:t>
            </w:r>
            <w:proofErr w:type="spellStart"/>
            <w:r w:rsidR="003C4DC4" w:rsidRPr="006F6D1E">
              <w:rPr>
                <w:sz w:val="24"/>
                <w:szCs w:val="24"/>
              </w:rPr>
              <w:t>protokollēmuma</w:t>
            </w:r>
            <w:proofErr w:type="spellEnd"/>
            <w:r w:rsidR="002C3432" w:rsidRPr="006F6D1E">
              <w:rPr>
                <w:sz w:val="24"/>
                <w:szCs w:val="24"/>
              </w:rPr>
              <w:t xml:space="preserve"> (</w:t>
            </w:r>
            <w:proofErr w:type="spellStart"/>
            <w:r w:rsidR="002C3432" w:rsidRPr="006F6D1E">
              <w:rPr>
                <w:sz w:val="24"/>
                <w:szCs w:val="24"/>
              </w:rPr>
              <w:t>prot.</w:t>
            </w:r>
            <w:proofErr w:type="spellEnd"/>
            <w:r w:rsidR="002C3432" w:rsidRPr="006F6D1E">
              <w:rPr>
                <w:sz w:val="24"/>
                <w:szCs w:val="24"/>
              </w:rPr>
              <w:t xml:space="preserve"> </w:t>
            </w:r>
            <w:proofErr w:type="spellStart"/>
            <w:r w:rsidR="002C3432" w:rsidRPr="006F6D1E">
              <w:rPr>
                <w:sz w:val="24"/>
                <w:szCs w:val="24"/>
              </w:rPr>
              <w:t>Nr</w:t>
            </w:r>
            <w:proofErr w:type="spellEnd"/>
            <w:r w:rsidR="002C3432" w:rsidRPr="006F6D1E">
              <w:rPr>
                <w:sz w:val="24"/>
                <w:szCs w:val="24"/>
              </w:rPr>
              <w:t>.</w:t>
            </w:r>
            <w:r w:rsidR="004A74F5" w:rsidRPr="006F6D1E">
              <w:rPr>
                <w:sz w:val="24"/>
                <w:szCs w:val="24"/>
              </w:rPr>
              <w:t> </w:t>
            </w:r>
            <w:r w:rsidR="002C3432" w:rsidRPr="006F6D1E">
              <w:rPr>
                <w:sz w:val="24"/>
                <w:szCs w:val="24"/>
              </w:rPr>
              <w:t>14 43.</w:t>
            </w:r>
            <w:r w:rsidR="004A74F5" w:rsidRPr="006F6D1E">
              <w:rPr>
                <w:sz w:val="24"/>
                <w:szCs w:val="24"/>
              </w:rPr>
              <w:t> </w:t>
            </w:r>
            <w:r w:rsidR="002C3432" w:rsidRPr="006F6D1E">
              <w:rPr>
                <w:sz w:val="24"/>
                <w:szCs w:val="24"/>
              </w:rPr>
              <w:t>§</w:t>
            </w:r>
            <w:r w:rsidR="004A74F5" w:rsidRPr="006F6D1E">
              <w:rPr>
                <w:sz w:val="24"/>
                <w:szCs w:val="24"/>
              </w:rPr>
              <w:t>)</w:t>
            </w:r>
            <w:r w:rsidR="002C3432" w:rsidRPr="006F6D1E">
              <w:rPr>
                <w:sz w:val="24"/>
                <w:szCs w:val="24"/>
              </w:rPr>
              <w:t xml:space="preserve"> 4. </w:t>
            </w:r>
            <w:proofErr w:type="spellStart"/>
            <w:r w:rsidR="002C3432" w:rsidRPr="006F6D1E">
              <w:rPr>
                <w:sz w:val="24"/>
                <w:szCs w:val="24"/>
              </w:rPr>
              <w:t>punkt</w:t>
            </w:r>
            <w:r w:rsidR="004A74F5" w:rsidRPr="006F6D1E">
              <w:rPr>
                <w:sz w:val="24"/>
                <w:szCs w:val="24"/>
              </w:rPr>
              <w:t>ā</w:t>
            </w:r>
            <w:proofErr w:type="spellEnd"/>
            <w:r w:rsidR="004A74F5" w:rsidRPr="006F6D1E">
              <w:rPr>
                <w:sz w:val="24"/>
                <w:szCs w:val="24"/>
              </w:rPr>
              <w:t xml:space="preserve"> </w:t>
            </w:r>
            <w:proofErr w:type="spellStart"/>
            <w:r w:rsidR="004A74F5" w:rsidRPr="006F6D1E">
              <w:rPr>
                <w:sz w:val="24"/>
                <w:szCs w:val="24"/>
              </w:rPr>
              <w:t>doto</w:t>
            </w:r>
            <w:proofErr w:type="spellEnd"/>
            <w:r w:rsidR="004A74F5" w:rsidRPr="006F6D1E">
              <w:rPr>
                <w:sz w:val="24"/>
                <w:szCs w:val="24"/>
              </w:rPr>
              <w:t xml:space="preserve"> </w:t>
            </w:r>
            <w:proofErr w:type="spellStart"/>
            <w:r w:rsidR="004A74F5" w:rsidRPr="006F6D1E">
              <w:rPr>
                <w:sz w:val="24"/>
                <w:szCs w:val="24"/>
              </w:rPr>
              <w:t>uzdevumu</w:t>
            </w:r>
            <w:proofErr w:type="spellEnd"/>
            <w:r w:rsidR="004A74F5" w:rsidRPr="006F6D1E">
              <w:rPr>
                <w:sz w:val="24"/>
                <w:szCs w:val="24"/>
              </w:rPr>
              <w:t>;</w:t>
            </w:r>
          </w:p>
          <w:p w14:paraId="0A474E60" w14:textId="63DB2D63" w:rsidR="00161647" w:rsidRPr="006F6D1E" w:rsidRDefault="00981F86" w:rsidP="00981F86">
            <w:pPr>
              <w:pStyle w:val="BodyTextIndent2"/>
              <w:spacing w:after="0"/>
              <w:ind w:firstLine="0"/>
              <w:rPr>
                <w:sz w:val="24"/>
                <w:szCs w:val="24"/>
                <w:lang w:val="lv-LV"/>
              </w:rPr>
            </w:pPr>
            <w:r w:rsidRPr="006F6D1E">
              <w:rPr>
                <w:sz w:val="24"/>
                <w:szCs w:val="24"/>
                <w:lang w:val="lv-LV"/>
              </w:rPr>
              <w:t xml:space="preserve">     3</w:t>
            </w:r>
            <w:r w:rsidR="004D2D34" w:rsidRPr="006F6D1E">
              <w:rPr>
                <w:sz w:val="24"/>
                <w:szCs w:val="24"/>
                <w:lang w:val="lv-LV"/>
              </w:rPr>
              <w:t>)</w:t>
            </w:r>
            <w:r w:rsidR="006716A3" w:rsidRPr="006F6D1E">
              <w:rPr>
                <w:rStyle w:val="Strong"/>
                <w:b w:val="0"/>
                <w:sz w:val="24"/>
                <w:szCs w:val="24"/>
                <w:bdr w:val="none" w:sz="0" w:space="0" w:color="auto" w:frame="1"/>
                <w:shd w:val="clear" w:color="auto" w:fill="FFFFFF"/>
                <w:lang w:val="lv-LV"/>
              </w:rPr>
              <w:t xml:space="preserve"> </w:t>
            </w:r>
            <w:r w:rsidRPr="006F6D1E">
              <w:rPr>
                <w:rStyle w:val="Strong"/>
                <w:b w:val="0"/>
                <w:sz w:val="24"/>
                <w:szCs w:val="24"/>
                <w:bdr w:val="none" w:sz="0" w:space="0" w:color="auto" w:frame="1"/>
                <w:shd w:val="clear" w:color="auto" w:fill="FFFFFF"/>
                <w:lang w:val="lv-LV"/>
              </w:rPr>
              <w:t>Komisijas Deleģēto</w:t>
            </w:r>
            <w:r w:rsidR="006716A3" w:rsidRPr="006F6D1E">
              <w:rPr>
                <w:rStyle w:val="Strong"/>
                <w:b w:val="0"/>
                <w:sz w:val="24"/>
                <w:szCs w:val="24"/>
                <w:bdr w:val="none" w:sz="0" w:space="0" w:color="auto" w:frame="1"/>
                <w:shd w:val="clear" w:color="auto" w:fill="FFFFFF"/>
                <w:lang w:val="lv-LV"/>
              </w:rPr>
              <w:t xml:space="preserve"> </w:t>
            </w:r>
            <w:r w:rsidRPr="006F6D1E">
              <w:rPr>
                <w:rStyle w:val="Strong"/>
                <w:b w:val="0"/>
                <w:sz w:val="24"/>
                <w:szCs w:val="24"/>
                <w:bdr w:val="none" w:sz="0" w:space="0" w:color="auto" w:frame="1"/>
                <w:shd w:val="clear" w:color="auto" w:fill="FFFFFF"/>
                <w:lang w:val="lv-LV"/>
              </w:rPr>
              <w:t>lēmumu</w:t>
            </w:r>
            <w:r w:rsidR="00084438" w:rsidRPr="006F6D1E">
              <w:rPr>
                <w:rStyle w:val="Strong"/>
                <w:b w:val="0"/>
                <w:sz w:val="24"/>
                <w:szCs w:val="24"/>
                <w:bdr w:val="none" w:sz="0" w:space="0" w:color="auto" w:frame="1"/>
                <w:shd w:val="clear" w:color="auto" w:fill="FFFFFF"/>
                <w:lang w:val="lv-LV"/>
              </w:rPr>
              <w:t xml:space="preserve"> (ES) 2019/608</w:t>
            </w:r>
            <w:r w:rsidR="006716A3" w:rsidRPr="006F6D1E">
              <w:rPr>
                <w:rStyle w:val="Strong"/>
                <w:b w:val="0"/>
                <w:sz w:val="24"/>
                <w:szCs w:val="24"/>
                <w:bdr w:val="none" w:sz="0" w:space="0" w:color="auto" w:frame="1"/>
                <w:shd w:val="clear" w:color="auto" w:fill="FFFFFF"/>
                <w:lang w:val="lv-LV"/>
              </w:rPr>
              <w:t xml:space="preserve"> </w:t>
            </w:r>
            <w:r w:rsidRPr="006F6D1E">
              <w:rPr>
                <w:rStyle w:val="Strong"/>
                <w:b w:val="0"/>
                <w:sz w:val="24"/>
                <w:szCs w:val="24"/>
                <w:bdr w:val="none" w:sz="0" w:space="0" w:color="auto" w:frame="1"/>
                <w:shd w:val="clear" w:color="auto" w:fill="FFFFFF"/>
                <w:lang w:val="lv-LV"/>
              </w:rPr>
              <w:t>(2019</w:t>
            </w:r>
            <w:r w:rsidR="006716A3" w:rsidRPr="006F6D1E">
              <w:rPr>
                <w:rStyle w:val="Strong"/>
                <w:b w:val="0"/>
                <w:sz w:val="24"/>
                <w:szCs w:val="24"/>
                <w:bdr w:val="none" w:sz="0" w:space="0" w:color="auto" w:frame="1"/>
                <w:shd w:val="clear" w:color="auto" w:fill="FFFFFF"/>
                <w:lang w:val="lv-LV"/>
              </w:rPr>
              <w:t xml:space="preserve">. gada </w:t>
            </w:r>
            <w:r w:rsidRPr="006F6D1E">
              <w:rPr>
                <w:rStyle w:val="Strong"/>
                <w:b w:val="0"/>
                <w:sz w:val="24"/>
                <w:szCs w:val="24"/>
                <w:bdr w:val="none" w:sz="0" w:space="0" w:color="auto" w:frame="1"/>
                <w:shd w:val="clear" w:color="auto" w:fill="FFFFFF"/>
                <w:lang w:val="lv-LV"/>
              </w:rPr>
              <w:t>16</w:t>
            </w:r>
            <w:r w:rsidR="006716A3" w:rsidRPr="006F6D1E">
              <w:rPr>
                <w:rStyle w:val="Strong"/>
                <w:b w:val="0"/>
                <w:sz w:val="24"/>
                <w:szCs w:val="24"/>
                <w:bdr w:val="none" w:sz="0" w:space="0" w:color="auto" w:frame="1"/>
                <w:shd w:val="clear" w:color="auto" w:fill="FFFFFF"/>
                <w:lang w:val="lv-LV"/>
              </w:rPr>
              <w:t>.</w:t>
            </w:r>
            <w:r w:rsidRPr="006F6D1E">
              <w:rPr>
                <w:rStyle w:val="Strong"/>
                <w:b w:val="0"/>
                <w:sz w:val="24"/>
                <w:szCs w:val="24"/>
                <w:bdr w:val="none" w:sz="0" w:space="0" w:color="auto" w:frame="1"/>
                <w:shd w:val="clear" w:color="auto" w:fill="FFFFFF"/>
                <w:lang w:val="lv-LV"/>
              </w:rPr>
              <w:t> janvāris</w:t>
            </w:r>
            <w:r w:rsidR="006716A3" w:rsidRPr="006F6D1E">
              <w:rPr>
                <w:rStyle w:val="Strong"/>
                <w:b w:val="0"/>
                <w:sz w:val="24"/>
                <w:szCs w:val="24"/>
                <w:bdr w:val="none" w:sz="0" w:space="0" w:color="auto" w:frame="1"/>
                <w:shd w:val="clear" w:color="auto" w:fill="FFFFFF"/>
                <w:lang w:val="lv-LV"/>
              </w:rPr>
              <w:t>), ar ko Eiropas Parlamenta un Padomes Direktīvas 2005/36/EK V pielikumu groza attiecībā uz kvalifikāciju apliecinošiem dokumentiem un apmācību kursu nosaukumiem (izz</w:t>
            </w:r>
            <w:r w:rsidRPr="006F6D1E">
              <w:rPr>
                <w:rStyle w:val="Strong"/>
                <w:b w:val="0"/>
                <w:sz w:val="24"/>
                <w:szCs w:val="24"/>
                <w:bdr w:val="none" w:sz="0" w:space="0" w:color="auto" w:frame="1"/>
                <w:shd w:val="clear" w:color="auto" w:fill="FFFFFF"/>
                <w:lang w:val="lv-LV"/>
              </w:rPr>
              <w:t>iņots ar dokumenta numuru C(2019</w:t>
            </w:r>
            <w:r w:rsidR="00084438" w:rsidRPr="006F6D1E">
              <w:rPr>
                <w:rStyle w:val="Strong"/>
                <w:b w:val="0"/>
                <w:sz w:val="24"/>
                <w:szCs w:val="24"/>
                <w:bdr w:val="none" w:sz="0" w:space="0" w:color="auto" w:frame="1"/>
                <w:shd w:val="clear" w:color="auto" w:fill="FFFFFF"/>
                <w:lang w:val="lv-LV"/>
              </w:rPr>
              <w:t>) 78</w:t>
            </w:r>
            <w:r w:rsidR="006716A3" w:rsidRPr="006F6D1E">
              <w:rPr>
                <w:rStyle w:val="Strong"/>
                <w:b w:val="0"/>
                <w:sz w:val="24"/>
                <w:szCs w:val="24"/>
                <w:bdr w:val="none" w:sz="0" w:space="0" w:color="auto" w:frame="1"/>
                <w:shd w:val="clear" w:color="auto" w:fill="FFFFFF"/>
                <w:lang w:val="lv-LV"/>
              </w:rPr>
              <w:t>)</w:t>
            </w:r>
            <w:r w:rsidR="006339F7" w:rsidRPr="006F6D1E">
              <w:rPr>
                <w:rStyle w:val="Strong"/>
                <w:b w:val="0"/>
                <w:sz w:val="24"/>
                <w:szCs w:val="24"/>
                <w:bdr w:val="none" w:sz="0" w:space="0" w:color="auto" w:frame="1"/>
                <w:shd w:val="clear" w:color="auto" w:fill="FFFFFF"/>
                <w:lang w:val="lv-LV"/>
              </w:rPr>
              <w:t xml:space="preserve"> (turpmāk –</w:t>
            </w:r>
            <w:r w:rsidR="005F1B02" w:rsidRPr="006F6D1E">
              <w:rPr>
                <w:rStyle w:val="Strong"/>
                <w:b w:val="0"/>
                <w:sz w:val="24"/>
                <w:szCs w:val="24"/>
                <w:bdr w:val="none" w:sz="0" w:space="0" w:color="auto" w:frame="1"/>
                <w:shd w:val="clear" w:color="auto" w:fill="FFFFFF"/>
                <w:lang w:val="lv-LV"/>
              </w:rPr>
              <w:t xml:space="preserve"> D</w:t>
            </w:r>
            <w:r w:rsidR="006339F7" w:rsidRPr="006F6D1E">
              <w:rPr>
                <w:rStyle w:val="Strong"/>
                <w:b w:val="0"/>
                <w:sz w:val="24"/>
                <w:szCs w:val="24"/>
                <w:bdr w:val="none" w:sz="0" w:space="0" w:color="auto" w:frame="1"/>
                <w:shd w:val="clear" w:color="auto" w:fill="FFFFFF"/>
                <w:lang w:val="lv-LV"/>
              </w:rPr>
              <w:t>eleģētais lēmums)</w:t>
            </w:r>
            <w:r w:rsidR="006716A3" w:rsidRPr="006F6D1E">
              <w:rPr>
                <w:rStyle w:val="Strong"/>
                <w:b w:val="0"/>
                <w:sz w:val="24"/>
                <w:szCs w:val="24"/>
                <w:bdr w:val="none" w:sz="0" w:space="0" w:color="auto" w:frame="1"/>
                <w:shd w:val="clear" w:color="auto" w:fill="FFFFFF"/>
                <w:lang w:val="lv-LV"/>
              </w:rPr>
              <w:t>.</w:t>
            </w:r>
          </w:p>
        </w:tc>
      </w:tr>
      <w:tr w:rsidR="00E3290D" w:rsidRPr="006F6D1E" w14:paraId="0A474E7B" w14:textId="77777777" w:rsidTr="0035526D">
        <w:tc>
          <w:tcPr>
            <w:tcW w:w="152" w:type="pct"/>
            <w:hideMark/>
          </w:tcPr>
          <w:p w14:paraId="0A474E62" w14:textId="14045C38" w:rsidR="00BD5588" w:rsidRPr="006F6D1E" w:rsidRDefault="00BC529D" w:rsidP="00793205">
            <w:pPr>
              <w:widowControl w:val="0"/>
            </w:pPr>
            <w:r w:rsidRPr="006F6D1E">
              <w:t>2.</w:t>
            </w:r>
          </w:p>
        </w:tc>
        <w:tc>
          <w:tcPr>
            <w:tcW w:w="1006" w:type="pct"/>
            <w:hideMark/>
          </w:tcPr>
          <w:p w14:paraId="0A474E63" w14:textId="77777777" w:rsidR="00BD5588" w:rsidRPr="006F6D1E" w:rsidRDefault="00BC529D" w:rsidP="00793205">
            <w:pPr>
              <w:widowControl w:val="0"/>
            </w:pPr>
            <w:r w:rsidRPr="006F6D1E">
              <w:t>Pašreizējā situācija un problēmas, kuru risināšanai tiesību akta projekts izstrādāts, tiesiskā regulējuma mērķis un būtība</w:t>
            </w:r>
          </w:p>
        </w:tc>
        <w:tc>
          <w:tcPr>
            <w:tcW w:w="3842" w:type="pct"/>
            <w:hideMark/>
          </w:tcPr>
          <w:p w14:paraId="0A474E64" w14:textId="3818D82A" w:rsidR="00604CFB" w:rsidRPr="006F6D1E" w:rsidRDefault="00BC529D" w:rsidP="009B6339">
            <w:pPr>
              <w:pStyle w:val="ListParagraph"/>
              <w:numPr>
                <w:ilvl w:val="0"/>
                <w:numId w:val="15"/>
              </w:numPr>
              <w:shd w:val="clear" w:color="auto" w:fill="FFFFFF"/>
              <w:jc w:val="both"/>
            </w:pPr>
            <w:r w:rsidRPr="006F6D1E">
              <w:t>Ministru kabineta</w:t>
            </w:r>
            <w:r w:rsidR="00496D93" w:rsidRPr="006F6D1E">
              <w:t xml:space="preserve"> 2005. gada 29. marta noteikumi</w:t>
            </w:r>
            <w:r w:rsidR="009B6339" w:rsidRPr="006F6D1E">
              <w:t xml:space="preserve"> Nr. 207 “</w:t>
            </w:r>
            <w:r w:rsidRPr="006F6D1E">
              <w:t>Noteikumi par ārsta izglītību un profesionālo kvalifikāciju apliecinošiem dokumentiem, kurus atzīst, piemērojot speciālo profesionālās kva</w:t>
            </w:r>
            <w:r w:rsidR="00A313A1" w:rsidRPr="006F6D1E">
              <w:t>lifikācijas atzīšanas sistēmu</w:t>
            </w:r>
            <w:r w:rsidR="009B6339" w:rsidRPr="006F6D1E">
              <w:t>”</w:t>
            </w:r>
            <w:r w:rsidR="00A313A1" w:rsidRPr="006F6D1E">
              <w:t xml:space="preserve"> (turpmāk – noteikumi Nr.</w:t>
            </w:r>
            <w:r w:rsidR="004A74F5" w:rsidRPr="006F6D1E">
              <w:t> </w:t>
            </w:r>
            <w:r w:rsidR="00A313A1" w:rsidRPr="006F6D1E">
              <w:t>207),</w:t>
            </w:r>
          </w:p>
          <w:p w14:paraId="0A474E65" w14:textId="5999A1A9" w:rsidR="00604CFB" w:rsidRPr="006F6D1E" w:rsidRDefault="00BC529D" w:rsidP="00820521">
            <w:pPr>
              <w:pStyle w:val="ListParagraph"/>
              <w:numPr>
                <w:ilvl w:val="0"/>
                <w:numId w:val="15"/>
              </w:numPr>
              <w:shd w:val="clear" w:color="auto" w:fill="FFFFFF"/>
              <w:jc w:val="both"/>
            </w:pPr>
            <w:r w:rsidRPr="006F6D1E">
              <w:t xml:space="preserve"> </w:t>
            </w:r>
            <w:r w:rsidR="00770594" w:rsidRPr="006F6D1E">
              <w:t xml:space="preserve">Ministru kabineta 2005. gada 1. marta noteikumi Nr. 149 </w:t>
            </w:r>
            <w:r w:rsidR="004A74F5" w:rsidRPr="006F6D1E">
              <w:t>“</w:t>
            </w:r>
            <w:r w:rsidR="00770594" w:rsidRPr="006F6D1E">
              <w:t>Noteikumi par vecmātes izglītību un profesionālo kvalifikāciju apliecinošiem dokumentiem, kurus atzīst, piemērojot speciālo profesionālās kvalifikācijas atzīšanas sistēmu”</w:t>
            </w:r>
            <w:r w:rsidR="0024179D" w:rsidRPr="006F6D1E">
              <w:t xml:space="preserve"> (turpmāk – noteikumi Nr.</w:t>
            </w:r>
            <w:r w:rsidR="004A74F5" w:rsidRPr="006F6D1E">
              <w:t> </w:t>
            </w:r>
            <w:r w:rsidR="0024179D" w:rsidRPr="006F6D1E">
              <w:t>149)</w:t>
            </w:r>
            <w:r w:rsidR="00770594" w:rsidRPr="006F6D1E">
              <w:t>,</w:t>
            </w:r>
          </w:p>
          <w:p w14:paraId="0A474E67" w14:textId="00D4DC9F" w:rsidR="00604CFB" w:rsidRPr="006F6D1E" w:rsidRDefault="00BC529D" w:rsidP="00820521">
            <w:pPr>
              <w:pStyle w:val="ListParagraph"/>
              <w:numPr>
                <w:ilvl w:val="0"/>
                <w:numId w:val="15"/>
              </w:numPr>
              <w:shd w:val="clear" w:color="auto" w:fill="FFFFFF"/>
              <w:jc w:val="both"/>
            </w:pPr>
            <w:r w:rsidRPr="006F6D1E">
              <w:t>Ministru kabineta</w:t>
            </w:r>
            <w:r w:rsidR="00A313A1" w:rsidRPr="006F6D1E">
              <w:t xml:space="preserve"> 2005. gada 24. maija noteikumi</w:t>
            </w:r>
            <w:r w:rsidRPr="006F6D1E">
              <w:t xml:space="preserve"> Nr. 351 “Noteikumi par vispārējās aprūpes māsas izglītību un profesionālo kvalifikāciju apliecinošiem dokumentiem, kurus atzīst, piemērojot speciālo profesionālās kvalifikācijas atzīšanas sistēmu”</w:t>
            </w:r>
            <w:r w:rsidR="001C45AC" w:rsidRPr="006F6D1E">
              <w:t xml:space="preserve"> (turpmāk – noteikumi Nr.</w:t>
            </w:r>
            <w:r w:rsidR="004A74F5" w:rsidRPr="006F6D1E">
              <w:t> </w:t>
            </w:r>
            <w:r w:rsidR="001C45AC" w:rsidRPr="006F6D1E">
              <w:t>351)</w:t>
            </w:r>
            <w:r w:rsidRPr="006F6D1E">
              <w:t xml:space="preserve">, </w:t>
            </w:r>
          </w:p>
          <w:p w14:paraId="0A474E68" w14:textId="452684FD" w:rsidR="00604CFB" w:rsidRPr="006F6D1E" w:rsidRDefault="00BC529D" w:rsidP="009B6339">
            <w:pPr>
              <w:pStyle w:val="ListParagraph"/>
              <w:numPr>
                <w:ilvl w:val="0"/>
                <w:numId w:val="15"/>
              </w:numPr>
              <w:shd w:val="clear" w:color="auto" w:fill="FFFFFF"/>
              <w:jc w:val="both"/>
            </w:pPr>
            <w:r w:rsidRPr="006F6D1E">
              <w:t>Ministru kabineta 20</w:t>
            </w:r>
            <w:r w:rsidR="00A313A1" w:rsidRPr="006F6D1E">
              <w:t>05. gada 15. februāra noteikumi</w:t>
            </w:r>
            <w:r w:rsidRPr="006F6D1E">
              <w:t xml:space="preserve"> Nr. 125 </w:t>
            </w:r>
            <w:r w:rsidR="009B6339" w:rsidRPr="006F6D1E">
              <w:t>“</w:t>
            </w:r>
            <w:r w:rsidRPr="006F6D1E">
              <w:t>Noteikumi par zobārsta izglītību un profesionālo kvalifikāciju apliecinošiem dokumentiem, kurus atzīst, piemērojot speciālo profesionālās kvalifikācijas atzīšanas sistēmu</w:t>
            </w:r>
            <w:r w:rsidR="009B6339" w:rsidRPr="006F6D1E">
              <w:t>“</w:t>
            </w:r>
            <w:r w:rsidR="001C45AC" w:rsidRPr="006F6D1E">
              <w:t xml:space="preserve"> (turpmāk – noteikumi Nr.</w:t>
            </w:r>
            <w:r w:rsidR="004A74F5" w:rsidRPr="006F6D1E">
              <w:t> </w:t>
            </w:r>
            <w:r w:rsidR="001C45AC" w:rsidRPr="006F6D1E">
              <w:t>125)</w:t>
            </w:r>
            <w:r w:rsidRPr="006F6D1E">
              <w:t xml:space="preserve">, </w:t>
            </w:r>
          </w:p>
          <w:p w14:paraId="0A474E69" w14:textId="77E16103" w:rsidR="00604CFB" w:rsidRPr="006F6D1E" w:rsidRDefault="00BC529D" w:rsidP="00820521">
            <w:pPr>
              <w:pStyle w:val="ListParagraph"/>
              <w:numPr>
                <w:ilvl w:val="0"/>
                <w:numId w:val="15"/>
              </w:numPr>
              <w:shd w:val="clear" w:color="auto" w:fill="FFFFFF"/>
              <w:jc w:val="both"/>
            </w:pPr>
            <w:r w:rsidRPr="006F6D1E">
              <w:t>Ministru kabineta 2005.</w:t>
            </w:r>
            <w:r w:rsidR="004A74F5" w:rsidRPr="006F6D1E">
              <w:t> </w:t>
            </w:r>
            <w:r w:rsidRPr="006F6D1E">
              <w:t>gada 10.</w:t>
            </w:r>
            <w:r w:rsidR="004A74F5" w:rsidRPr="006F6D1E">
              <w:t> </w:t>
            </w:r>
            <w:r w:rsidRPr="006F6D1E">
              <w:t>maija noteikumi Nr.</w:t>
            </w:r>
            <w:r w:rsidR="004A74F5" w:rsidRPr="006F6D1E">
              <w:t> </w:t>
            </w:r>
            <w:r w:rsidRPr="006F6D1E">
              <w:t xml:space="preserve">320 “Noteikumi par veterinārārsta izglītību un profesionālo kvalifikāciju apliecinošiem dokumentiem, kurus atzīst, piemērojot </w:t>
            </w:r>
            <w:r w:rsidRPr="006F6D1E">
              <w:lastRenderedPageBreak/>
              <w:t>speciālo profesionālās kvalifikācijas atzīšanas sistēmu”</w:t>
            </w:r>
            <w:r w:rsidR="001C45AC" w:rsidRPr="006F6D1E">
              <w:t xml:space="preserve"> (turpmāk – noteikumi Nr.</w:t>
            </w:r>
            <w:r w:rsidR="004A74F5" w:rsidRPr="006F6D1E">
              <w:t> </w:t>
            </w:r>
            <w:r w:rsidR="001C45AC" w:rsidRPr="006F6D1E">
              <w:t>320)</w:t>
            </w:r>
            <w:r w:rsidR="00A313A1" w:rsidRPr="006F6D1E">
              <w:t xml:space="preserve">, </w:t>
            </w:r>
          </w:p>
          <w:p w14:paraId="0A474E6A" w14:textId="4917399E" w:rsidR="00604CFB" w:rsidRPr="006F6D1E" w:rsidRDefault="00BC529D" w:rsidP="00820521">
            <w:pPr>
              <w:pStyle w:val="ListParagraph"/>
              <w:numPr>
                <w:ilvl w:val="0"/>
                <w:numId w:val="15"/>
              </w:numPr>
              <w:shd w:val="clear" w:color="auto" w:fill="FFFFFF"/>
              <w:jc w:val="both"/>
            </w:pPr>
            <w:r w:rsidRPr="006F6D1E">
              <w:t>Ministru kabineta 2005.</w:t>
            </w:r>
            <w:r w:rsidR="004A74F5" w:rsidRPr="006F6D1E">
              <w:t> </w:t>
            </w:r>
            <w:r w:rsidRPr="006F6D1E">
              <w:t>gada 15.</w:t>
            </w:r>
            <w:r w:rsidR="004A74F5" w:rsidRPr="006F6D1E">
              <w:t> </w:t>
            </w:r>
            <w:r w:rsidRPr="006F6D1E">
              <w:t>februāra noteikumi Nr.</w:t>
            </w:r>
            <w:r w:rsidR="004A74F5" w:rsidRPr="006F6D1E">
              <w:t> </w:t>
            </w:r>
            <w:r w:rsidRPr="006F6D1E">
              <w:t>124 “Noteikumi par farmaceita izglītību un profesionālo kvalifikāciju apliecinošiem dokumentiem, kurus atzīst, piemērojot speciālo profesionālās kvalifikācijas atzīšanas sistēmu”</w:t>
            </w:r>
            <w:r w:rsidR="007A0521" w:rsidRPr="006F6D1E">
              <w:t xml:space="preserve"> (turpmāk – noteikumi N</w:t>
            </w:r>
            <w:r w:rsidR="001C45AC" w:rsidRPr="006F6D1E">
              <w:t>r.</w:t>
            </w:r>
            <w:r w:rsidR="004A74F5" w:rsidRPr="006F6D1E">
              <w:t> </w:t>
            </w:r>
            <w:r w:rsidR="001C45AC" w:rsidRPr="006F6D1E">
              <w:t>124)</w:t>
            </w:r>
            <w:r w:rsidR="00A313A1" w:rsidRPr="006F6D1E">
              <w:t xml:space="preserve"> </w:t>
            </w:r>
          </w:p>
          <w:p w14:paraId="2C3117FE" w14:textId="45BBB382" w:rsidR="00DF07CB" w:rsidRPr="006F6D1E" w:rsidRDefault="00BC529D" w:rsidP="00820521">
            <w:pPr>
              <w:shd w:val="clear" w:color="auto" w:fill="FFFFFF"/>
              <w:jc w:val="both"/>
            </w:pPr>
            <w:r w:rsidRPr="006F6D1E">
              <w:t xml:space="preserve">ir </w:t>
            </w:r>
            <w:r w:rsidR="001B75CC" w:rsidRPr="006F6D1E">
              <w:t xml:space="preserve">Ministru kabineta </w:t>
            </w:r>
            <w:r w:rsidRPr="006F6D1E">
              <w:t xml:space="preserve">noteikumu, kuros noteikti </w:t>
            </w:r>
            <w:r w:rsidR="00E265D9" w:rsidRPr="006F6D1E">
              <w:t xml:space="preserve">ārvalstīs iegūto </w:t>
            </w:r>
            <w:r w:rsidR="00604CFB" w:rsidRPr="006F6D1E">
              <w:t>ārst</w:t>
            </w:r>
            <w:r w:rsidR="00522D8C" w:rsidRPr="006F6D1E">
              <w:t>a</w:t>
            </w:r>
            <w:r w:rsidR="00604CFB" w:rsidRPr="006F6D1E">
              <w:t>, zobārst</w:t>
            </w:r>
            <w:r w:rsidR="00522D8C" w:rsidRPr="006F6D1E">
              <w:t>a</w:t>
            </w:r>
            <w:r w:rsidR="00604CFB" w:rsidRPr="006F6D1E">
              <w:t>, vispārējās aprūpes mās</w:t>
            </w:r>
            <w:r w:rsidR="00522D8C" w:rsidRPr="006F6D1E">
              <w:t>as</w:t>
            </w:r>
            <w:r w:rsidR="00604CFB" w:rsidRPr="006F6D1E">
              <w:t>, vecmā</w:t>
            </w:r>
            <w:r w:rsidR="00522D8C" w:rsidRPr="006F6D1E">
              <w:t>tes</w:t>
            </w:r>
            <w:r w:rsidR="00604CFB" w:rsidRPr="006F6D1E">
              <w:t>, farmaceit</w:t>
            </w:r>
            <w:r w:rsidR="00522D8C" w:rsidRPr="006F6D1E">
              <w:t>a</w:t>
            </w:r>
            <w:r w:rsidR="00604CFB" w:rsidRPr="006F6D1E">
              <w:t xml:space="preserve"> </w:t>
            </w:r>
            <w:r w:rsidR="00522D8C" w:rsidRPr="006F6D1E">
              <w:t xml:space="preserve">un </w:t>
            </w:r>
            <w:r w:rsidR="00604CFB" w:rsidRPr="006F6D1E">
              <w:t>veterinārārst</w:t>
            </w:r>
            <w:r w:rsidR="00522D8C" w:rsidRPr="006F6D1E">
              <w:t>a</w:t>
            </w:r>
            <w:r w:rsidR="00604CFB" w:rsidRPr="006F6D1E">
              <w:t xml:space="preserve"> (turpmāk – </w:t>
            </w:r>
            <w:proofErr w:type="spellStart"/>
            <w:r w:rsidR="00604CFB" w:rsidRPr="006F6D1E">
              <w:t>sektoriālās</w:t>
            </w:r>
            <w:proofErr w:type="spellEnd"/>
            <w:r w:rsidR="00604CFB" w:rsidRPr="006F6D1E">
              <w:t xml:space="preserve"> profesijas) </w:t>
            </w:r>
            <w:r w:rsidR="00E265D9" w:rsidRPr="006F6D1E">
              <w:t xml:space="preserve">izglītību un profesionālo kvalifikāciju apliecinošo dokumentu nosaukumi un to </w:t>
            </w:r>
            <w:proofErr w:type="spellStart"/>
            <w:r w:rsidR="00E265D9" w:rsidRPr="006F6D1E">
              <w:t>izdevējiestādes</w:t>
            </w:r>
            <w:proofErr w:type="spellEnd"/>
            <w:r w:rsidR="00E265D9" w:rsidRPr="006F6D1E">
              <w:t xml:space="preserve"> saskaņā ar </w:t>
            </w:r>
            <w:r w:rsidR="009B381F" w:rsidRPr="006F6D1E">
              <w:t>direktīv</w:t>
            </w:r>
            <w:r w:rsidR="00470BD4" w:rsidRPr="006F6D1E">
              <w:t>as</w:t>
            </w:r>
            <w:r w:rsidR="009B381F" w:rsidRPr="006F6D1E">
              <w:t xml:space="preserve"> 2005/36/EK</w:t>
            </w:r>
            <w:r w:rsidR="00E265D9" w:rsidRPr="006F6D1E">
              <w:t xml:space="preserve"> V pielikumu</w:t>
            </w:r>
            <w:r w:rsidR="007563AC" w:rsidRPr="006F6D1E">
              <w:rPr>
                <w:rStyle w:val="FootnoteReference"/>
              </w:rPr>
              <w:footnoteReference w:id="1"/>
            </w:r>
            <w:r w:rsidR="00DD14EA" w:rsidRPr="006F6D1E">
              <w:t>, kā arī noteikti noteikumi speciālās profesionālās kvalifikācijas atzīšanas sistēmas piemērošanai</w:t>
            </w:r>
            <w:r w:rsidR="001B75CC" w:rsidRPr="006F6D1E">
              <w:t>, kopa</w:t>
            </w:r>
            <w:r w:rsidR="00E265D9" w:rsidRPr="006F6D1E">
              <w:t xml:space="preserve">. </w:t>
            </w:r>
            <w:r w:rsidR="00123B02" w:rsidRPr="006F6D1E">
              <w:t>Saskaņā ar direktīvas 2005/36/EK 21.</w:t>
            </w:r>
            <w:r w:rsidR="006339F7" w:rsidRPr="006F6D1E">
              <w:t> </w:t>
            </w:r>
            <w:r w:rsidR="00123B02" w:rsidRPr="006F6D1E">
              <w:t>panta 1.</w:t>
            </w:r>
            <w:r w:rsidR="006339F7" w:rsidRPr="006F6D1E">
              <w:t> </w:t>
            </w:r>
            <w:r w:rsidR="00123B02" w:rsidRPr="006F6D1E">
              <w:t xml:space="preserve">punktu V pielikumā uzskaitītajiem </w:t>
            </w:r>
            <w:r w:rsidR="00106E39" w:rsidRPr="006F6D1E">
              <w:t xml:space="preserve">Eiropas Savienības dalībvalstīs izdotajiem izglītību un profesionālo kvalifikāciju apliecinošajiem </w:t>
            </w:r>
            <w:r w:rsidR="00123B02" w:rsidRPr="006F6D1E">
              <w:t xml:space="preserve">dokumentiem </w:t>
            </w:r>
            <w:proofErr w:type="spellStart"/>
            <w:r w:rsidR="00604CFB" w:rsidRPr="006F6D1E">
              <w:t>sektoriālajās</w:t>
            </w:r>
            <w:proofErr w:type="spellEnd"/>
            <w:r w:rsidR="00604CFB" w:rsidRPr="006F6D1E">
              <w:t xml:space="preserve"> profesijās </w:t>
            </w:r>
            <w:r w:rsidR="00123B02" w:rsidRPr="006F6D1E">
              <w:t>prof</w:t>
            </w:r>
            <w:r w:rsidR="007A0521" w:rsidRPr="006F6D1E">
              <w:t>esionālo kvalifikāciju atzīst</w:t>
            </w:r>
            <w:r w:rsidR="00123B02" w:rsidRPr="006F6D1E">
              <w:t xml:space="preserve">, piemērojot speciālo profesionālās kvalifikācijas atzīšanas sistēmu. </w:t>
            </w:r>
            <w:r w:rsidR="0024179D" w:rsidRPr="006F6D1E">
              <w:t>Ar Deleģēto lēmumu</w:t>
            </w:r>
            <w:r w:rsidR="008876FC" w:rsidRPr="006F6D1E">
              <w:t xml:space="preserve"> </w:t>
            </w:r>
            <w:r w:rsidR="0024179D" w:rsidRPr="006F6D1E">
              <w:t>ir izdarīti grozījumi di</w:t>
            </w:r>
            <w:r w:rsidR="00AC144B" w:rsidRPr="006F6D1E">
              <w:t>rektīvas 2005/36/EK V</w:t>
            </w:r>
            <w:r w:rsidR="000908AB" w:rsidRPr="006F6D1E">
              <w:t> </w:t>
            </w:r>
            <w:r w:rsidR="00AC144B" w:rsidRPr="006F6D1E">
              <w:t xml:space="preserve">pielikumā. </w:t>
            </w:r>
          </w:p>
          <w:p w14:paraId="7926FA0E" w14:textId="2D528589" w:rsidR="0035526D" w:rsidRPr="006F6D1E" w:rsidRDefault="008F2F1B" w:rsidP="0035526D">
            <w:pPr>
              <w:jc w:val="both"/>
            </w:pPr>
            <w:r w:rsidRPr="006F6D1E">
              <w:rPr>
                <w:bCs/>
              </w:rPr>
              <w:t xml:space="preserve">     </w:t>
            </w:r>
            <w:r w:rsidR="001164D7" w:rsidRPr="006F6D1E">
              <w:rPr>
                <w:bCs/>
              </w:rPr>
              <w:t xml:space="preserve">Latvija </w:t>
            </w:r>
            <w:r w:rsidR="001164D7" w:rsidRPr="006F6D1E">
              <w:t>ir saņēmusi Eiropas Komisijas 2019. gada 24. janvāra formālo paziņojumu pārkāpuma procedūras lietā Nr.</w:t>
            </w:r>
            <w:r w:rsidR="000908AB" w:rsidRPr="006F6D1E">
              <w:t> </w:t>
            </w:r>
            <w:r w:rsidR="001164D7" w:rsidRPr="006F6D1E">
              <w:t>2018/2296, kurā ir norādīts uz Latvijas vairāku tiesību normu neatbilstību direktīvas 2005/36/EK prasībām.</w:t>
            </w:r>
            <w:r w:rsidR="00722572" w:rsidRPr="006F6D1E">
              <w:t xml:space="preserve"> Lai novērstu neatbilstības, ir jāveic izmaiņas vairāk</w:t>
            </w:r>
            <w:r w:rsidR="00FF0951" w:rsidRPr="006F6D1E">
              <w:t xml:space="preserve">os normatīvajos aktos. </w:t>
            </w:r>
          </w:p>
          <w:p w14:paraId="0A474E6D" w14:textId="5B156F3A" w:rsidR="00106F94" w:rsidRPr="006F6D1E" w:rsidRDefault="008F2F1B" w:rsidP="0035526D">
            <w:pPr>
              <w:jc w:val="both"/>
            </w:pPr>
            <w:r w:rsidRPr="006F6D1E">
              <w:t xml:space="preserve">    Ievērojot minēto,</w:t>
            </w:r>
            <w:r w:rsidR="00470BD4" w:rsidRPr="006F6D1E">
              <w:t xml:space="preserve"> ir izstrādāti </w:t>
            </w:r>
            <w:r w:rsidR="00BC529D" w:rsidRPr="006F6D1E">
              <w:t xml:space="preserve">šādi </w:t>
            </w:r>
            <w:r w:rsidR="00C324B3" w:rsidRPr="006F6D1E">
              <w:t xml:space="preserve">Ministru kabineta </w:t>
            </w:r>
            <w:r w:rsidR="00BC529D" w:rsidRPr="006F6D1E">
              <w:t>noteikumu projekti:</w:t>
            </w:r>
          </w:p>
          <w:p w14:paraId="0A474E6E" w14:textId="0EEB538A" w:rsidR="00106F94" w:rsidRPr="006F6D1E" w:rsidRDefault="00BC529D" w:rsidP="00820521">
            <w:pPr>
              <w:shd w:val="clear" w:color="auto" w:fill="FFFFFF"/>
              <w:jc w:val="both"/>
            </w:pPr>
            <w:r w:rsidRPr="006F6D1E">
              <w:t>1) Ministru kabineta noteikumu projekts “Grozījumi Ministru kabineta 2005. gad</w:t>
            </w:r>
            <w:r w:rsidR="009B6339" w:rsidRPr="006F6D1E">
              <w:t>a 29. marta noteikumos Nr. 207 “</w:t>
            </w:r>
            <w:r w:rsidRPr="006F6D1E">
              <w:t>Noteikumi par ārsta izglītību un profesionālo kvalifikāciju apliecinošiem dokumentiem, kurus atzīst, piemērojot speciālo profesionālās kvalifikācijas atzīšanas sistē</w:t>
            </w:r>
            <w:r w:rsidR="009B6339" w:rsidRPr="006F6D1E">
              <w:t>mu</w:t>
            </w:r>
            <w:r w:rsidR="00F42A15" w:rsidRPr="006F6D1E">
              <w:t>”</w:t>
            </w:r>
            <w:r w:rsidRPr="006F6D1E">
              <w:t>”</w:t>
            </w:r>
            <w:r w:rsidR="00FE0E49" w:rsidRPr="006F6D1E">
              <w:t xml:space="preserve"> (turpmāk – grozījumi noteikumos Nr.</w:t>
            </w:r>
            <w:r w:rsidR="000908AB" w:rsidRPr="006F6D1E">
              <w:t> </w:t>
            </w:r>
            <w:r w:rsidR="00FE0E49" w:rsidRPr="006F6D1E">
              <w:t>207)</w:t>
            </w:r>
            <w:r w:rsidRPr="006F6D1E">
              <w:t xml:space="preserve">, </w:t>
            </w:r>
          </w:p>
          <w:p w14:paraId="0A474E6F" w14:textId="75DBB086" w:rsidR="00106F94" w:rsidRPr="006F6D1E" w:rsidRDefault="00BC529D" w:rsidP="00820521">
            <w:pPr>
              <w:shd w:val="clear" w:color="auto" w:fill="FFFFFF"/>
              <w:jc w:val="both"/>
            </w:pPr>
            <w:r w:rsidRPr="006F6D1E">
              <w:t>2)  Ministru kabineta noteikumu projekts “Grozījumi</w:t>
            </w:r>
            <w:r w:rsidR="0022197C" w:rsidRPr="006F6D1E">
              <w:t xml:space="preserve"> </w:t>
            </w:r>
            <w:r w:rsidRPr="006F6D1E">
              <w:t>Ministru kabine</w:t>
            </w:r>
            <w:r w:rsidR="00FE0E49" w:rsidRPr="006F6D1E">
              <w:t>ta 2005. gada 1. marta noteikumos</w:t>
            </w:r>
            <w:r w:rsidRPr="006F6D1E">
              <w:t xml:space="preserve"> Nr. 149 </w:t>
            </w:r>
            <w:r w:rsidR="000908AB" w:rsidRPr="006F6D1E">
              <w:t>“</w:t>
            </w:r>
            <w:r w:rsidRPr="006F6D1E">
              <w:t>Noteikumi par vecmātes izglītību un profesionālo kvalifikāciju apliecinošiem dokumentiem, kurus atzīst, piemērojot speciālo profesionālās kvalifikācijas atzīšanas sistē</w:t>
            </w:r>
            <w:r w:rsidR="00FE0E49" w:rsidRPr="006F6D1E">
              <w:t>mu” (turpmāk – grozījumi noteikumos Nr.</w:t>
            </w:r>
            <w:r w:rsidR="000908AB" w:rsidRPr="006F6D1E">
              <w:t> </w:t>
            </w:r>
            <w:r w:rsidR="00FE0E49" w:rsidRPr="006F6D1E">
              <w:t>149)</w:t>
            </w:r>
            <w:r w:rsidRPr="006F6D1E">
              <w:t xml:space="preserve">, </w:t>
            </w:r>
          </w:p>
          <w:p w14:paraId="0A474E71" w14:textId="550C64DF" w:rsidR="00106F94" w:rsidRPr="006F6D1E" w:rsidRDefault="00C10161" w:rsidP="00820521">
            <w:pPr>
              <w:shd w:val="clear" w:color="auto" w:fill="FFFFFF"/>
              <w:jc w:val="both"/>
            </w:pPr>
            <w:r w:rsidRPr="006F6D1E">
              <w:t>3</w:t>
            </w:r>
            <w:r w:rsidR="00BC529D" w:rsidRPr="006F6D1E">
              <w:t>) Ministru kabineta noteikumu projekts “Grozījumi Ministru kabinet</w:t>
            </w:r>
            <w:r w:rsidR="00FE0E49" w:rsidRPr="006F6D1E">
              <w:t>a 2005. gada 24. maija noteikumos</w:t>
            </w:r>
            <w:r w:rsidR="00BC529D" w:rsidRPr="006F6D1E">
              <w:t xml:space="preserve"> Nr. 351 “Noteikumi par vispārējās aprūpes māsas izglītību un profesionālo kvalifikāciju apliecinošiem dokumentiem, kurus atzīst, piemērojot speciālo profesionālās kvalifikācijas atzīšanas sistē</w:t>
            </w:r>
            <w:r w:rsidR="00FE0E49" w:rsidRPr="006F6D1E">
              <w:t>mu”</w:t>
            </w:r>
            <w:r w:rsidR="00223F45" w:rsidRPr="006F6D1E">
              <w:t>”</w:t>
            </w:r>
            <w:r w:rsidR="00FE0E49" w:rsidRPr="006F6D1E">
              <w:t xml:space="preserve"> (turpmāk – grozījumi noteikumos Nr.</w:t>
            </w:r>
            <w:r w:rsidR="000908AB" w:rsidRPr="006F6D1E">
              <w:t> </w:t>
            </w:r>
            <w:r w:rsidR="00FE0E49" w:rsidRPr="006F6D1E">
              <w:t>351),</w:t>
            </w:r>
          </w:p>
          <w:p w14:paraId="0A474E72" w14:textId="5786957A" w:rsidR="00106F94" w:rsidRPr="006F6D1E" w:rsidRDefault="00C10161" w:rsidP="00820521">
            <w:pPr>
              <w:shd w:val="clear" w:color="auto" w:fill="FFFFFF"/>
              <w:jc w:val="both"/>
            </w:pPr>
            <w:r w:rsidRPr="006F6D1E">
              <w:t>4</w:t>
            </w:r>
            <w:r w:rsidR="00BC529D" w:rsidRPr="006F6D1E">
              <w:t>) Ministru kabineta noteikumu projekts “Grozījumi Ministru kabineta 2005. gada 15. februāra notei</w:t>
            </w:r>
            <w:r w:rsidR="00FE0E49" w:rsidRPr="006F6D1E">
              <w:t>kumos</w:t>
            </w:r>
            <w:r w:rsidR="009B6339" w:rsidRPr="006F6D1E">
              <w:t xml:space="preserve"> Nr. 125 “</w:t>
            </w:r>
            <w:r w:rsidR="00BC529D" w:rsidRPr="006F6D1E">
              <w:t>Noteikumi par zobārsta izglītību un profesionālo kvalifikāciju apliecinošiem dokumentiem, kurus atzīst, piemērojot speciālo profesionālās kvalifikācijas atzīšanas sistē</w:t>
            </w:r>
            <w:r w:rsidR="009B6339" w:rsidRPr="006F6D1E">
              <w:t>mu”</w:t>
            </w:r>
            <w:r w:rsidR="00223F45" w:rsidRPr="006F6D1E">
              <w:t>”</w:t>
            </w:r>
            <w:r w:rsidR="00473ED4" w:rsidRPr="006F6D1E">
              <w:t xml:space="preserve"> (turpmāk – grozījumi noteikumos Nr.</w:t>
            </w:r>
            <w:r w:rsidR="000908AB" w:rsidRPr="006F6D1E">
              <w:t> </w:t>
            </w:r>
            <w:r w:rsidR="00473ED4" w:rsidRPr="006F6D1E">
              <w:t>125)</w:t>
            </w:r>
            <w:r w:rsidR="00BC529D" w:rsidRPr="006F6D1E">
              <w:t xml:space="preserve">, </w:t>
            </w:r>
          </w:p>
          <w:p w14:paraId="0A474E73" w14:textId="0AB0F313" w:rsidR="00FE0E49" w:rsidRPr="006F6D1E" w:rsidRDefault="00C10161" w:rsidP="00820521">
            <w:pPr>
              <w:shd w:val="clear" w:color="auto" w:fill="FFFFFF"/>
              <w:jc w:val="both"/>
            </w:pPr>
            <w:r w:rsidRPr="006F6D1E">
              <w:lastRenderedPageBreak/>
              <w:t>5</w:t>
            </w:r>
            <w:r w:rsidR="00BC529D" w:rsidRPr="006F6D1E">
              <w:t>) Ministru kabineta noteikumu projekts “Grozījumi Ministru kabineta 2005.</w:t>
            </w:r>
            <w:r w:rsidR="000908AB" w:rsidRPr="006F6D1E">
              <w:t> </w:t>
            </w:r>
            <w:r w:rsidR="00BC529D" w:rsidRPr="006F6D1E">
              <w:t>gada 10.</w:t>
            </w:r>
            <w:r w:rsidR="000908AB" w:rsidRPr="006F6D1E">
              <w:t> </w:t>
            </w:r>
            <w:r w:rsidR="00BC529D" w:rsidRPr="006F6D1E">
              <w:t>maija noteikumos Nr.</w:t>
            </w:r>
            <w:r w:rsidR="000908AB" w:rsidRPr="006F6D1E">
              <w:t> </w:t>
            </w:r>
            <w:r w:rsidR="00BC529D" w:rsidRPr="006F6D1E">
              <w:t>320 “Noteikumi par veterinārārsta izglītību un profesionālo kvalifikāciju apliecinošiem dokumentiem, kurus atzīst, piemērojot speciālo profesionālās kvalifikācijas atzīšanas sistēmu”</w:t>
            </w:r>
            <w:r w:rsidR="009B6339" w:rsidRPr="006F6D1E">
              <w:t>”</w:t>
            </w:r>
            <w:r w:rsidR="00473ED4" w:rsidRPr="006F6D1E">
              <w:t xml:space="preserve"> (turpmāk – grozījumi noteikumos Nr.</w:t>
            </w:r>
            <w:r w:rsidR="000908AB" w:rsidRPr="006F6D1E">
              <w:t> </w:t>
            </w:r>
            <w:r w:rsidR="00473ED4" w:rsidRPr="006F6D1E">
              <w:t>320)</w:t>
            </w:r>
            <w:r w:rsidR="00BC529D" w:rsidRPr="006F6D1E">
              <w:t xml:space="preserve">, </w:t>
            </w:r>
          </w:p>
          <w:p w14:paraId="0A474E74" w14:textId="76C27029" w:rsidR="00106F94" w:rsidRPr="006F6D1E" w:rsidRDefault="00C10161" w:rsidP="00820521">
            <w:pPr>
              <w:shd w:val="clear" w:color="auto" w:fill="FFFFFF"/>
              <w:jc w:val="both"/>
            </w:pPr>
            <w:r w:rsidRPr="006F6D1E">
              <w:t>6</w:t>
            </w:r>
            <w:r w:rsidR="00BC529D" w:rsidRPr="006F6D1E">
              <w:t>) Ministru kabineta noteikumu projekts “Grozījumi Ministru kabineta 2005.</w:t>
            </w:r>
            <w:r w:rsidR="000908AB" w:rsidRPr="006F6D1E">
              <w:t> </w:t>
            </w:r>
            <w:r w:rsidR="00BC529D" w:rsidRPr="006F6D1E">
              <w:t>gada 15.</w:t>
            </w:r>
            <w:r w:rsidR="000908AB" w:rsidRPr="006F6D1E">
              <w:t> </w:t>
            </w:r>
            <w:r w:rsidR="00BC529D" w:rsidRPr="006F6D1E">
              <w:t>februāra noteikumos Nr.</w:t>
            </w:r>
            <w:r w:rsidR="000908AB" w:rsidRPr="006F6D1E">
              <w:t> </w:t>
            </w:r>
            <w:r w:rsidR="00BC529D" w:rsidRPr="006F6D1E">
              <w:t>124 “Noteikumi par farmaceita izglītību un profesionālo kvalifikāciju apliecinošiem dokumentiem, kurus atzīst, piemērojot speciālo profesionālās kvalifikācijas atzīšanas sistēmu</w:t>
            </w:r>
            <w:r w:rsidR="00223F45" w:rsidRPr="006F6D1E">
              <w:t>””</w:t>
            </w:r>
            <w:r w:rsidR="00473ED4" w:rsidRPr="006F6D1E">
              <w:t xml:space="preserve"> (turpmāk – grozījumi noteikumos Nr.</w:t>
            </w:r>
            <w:r w:rsidR="000908AB" w:rsidRPr="006F6D1E">
              <w:t> </w:t>
            </w:r>
            <w:r w:rsidR="00473ED4" w:rsidRPr="006F6D1E">
              <w:t>124)</w:t>
            </w:r>
            <w:r w:rsidR="00C324B3" w:rsidRPr="006F6D1E">
              <w:t xml:space="preserve"> (turpmāk kopā – noteikumu projekti)</w:t>
            </w:r>
            <w:r w:rsidR="00BC529D" w:rsidRPr="006F6D1E">
              <w:t>.</w:t>
            </w:r>
          </w:p>
          <w:p w14:paraId="55E5D886" w14:textId="626C533B" w:rsidR="007A62C0" w:rsidRPr="006F6D1E" w:rsidRDefault="00553C06" w:rsidP="007A62C0">
            <w:pPr>
              <w:jc w:val="both"/>
            </w:pPr>
            <w:r w:rsidRPr="006F6D1E">
              <w:t xml:space="preserve">     </w:t>
            </w:r>
            <w:r w:rsidR="007A62C0" w:rsidRPr="006F6D1E">
              <w:t>Visu noteikumu projektu grozījumu mērķis ir nodrošināt tiesību normu atbilstību direktīvas 2005/36/EK prasībām, lai personas</w:t>
            </w:r>
            <w:r w:rsidR="00FF0951" w:rsidRPr="006F6D1E">
              <w:t xml:space="preserve"> ar ārvalstīs iegūtu profesionālo kvalifikāciju, tajā skaitā diasporai piederīgie,</w:t>
            </w:r>
            <w:r w:rsidR="007A62C0" w:rsidRPr="006F6D1E">
              <w:t xml:space="preserve"> varētu</w:t>
            </w:r>
            <w:r w:rsidR="00FF0951" w:rsidRPr="006F6D1E">
              <w:t xml:space="preserve"> atzīt savu profesionālo kvalifikāciju un tādējādi</w:t>
            </w:r>
            <w:r w:rsidR="007A62C0" w:rsidRPr="006F6D1E">
              <w:t xml:space="preserve"> pilnībā izmantot savas tiesības veikt profesionālo darbību Latvijā.</w:t>
            </w:r>
          </w:p>
          <w:p w14:paraId="469F5F4B" w14:textId="70C1E6F5" w:rsidR="00570CF2" w:rsidRPr="006F6D1E" w:rsidRDefault="00553C06" w:rsidP="00820521">
            <w:pPr>
              <w:shd w:val="clear" w:color="auto" w:fill="FFFFFF"/>
              <w:jc w:val="both"/>
            </w:pPr>
            <w:r w:rsidRPr="006F6D1E">
              <w:t xml:space="preserve">     </w:t>
            </w:r>
            <w:r w:rsidR="00516AE1" w:rsidRPr="006F6D1E">
              <w:t>Direktīvas 2005/36/EK 2</w:t>
            </w:r>
            <w:r w:rsidR="008E6669" w:rsidRPr="006F6D1E">
              <w:t>3</w:t>
            </w:r>
            <w:r w:rsidR="00056E71" w:rsidRPr="006F6D1E">
              <w:t xml:space="preserve">. panta </w:t>
            </w:r>
            <w:r w:rsidR="008E6669" w:rsidRPr="006F6D1E">
              <w:t>6</w:t>
            </w:r>
            <w:r w:rsidR="00516AE1" w:rsidRPr="006F6D1E">
              <w:t>. punkt</w:t>
            </w:r>
            <w:r w:rsidR="00A06383" w:rsidRPr="006F6D1E">
              <w:t xml:space="preserve">ā ir noteikts, ka zobārsta profesionālās kvalifikācijas atzīšanai piemēro speciālo profesionālās kvalifikācijas atzīšanas sistēmu, ja persona ir ieguvusi </w:t>
            </w:r>
            <w:r w:rsidR="00056E71" w:rsidRPr="006F6D1E">
              <w:t>zob</w:t>
            </w:r>
            <w:r w:rsidR="00A06383" w:rsidRPr="006F6D1E">
              <w:t>ārsta kvalifikāciju apliecinošo dokumentu</w:t>
            </w:r>
            <w:r w:rsidR="00056E71" w:rsidRPr="006F6D1E">
              <w:t xml:space="preserve">, kas </w:t>
            </w:r>
            <w:r w:rsidR="008E6669" w:rsidRPr="006F6D1E">
              <w:t>neatbilst</w:t>
            </w:r>
            <w:r w:rsidR="00891401" w:rsidRPr="006F6D1E">
              <w:t xml:space="preserve"> profesionālajiem nosaukumiem, kuri attiecībā uz konkrēto valsti norādīti </w:t>
            </w:r>
            <w:r w:rsidR="00A06383" w:rsidRPr="006F6D1E">
              <w:t>direktīvas 2005/36/EK</w:t>
            </w:r>
            <w:r w:rsidR="00570249" w:rsidRPr="006F6D1E">
              <w:t xml:space="preserve"> V pielikuma</w:t>
            </w:r>
            <w:r w:rsidR="00A06383" w:rsidRPr="006F6D1E">
              <w:t xml:space="preserve"> 5.3.2. p</w:t>
            </w:r>
            <w:r w:rsidR="00570249" w:rsidRPr="006F6D1E">
              <w:t>unkt</w:t>
            </w:r>
            <w:r w:rsidR="00A06383" w:rsidRPr="006F6D1E">
              <w:t>ā</w:t>
            </w:r>
            <w:r w:rsidR="00D161CF" w:rsidRPr="006F6D1E">
              <w:t>,</w:t>
            </w:r>
            <w:r w:rsidR="00056E71" w:rsidRPr="006F6D1E">
              <w:t xml:space="preserve"> bet </w:t>
            </w:r>
            <w:r w:rsidR="009553FA" w:rsidRPr="006F6D1E">
              <w:t xml:space="preserve">šī dokumenta apliecinātā izglītība atbilst zobārsta kvalifikācijas iegūšanai izvirzītajām minimālajām prasībām, ko apliecina attiecīgās kompetentās institūcijas izsniegts dokuments. </w:t>
            </w:r>
            <w:r w:rsidR="00570CF2" w:rsidRPr="006F6D1E">
              <w:t>Direktīvas 2005/36/EK 23. panta 6.</w:t>
            </w:r>
            <w:r w:rsidR="00475BFF" w:rsidRPr="006F6D1E">
              <w:t> </w:t>
            </w:r>
            <w:r w:rsidR="00570CF2" w:rsidRPr="006F6D1E">
              <w:t>punktā nav minēts, ka šādam dokumentam būtu jābūt izdotam pēc 5.3.2.</w:t>
            </w:r>
            <w:r w:rsidR="00475BFF" w:rsidRPr="006F6D1E">
              <w:t> </w:t>
            </w:r>
            <w:r w:rsidR="00570CF2" w:rsidRPr="006F6D1E">
              <w:t>pielikumā noteiktā atsauces datuma, kā to nosaka noteikumu Nr.</w:t>
            </w:r>
            <w:r w:rsidR="00475BFF" w:rsidRPr="006F6D1E">
              <w:t> </w:t>
            </w:r>
            <w:r w:rsidR="00570CF2" w:rsidRPr="006F6D1E">
              <w:t>125 5. punkts. Grozījumi noteikumos Nr. 125 paredz novērst šo neatbilstību.</w:t>
            </w:r>
            <w:r w:rsidR="008E6669" w:rsidRPr="006F6D1E">
              <w:t xml:space="preserve"> Tāda paša satura grozījums attiecībā uz farmaceita kvalifikācijas dokumentu </w:t>
            </w:r>
            <w:r w:rsidR="00D70A87" w:rsidRPr="006F6D1E">
              <w:t>ir veikts noteikumu Nr. 124. 3. punkt</w:t>
            </w:r>
            <w:r w:rsidR="003E40F9" w:rsidRPr="006F6D1E">
              <w:t xml:space="preserve">ā, attiecībā uz ārsta kvalifikāciju </w:t>
            </w:r>
            <w:r w:rsidR="000908AB" w:rsidRPr="006F6D1E">
              <w:t>–</w:t>
            </w:r>
            <w:r w:rsidR="00470BD4" w:rsidRPr="006F6D1E">
              <w:t xml:space="preserve"> </w:t>
            </w:r>
            <w:r w:rsidR="003E40F9" w:rsidRPr="006F6D1E">
              <w:t>noteikumu Nr. 207 3. punktā</w:t>
            </w:r>
            <w:r w:rsidR="009A6152" w:rsidRPr="006F6D1E">
              <w:t>, attiecībā uz vecmātes kvalifikāciju</w:t>
            </w:r>
            <w:r w:rsidR="00470BD4" w:rsidRPr="006F6D1E">
              <w:t xml:space="preserve"> </w:t>
            </w:r>
            <w:r w:rsidR="000908AB" w:rsidRPr="006F6D1E">
              <w:t>–</w:t>
            </w:r>
            <w:r w:rsidR="009A6152" w:rsidRPr="006F6D1E">
              <w:t xml:space="preserve"> noteikumu Nr. 149 3. punktā</w:t>
            </w:r>
            <w:r w:rsidR="000F5C17" w:rsidRPr="006F6D1E">
              <w:t xml:space="preserve">, attiecībā uz veterinārārsta kvalifikāciju </w:t>
            </w:r>
            <w:r w:rsidR="000908AB" w:rsidRPr="006F6D1E">
              <w:t>–</w:t>
            </w:r>
            <w:r w:rsidR="00470BD4" w:rsidRPr="006F6D1E">
              <w:t xml:space="preserve"> </w:t>
            </w:r>
            <w:r w:rsidR="000F5C17" w:rsidRPr="006F6D1E">
              <w:t>noteikumu Nr. </w:t>
            </w:r>
            <w:r w:rsidR="008D3B43" w:rsidRPr="006F6D1E">
              <w:t>320 3</w:t>
            </w:r>
            <w:r w:rsidR="000F5C17" w:rsidRPr="006F6D1E">
              <w:t>. punktā</w:t>
            </w:r>
            <w:r w:rsidR="00863647" w:rsidRPr="006F6D1E">
              <w:t>, noteikumu Nr. 351 3. punktā</w:t>
            </w:r>
            <w:r w:rsidR="00473AEE" w:rsidRPr="006F6D1E">
              <w:t>.</w:t>
            </w:r>
          </w:p>
          <w:p w14:paraId="337A0E03" w14:textId="7B757EC3" w:rsidR="00516AE1" w:rsidRPr="006F6D1E" w:rsidRDefault="00553C06" w:rsidP="00820521">
            <w:pPr>
              <w:shd w:val="clear" w:color="auto" w:fill="FFFFFF"/>
              <w:jc w:val="both"/>
            </w:pPr>
            <w:r w:rsidRPr="006F6D1E">
              <w:t xml:space="preserve">     </w:t>
            </w:r>
            <w:r w:rsidR="00570CF2" w:rsidRPr="006F6D1E">
              <w:t xml:space="preserve">Direktīvas 2005/36/EK 21. panta 1. punktā ir noteikts, ka ārsta, specializētā ārsta, </w:t>
            </w:r>
            <w:r w:rsidR="0047219F" w:rsidRPr="006F6D1E">
              <w:t xml:space="preserve">vispārējās aprūpes </w:t>
            </w:r>
            <w:r w:rsidR="00570CF2" w:rsidRPr="006F6D1E">
              <w:t xml:space="preserve">māsas, zobārsta, specializētā zobārsta, veterinārārsta, farmaceita profesionālās kvalifikācijas atzīšanai piemēro speciālo profesionālās kvalifikācijas atzīšanas sistēmu, ja persona ir ieguvusi attiecīgo kvalifikāciju apliecinošo dokumentu, kuri uzskaitīti </w:t>
            </w:r>
            <w:r w:rsidR="004147C8" w:rsidRPr="006F6D1E">
              <w:t xml:space="preserve">direktīvas 2005/36/EK V pielikumā. </w:t>
            </w:r>
            <w:r w:rsidR="009553FA" w:rsidRPr="006F6D1E">
              <w:t>Ieg</w:t>
            </w:r>
            <w:r w:rsidR="004147C8" w:rsidRPr="006F6D1E">
              <w:t xml:space="preserve">ūtajam </w:t>
            </w:r>
            <w:r w:rsidR="009553FA" w:rsidRPr="006F6D1E">
              <w:t>kvalifikāciju apliecinošajam dokumentam ir jābūt izdotam par izglītību, kas uzsākta līdz direktīv</w:t>
            </w:r>
            <w:r w:rsidR="004147C8" w:rsidRPr="006F6D1E">
              <w:t xml:space="preserve">as </w:t>
            </w:r>
            <w:r w:rsidR="00473AEE" w:rsidRPr="006F6D1E">
              <w:t xml:space="preserve">2005/36/EK </w:t>
            </w:r>
            <w:r w:rsidR="004147C8" w:rsidRPr="006F6D1E">
              <w:t xml:space="preserve">V </w:t>
            </w:r>
            <w:r w:rsidR="009553FA" w:rsidRPr="006F6D1E">
              <w:t>pielikumā noteiktajam termiņ</w:t>
            </w:r>
            <w:r w:rsidR="00700D72" w:rsidRPr="006F6D1E">
              <w:t>a</w:t>
            </w:r>
            <w:r w:rsidR="009553FA" w:rsidRPr="006F6D1E">
              <w:t>m</w:t>
            </w:r>
            <w:r w:rsidR="00700D72" w:rsidRPr="006F6D1E">
              <w:rPr>
                <w:rStyle w:val="FootnoteReference"/>
              </w:rPr>
              <w:footnoteReference w:id="2"/>
            </w:r>
            <w:r w:rsidR="009553FA" w:rsidRPr="006F6D1E">
              <w:t xml:space="preserve"> attiecīg</w:t>
            </w:r>
            <w:r w:rsidR="003E40F9" w:rsidRPr="006F6D1E">
              <w:t>ajā</w:t>
            </w:r>
            <w:r w:rsidR="009553FA" w:rsidRPr="006F6D1E">
              <w:t xml:space="preserve"> valst</w:t>
            </w:r>
            <w:r w:rsidR="003E40F9" w:rsidRPr="006F6D1E">
              <w:t>ī</w:t>
            </w:r>
            <w:r w:rsidR="009553FA" w:rsidRPr="006F6D1E">
              <w:t xml:space="preserve">. </w:t>
            </w:r>
            <w:r w:rsidR="004147C8" w:rsidRPr="006F6D1E">
              <w:t>Noteikumos</w:t>
            </w:r>
            <w:r w:rsidR="009553FA" w:rsidRPr="006F6D1E">
              <w:t xml:space="preserve"> Nr. 125</w:t>
            </w:r>
            <w:r w:rsidR="004147C8" w:rsidRPr="006F6D1E">
              <w:t>, noteikumos Nr. 124</w:t>
            </w:r>
            <w:r w:rsidR="003E40F9" w:rsidRPr="006F6D1E">
              <w:t>,</w:t>
            </w:r>
            <w:r w:rsidR="00881140" w:rsidRPr="006F6D1E">
              <w:t xml:space="preserve"> noteikumos Nr. 207,</w:t>
            </w:r>
            <w:r w:rsidR="00B1333E" w:rsidRPr="006F6D1E">
              <w:t xml:space="preserve"> noteikumos Nr. 149,</w:t>
            </w:r>
            <w:r w:rsidR="00881140" w:rsidRPr="006F6D1E">
              <w:t xml:space="preserve"> noteikumos Nr. 320 </w:t>
            </w:r>
            <w:r w:rsidR="000908AB" w:rsidRPr="006F6D1E">
              <w:t>un</w:t>
            </w:r>
            <w:r w:rsidR="00881140" w:rsidRPr="006F6D1E">
              <w:t xml:space="preserve"> noteikumos Nr. </w:t>
            </w:r>
            <w:r w:rsidR="00C40E5C" w:rsidRPr="006F6D1E">
              <w:t> </w:t>
            </w:r>
            <w:r w:rsidR="00881140" w:rsidRPr="006F6D1E">
              <w:t xml:space="preserve">351 </w:t>
            </w:r>
            <w:r w:rsidR="009553FA" w:rsidRPr="006F6D1E">
              <w:t xml:space="preserve"> </w:t>
            </w:r>
            <w:r w:rsidR="004147C8" w:rsidRPr="006F6D1E">
              <w:t>noteikts, ka</w:t>
            </w:r>
            <w:r w:rsidR="009553FA" w:rsidRPr="006F6D1E">
              <w:t xml:space="preserve"> kvalifikāciju apliecinošajam dokumentam ir jābūt izdotam līdz </w:t>
            </w:r>
            <w:r w:rsidR="00AB362F" w:rsidRPr="006F6D1E">
              <w:t xml:space="preserve">šajos </w:t>
            </w:r>
            <w:r w:rsidR="006004F9" w:rsidRPr="006F6D1E">
              <w:t xml:space="preserve">Ministru kabineta </w:t>
            </w:r>
            <w:r w:rsidR="00AB362F" w:rsidRPr="006F6D1E">
              <w:t xml:space="preserve">noteikumos </w:t>
            </w:r>
            <w:r w:rsidR="009553FA" w:rsidRPr="006F6D1E">
              <w:t xml:space="preserve">minētajam datumam, kas neatbilst direktīvai 2005/36/EK. </w:t>
            </w:r>
            <w:r w:rsidR="006004F9" w:rsidRPr="006F6D1E">
              <w:t>N</w:t>
            </w:r>
            <w:r w:rsidR="009553FA" w:rsidRPr="006F6D1E">
              <w:t>oteikum</w:t>
            </w:r>
            <w:r w:rsidR="006004F9" w:rsidRPr="006F6D1E">
              <w:t>u projekti</w:t>
            </w:r>
            <w:r w:rsidR="009553FA" w:rsidRPr="006F6D1E">
              <w:t xml:space="preserve"> paredz novērst šo neatbilstību.</w:t>
            </w:r>
            <w:r w:rsidR="009124E8" w:rsidRPr="006F6D1E">
              <w:t xml:space="preserve"> </w:t>
            </w:r>
            <w:r w:rsidR="00D161CF" w:rsidRPr="006F6D1E">
              <w:t>G</w:t>
            </w:r>
            <w:r w:rsidR="00F51D52" w:rsidRPr="006F6D1E">
              <w:t>ro</w:t>
            </w:r>
            <w:r w:rsidR="009124E8" w:rsidRPr="006F6D1E">
              <w:t>zījum</w:t>
            </w:r>
            <w:r w:rsidR="00D161CF" w:rsidRPr="006F6D1E">
              <w:t xml:space="preserve">i, kuru būtība ir direktīvas 2005/36/EK V </w:t>
            </w:r>
            <w:r w:rsidR="00D161CF" w:rsidRPr="006F6D1E">
              <w:lastRenderedPageBreak/>
              <w:t>pielikumā iekļauto kvalifikāciju apliecinošo dokumentu raksturlielumu “Atsauces gads” noteikt kā gadu, kas ir izsākta izglītības iegūšana attiecīgā dokument saņemšanai, bet nevis par datumu, kad kvalifikāciju apliecinošais dokuments izdots,</w:t>
            </w:r>
            <w:r w:rsidR="008F2F1B" w:rsidRPr="006F6D1E">
              <w:t xml:space="preserve"> veikti</w:t>
            </w:r>
            <w:r w:rsidR="009124E8" w:rsidRPr="006F6D1E">
              <w:t xml:space="preserve"> noteikum</w:t>
            </w:r>
            <w:r w:rsidR="00F607B7" w:rsidRPr="006F6D1E">
              <w:t>u</w:t>
            </w:r>
            <w:r w:rsidR="009124E8" w:rsidRPr="006F6D1E">
              <w:t xml:space="preserve"> Nr.</w:t>
            </w:r>
            <w:r w:rsidR="0080387F" w:rsidRPr="006F6D1E">
              <w:t> </w:t>
            </w:r>
            <w:r w:rsidR="009124E8" w:rsidRPr="006F6D1E">
              <w:t>125</w:t>
            </w:r>
            <w:r w:rsidR="00F607B7" w:rsidRPr="006F6D1E">
              <w:t xml:space="preserve"> 4., 5., 7. punktā</w:t>
            </w:r>
            <w:r w:rsidR="009124E8" w:rsidRPr="006F6D1E">
              <w:t>, noteikumu Nr. 124 2. punktā</w:t>
            </w:r>
            <w:r w:rsidR="003E40F9" w:rsidRPr="006F6D1E">
              <w:t>, noteikumu Nr. 207 2., 8. un 15. punktā,</w:t>
            </w:r>
            <w:r w:rsidR="00B1333E" w:rsidRPr="006F6D1E">
              <w:t xml:space="preserve"> noteikumu Nr</w:t>
            </w:r>
            <w:bookmarkStart w:id="0" w:name="_GoBack"/>
            <w:bookmarkEnd w:id="0"/>
            <w:r w:rsidR="00B1333E" w:rsidRPr="006F6D1E">
              <w:t>. 351 2.1.</w:t>
            </w:r>
            <w:r w:rsidR="00473AEE" w:rsidRPr="006F6D1E">
              <w:t> </w:t>
            </w:r>
            <w:r w:rsidR="00B1333E" w:rsidRPr="006F6D1E">
              <w:t xml:space="preserve">apakšpunktā, noteikumu </w:t>
            </w:r>
            <w:r w:rsidR="000908AB" w:rsidRPr="006F6D1E">
              <w:t>N</w:t>
            </w:r>
            <w:r w:rsidR="00B1333E" w:rsidRPr="006F6D1E">
              <w:t>r.</w:t>
            </w:r>
            <w:r w:rsidR="000908AB" w:rsidRPr="006F6D1E">
              <w:t> </w:t>
            </w:r>
            <w:r w:rsidR="00B1333E" w:rsidRPr="006F6D1E">
              <w:t>149 2.3. apakšpunktā</w:t>
            </w:r>
            <w:r w:rsidR="00D161CF" w:rsidRPr="006F6D1E">
              <w:t xml:space="preserve">, 3., 4., 5., 6. un 11. punktā, </w:t>
            </w:r>
            <w:r w:rsidR="00B1333E" w:rsidRPr="006F6D1E">
              <w:t xml:space="preserve"> </w:t>
            </w:r>
            <w:r w:rsidR="000908AB" w:rsidRPr="006F6D1E">
              <w:t xml:space="preserve">un </w:t>
            </w:r>
            <w:r w:rsidR="00B1333E" w:rsidRPr="006F6D1E">
              <w:t xml:space="preserve">noteikumu Nr. 320 2. punktā, </w:t>
            </w:r>
            <w:r w:rsidR="00F51D52" w:rsidRPr="006F6D1E">
              <w:t xml:space="preserve"> lai precīzi pārņemtu direktīvas 2005/36/EK 2</w:t>
            </w:r>
            <w:r w:rsidR="009A6152" w:rsidRPr="006F6D1E">
              <w:t>1</w:t>
            </w:r>
            <w:r w:rsidR="00F51D52" w:rsidRPr="006F6D1E">
              <w:t>. panta 1. punktā noteikto.</w:t>
            </w:r>
          </w:p>
          <w:p w14:paraId="7B1F9446" w14:textId="22D61C8F" w:rsidR="00056E71" w:rsidRPr="006F6D1E" w:rsidRDefault="00553C06" w:rsidP="00820521">
            <w:pPr>
              <w:shd w:val="clear" w:color="auto" w:fill="FFFFFF"/>
              <w:jc w:val="both"/>
            </w:pPr>
            <w:r w:rsidRPr="006F6D1E">
              <w:t xml:space="preserve">     </w:t>
            </w:r>
            <w:r w:rsidR="00286F87" w:rsidRPr="006F6D1E">
              <w:t xml:space="preserve">Direktīvas 2005/36/EK 23. panta 1. punktā ir noteikts, ka profesionālās kvalifikācijas atzīšanai zobārsta </w:t>
            </w:r>
            <w:proofErr w:type="spellStart"/>
            <w:r w:rsidR="00286F87" w:rsidRPr="006F6D1E">
              <w:t>apakšspecialitātē</w:t>
            </w:r>
            <w:proofErr w:type="spellEnd"/>
            <w:r w:rsidR="00286F87" w:rsidRPr="006F6D1E">
              <w:t xml:space="preserve"> speciālo profesionālās kvalifikācijas atzīšanas sistēmu piemēro tādiem zobārsta </w:t>
            </w:r>
            <w:proofErr w:type="spellStart"/>
            <w:r w:rsidR="00286F87" w:rsidRPr="006F6D1E">
              <w:t>apakšspecialitātes</w:t>
            </w:r>
            <w:proofErr w:type="spellEnd"/>
            <w:r w:rsidR="00286F87" w:rsidRPr="006F6D1E">
              <w:t xml:space="preserve"> kvalifikāciju apliecinošiem dokumentiem, kuri neatbilst minimālajām prasībām, bet kuriem pievienots attiecīgās valsts kompetentās institūcijas apliecinājums, ka pretendents pēdējo piecu gadu laikā vismaz trīs gadus</w:t>
            </w:r>
            <w:r w:rsidR="00D161CF" w:rsidRPr="006F6D1E">
              <w:t xml:space="preserve"> pēc kārtas</w:t>
            </w:r>
            <w:r w:rsidR="00286F87" w:rsidRPr="006F6D1E">
              <w:t xml:space="preserve"> veicis profesionālo darbību zobārsta</w:t>
            </w:r>
            <w:r w:rsidR="00786BB7" w:rsidRPr="006F6D1E">
              <w:t xml:space="preserve"> profesijā vai</w:t>
            </w:r>
            <w:r w:rsidR="00286F87" w:rsidRPr="006F6D1E">
              <w:t xml:space="preserve"> </w:t>
            </w:r>
            <w:proofErr w:type="spellStart"/>
            <w:r w:rsidR="00286F87" w:rsidRPr="006F6D1E">
              <w:t>apakšspecialitātē</w:t>
            </w:r>
            <w:proofErr w:type="spellEnd"/>
            <w:r w:rsidR="00286F87" w:rsidRPr="006F6D1E">
              <w:t>. Noteikumu Nr.</w:t>
            </w:r>
            <w:r w:rsidR="000908AB" w:rsidRPr="006F6D1E">
              <w:t> </w:t>
            </w:r>
            <w:r w:rsidR="00286F87" w:rsidRPr="006F6D1E">
              <w:t>125. 8.</w:t>
            </w:r>
            <w:r w:rsidR="000908AB" w:rsidRPr="006F6D1E">
              <w:t> </w:t>
            </w:r>
            <w:r w:rsidR="00286F87" w:rsidRPr="006F6D1E">
              <w:t xml:space="preserve">punktā izvirzītā prasība ir “divas reizes ilgāka profesionālā pieredze zobārsta </w:t>
            </w:r>
            <w:proofErr w:type="spellStart"/>
            <w:r w:rsidR="00286F87" w:rsidRPr="006F6D1E">
              <w:t>apakšspecialitātē</w:t>
            </w:r>
            <w:proofErr w:type="spellEnd"/>
            <w:r w:rsidR="00286F87" w:rsidRPr="006F6D1E">
              <w:t xml:space="preserve"> attiecīgajā valstī kā trūkstošais izglītības ilgums zobārsta </w:t>
            </w:r>
            <w:proofErr w:type="spellStart"/>
            <w:r w:rsidR="00286F87" w:rsidRPr="006F6D1E">
              <w:t>apakšspecialitātes</w:t>
            </w:r>
            <w:proofErr w:type="spellEnd"/>
            <w:r w:rsidR="00286F87" w:rsidRPr="006F6D1E">
              <w:t xml:space="preserve"> kvalifikācijas iegūšanai, salīdzinot ar Latvijas Republikas normatīvajos aktos noteiktajām izglītības programmu minimālajām prasībām zobārsta </w:t>
            </w:r>
            <w:proofErr w:type="spellStart"/>
            <w:r w:rsidR="00286F87" w:rsidRPr="006F6D1E">
              <w:t>apakšspecialitātes</w:t>
            </w:r>
            <w:proofErr w:type="spellEnd"/>
            <w:r w:rsidR="00286F87" w:rsidRPr="006F6D1E">
              <w:t xml:space="preserve"> profesionālās kvalifikācijas iegūšanai”, kas neatbilst direktīvas 2005/36/EK 23. panta 1. punktā noteiktajam. Grozījumi noteikumos Nr.</w:t>
            </w:r>
            <w:r w:rsidR="000908AB" w:rsidRPr="006F6D1E">
              <w:t> </w:t>
            </w:r>
            <w:r w:rsidR="00286F87" w:rsidRPr="006F6D1E">
              <w:t>125 paredz labot šo neprecizitāti</w:t>
            </w:r>
            <w:r w:rsidR="00786BB7" w:rsidRPr="006F6D1E">
              <w:t xml:space="preserve">, vienlaikus konsolidējot noteikumu </w:t>
            </w:r>
            <w:r w:rsidR="000908AB" w:rsidRPr="006F6D1E">
              <w:t xml:space="preserve">Nr. 125 </w:t>
            </w:r>
            <w:r w:rsidR="00786BB7" w:rsidRPr="006F6D1E">
              <w:t>7. un 8. punktu ar mērķi atvieglot tiesību normu piemērošanu</w:t>
            </w:r>
            <w:r w:rsidR="00286F87" w:rsidRPr="006F6D1E">
              <w:t>.</w:t>
            </w:r>
            <w:r w:rsidR="009622FD" w:rsidRPr="006F6D1E">
              <w:t xml:space="preserve"> Šīs direktīvas </w:t>
            </w:r>
            <w:r w:rsidR="00473AEE" w:rsidRPr="006F6D1E">
              <w:t xml:space="preserve">2005/36/EK </w:t>
            </w:r>
            <w:r w:rsidR="009622FD" w:rsidRPr="006F6D1E">
              <w:t xml:space="preserve">normas pārņemšana attiecībā uz ārsta kvalifikāciju veikta </w:t>
            </w:r>
            <w:r w:rsidR="00C53A5C" w:rsidRPr="006F6D1E">
              <w:t xml:space="preserve">arī </w:t>
            </w:r>
            <w:r w:rsidR="009622FD" w:rsidRPr="006F6D1E">
              <w:t>ar</w:t>
            </w:r>
            <w:r w:rsidR="009A6152" w:rsidRPr="006F6D1E">
              <w:t xml:space="preserve"> grozījumiem noteikumos Nr. 207</w:t>
            </w:r>
            <w:r w:rsidR="004B5C5E" w:rsidRPr="006F6D1E">
              <w:t xml:space="preserve"> attiecībā uz noteikumu Nr.</w:t>
            </w:r>
            <w:r w:rsidR="000908AB" w:rsidRPr="006F6D1E">
              <w:t xml:space="preserve"> </w:t>
            </w:r>
            <w:r w:rsidR="004B5C5E" w:rsidRPr="006F6D1E">
              <w:t>207 11. un 12. punktu</w:t>
            </w:r>
            <w:r w:rsidR="009A6152" w:rsidRPr="006F6D1E">
              <w:t xml:space="preserve">, attiecībā uz farmaceita kvalifikāciju – noteikumu Nr. 124 5. punktā, </w:t>
            </w:r>
            <w:r w:rsidR="008D3B43" w:rsidRPr="006F6D1E">
              <w:t>attiecībā uz veterinārārsta kvalifikāciju</w:t>
            </w:r>
            <w:r w:rsidR="00C53A5C" w:rsidRPr="006F6D1E">
              <w:t xml:space="preserve"> </w:t>
            </w:r>
            <w:r w:rsidR="000908AB" w:rsidRPr="006F6D1E">
              <w:t>–</w:t>
            </w:r>
            <w:r w:rsidR="008D3B43" w:rsidRPr="006F6D1E">
              <w:t xml:space="preserve"> noteikumu Nr. 320 5. punktā, </w:t>
            </w:r>
            <w:r w:rsidR="00780392" w:rsidRPr="006F6D1E">
              <w:t xml:space="preserve">attiecībā uz māsas kvalifikāciju – noteikumu Nr. 351 5. punktā. </w:t>
            </w:r>
          </w:p>
          <w:p w14:paraId="1104EC47" w14:textId="0B124C74" w:rsidR="002D7B0B" w:rsidRPr="006F6D1E" w:rsidRDefault="00553C06" w:rsidP="00820521">
            <w:pPr>
              <w:shd w:val="clear" w:color="auto" w:fill="FFFFFF"/>
              <w:jc w:val="both"/>
            </w:pPr>
            <w:r w:rsidRPr="006F6D1E">
              <w:t xml:space="preserve">     </w:t>
            </w:r>
            <w:r w:rsidR="002D7B0B" w:rsidRPr="006F6D1E">
              <w:t>Noteikumu Nr. 207 7.5</w:t>
            </w:r>
            <w:r w:rsidR="000908AB" w:rsidRPr="006F6D1E">
              <w:t>.</w:t>
            </w:r>
            <w:r w:rsidR="002D7B0B" w:rsidRPr="006F6D1E">
              <w:t> apakšpunktā, noteikumu Nr. 125 12.3</w:t>
            </w:r>
            <w:r w:rsidR="000908AB" w:rsidRPr="006F6D1E">
              <w:t>.</w:t>
            </w:r>
            <w:r w:rsidR="002D7B0B" w:rsidRPr="006F6D1E">
              <w:t xml:space="preserve"> apakšpunktā, </w:t>
            </w:r>
            <w:r w:rsidR="002D7B0B" w:rsidRPr="006F6D1E">
              <w:rPr>
                <w:bCs/>
              </w:rPr>
              <w:t>noteikumu Nr. 124 8.5</w:t>
            </w:r>
            <w:r w:rsidR="000908AB" w:rsidRPr="006F6D1E">
              <w:rPr>
                <w:bCs/>
              </w:rPr>
              <w:t>.</w:t>
            </w:r>
            <w:r w:rsidR="002D7B0B" w:rsidRPr="006F6D1E">
              <w:rPr>
                <w:bCs/>
              </w:rPr>
              <w:t xml:space="preserve"> apakšpunktā, </w:t>
            </w:r>
            <w:r w:rsidR="002D7B0B" w:rsidRPr="006F6D1E">
              <w:t>noteikum</w:t>
            </w:r>
            <w:r w:rsidR="00C53A5C" w:rsidRPr="006F6D1E">
              <w:t>u</w:t>
            </w:r>
            <w:r w:rsidR="002D7B0B" w:rsidRPr="006F6D1E">
              <w:t xml:space="preserve"> Nr. 351 9.5</w:t>
            </w:r>
            <w:r w:rsidR="000908AB" w:rsidRPr="006F6D1E">
              <w:t>.</w:t>
            </w:r>
            <w:r w:rsidR="002D7B0B" w:rsidRPr="006F6D1E">
              <w:t xml:space="preserve"> apakšpunktā, </w:t>
            </w:r>
            <w:r w:rsidR="002D7B0B" w:rsidRPr="006F6D1E">
              <w:rPr>
                <w:bCs/>
              </w:rPr>
              <w:t>noteikumu Nr. 149 10.5</w:t>
            </w:r>
            <w:r w:rsidR="000908AB" w:rsidRPr="006F6D1E">
              <w:rPr>
                <w:bCs/>
              </w:rPr>
              <w:t>.</w:t>
            </w:r>
            <w:r w:rsidR="002D7B0B" w:rsidRPr="006F6D1E">
              <w:rPr>
                <w:bCs/>
              </w:rPr>
              <w:t xml:space="preserve"> apakšpunktā, </w:t>
            </w:r>
            <w:r w:rsidR="00D93D24" w:rsidRPr="006F6D1E">
              <w:rPr>
                <w:bCs/>
              </w:rPr>
              <w:t>noteikumu</w:t>
            </w:r>
            <w:r w:rsidR="002D7B0B" w:rsidRPr="006F6D1E">
              <w:rPr>
                <w:bCs/>
              </w:rPr>
              <w:t xml:space="preserve"> Nr.</w:t>
            </w:r>
            <w:r w:rsidR="000908AB" w:rsidRPr="006F6D1E">
              <w:rPr>
                <w:bCs/>
              </w:rPr>
              <w:t> </w:t>
            </w:r>
            <w:r w:rsidR="002D7B0B" w:rsidRPr="006F6D1E">
              <w:rPr>
                <w:bCs/>
              </w:rPr>
              <w:t>320 8.5</w:t>
            </w:r>
            <w:r w:rsidR="000908AB" w:rsidRPr="006F6D1E">
              <w:rPr>
                <w:bCs/>
              </w:rPr>
              <w:t>.</w:t>
            </w:r>
            <w:r w:rsidR="002D7B0B" w:rsidRPr="006F6D1E">
              <w:rPr>
                <w:bCs/>
              </w:rPr>
              <w:t xml:space="preserve"> apakšpunktā noteikti bijušajā </w:t>
            </w:r>
            <w:r w:rsidR="002D7B0B" w:rsidRPr="006F6D1E">
              <w:rPr>
                <w:shd w:val="clear" w:color="auto" w:fill="FFFFFF"/>
              </w:rPr>
              <w:t>Dienvidslāvijas Sociālistiskajā Federatīvajā Republikā izdotie kvalifikāciju apliecinošie dokumenti, kuriem piemēro speciālo profesionālās kvalifikācijas atzīšanas sistēmu, neminot Horvātijā izdotos kvalifikāciju apliecinošos dokumentus. Tas neatbilst direktīvas 2005/36</w:t>
            </w:r>
            <w:r w:rsidR="00850617" w:rsidRPr="006F6D1E">
              <w:rPr>
                <w:shd w:val="clear" w:color="auto" w:fill="FFFFFF"/>
              </w:rPr>
              <w:t>/EK 23. panta 5. punktā noteiktajam</w:t>
            </w:r>
            <w:r w:rsidR="002D7B0B" w:rsidRPr="006F6D1E">
              <w:rPr>
                <w:shd w:val="clear" w:color="auto" w:fill="FFFFFF"/>
              </w:rPr>
              <w:t xml:space="preserve"> attiecībā uz Horvātijā iegūtiem kvalifikāciju apliecinošiem dokumentiem.</w:t>
            </w:r>
            <w:r w:rsidR="00D93D24" w:rsidRPr="006F6D1E">
              <w:rPr>
                <w:shd w:val="clear" w:color="auto" w:fill="FFFFFF"/>
              </w:rPr>
              <w:t xml:space="preserve"> Lai novērstu minēto neatbilstību, noteikumu projekti paredz veikt attiecīgus grozījumus.</w:t>
            </w:r>
          </w:p>
          <w:p w14:paraId="7D5886F1" w14:textId="658D0B7A" w:rsidR="002D7B0B" w:rsidRPr="006F6D1E" w:rsidRDefault="00553C06" w:rsidP="00820521">
            <w:pPr>
              <w:shd w:val="clear" w:color="auto" w:fill="FFFFFF"/>
              <w:jc w:val="both"/>
            </w:pPr>
            <w:r w:rsidRPr="006F6D1E">
              <w:t xml:space="preserve">     </w:t>
            </w:r>
            <w:r w:rsidR="00124B8F" w:rsidRPr="006F6D1E">
              <w:t xml:space="preserve">Direktīvas 2005/36/EK 37. panta 3. punkts paredz, ka speciālo profesionālās kvalifikācijas atzīšanas sistēmu piemēro zobārsta kvalifikāciju apliecinošajiem dokumentiem, kuru iegūšanai mācības ir uzsāktas pirms 2016. gada 18. janvāra. Šādas tiesību normas jēga ir saistīta ar to, ka </w:t>
            </w:r>
            <w:r w:rsidR="00145D96" w:rsidRPr="006F6D1E">
              <w:t>2016. gada 18. janvārī stājās spēkā Eiropas Parlamenta un Padomes 2013. gada 20. novembra Direktīva 2013/55/ES, ar ko groza Direktīvu </w:t>
            </w:r>
            <w:hyperlink r:id="rId8" w:tgtFrame="_blank" w:history="1">
              <w:r w:rsidR="00145D96" w:rsidRPr="006F6D1E">
                <w:t>2005/36/EK</w:t>
              </w:r>
            </w:hyperlink>
            <w:r w:rsidR="00145D96" w:rsidRPr="006F6D1E">
              <w:t xml:space="preserve"> par profesionālo kvalifikāciju atzīšanu un Regulu (ES) Nr. 1024/2012 par administratīvo sadarbību, izmantojot Iekšējā </w:t>
            </w:r>
            <w:r w:rsidR="00145D96" w:rsidRPr="006F6D1E">
              <w:lastRenderedPageBreak/>
              <w:t>tirgus informācijas sistēmu (IMI regulu), ar kuru</w:t>
            </w:r>
            <w:r w:rsidR="005F3F6F" w:rsidRPr="006F6D1E">
              <w:t xml:space="preserve"> cita starpā</w:t>
            </w:r>
            <w:r w:rsidR="00145D96" w:rsidRPr="006F6D1E">
              <w:t xml:space="preserve"> tika mainītas minimālās zobārsta izglītības un kvalifikācijas prasības. </w:t>
            </w:r>
            <w:r w:rsidR="003A11FA" w:rsidRPr="006F6D1E">
              <w:t>Paredzot papildināt noteikumus Nr.125 ar 7.</w:t>
            </w:r>
            <w:r w:rsidR="003A11FA" w:rsidRPr="006F6D1E">
              <w:rPr>
                <w:vertAlign w:val="superscript"/>
              </w:rPr>
              <w:t>1</w:t>
            </w:r>
            <w:r w:rsidR="003A11FA" w:rsidRPr="006F6D1E">
              <w:t> punktu, g</w:t>
            </w:r>
            <w:r w:rsidR="00145D96" w:rsidRPr="006F6D1E">
              <w:t>rozījumi noteikumos Nr.</w:t>
            </w:r>
            <w:r w:rsidR="000908AB" w:rsidRPr="006F6D1E">
              <w:t> </w:t>
            </w:r>
            <w:r w:rsidR="00145D96" w:rsidRPr="006F6D1E">
              <w:t xml:space="preserve">125 pārņem šo tiesību normu. </w:t>
            </w:r>
          </w:p>
          <w:p w14:paraId="06511FEE" w14:textId="561C6FE0" w:rsidR="009237F5" w:rsidRPr="006F6D1E" w:rsidRDefault="00553C06" w:rsidP="00505983">
            <w:pPr>
              <w:shd w:val="clear" w:color="auto" w:fill="FFFFFF"/>
              <w:jc w:val="both"/>
            </w:pPr>
            <w:r w:rsidRPr="006F6D1E">
              <w:t xml:space="preserve">     </w:t>
            </w:r>
            <w:r w:rsidR="00775A9E" w:rsidRPr="006F6D1E">
              <w:t>Direktīvas 2005/36/EK 37.</w:t>
            </w:r>
            <w:r w:rsidR="000908AB" w:rsidRPr="006F6D1E">
              <w:t> </w:t>
            </w:r>
            <w:r w:rsidR="00775A9E" w:rsidRPr="006F6D1E">
              <w:t>panta 1. punktā ir noteikts, ka speciālo profesionālās kvalifikācijas atzīšanas sistēmu zobārsta kvalifikācijas atzīšanai piemēro tādiem Itālijā, Spānijā, Austrijā, Čehijā, Slovākijā un Rumānijā iegūtiem ārsta kvalifikāciju apliecinošiem dokumentiem, kuriem pievienots attiecīgās valsts apliecinājums, ka pretendents  piecu gadu laikā</w:t>
            </w:r>
            <w:r w:rsidR="00B57BC8" w:rsidRPr="006F6D1E">
              <w:t xml:space="preserve"> pirms minētā apliecinājuma izsniegšanas</w:t>
            </w:r>
            <w:r w:rsidR="00775A9E" w:rsidRPr="006F6D1E">
              <w:t xml:space="preserve"> vismaz trīs gadus pēc kārtas ir veicis profesionālo darbību zobārsta profesijā.</w:t>
            </w:r>
            <w:r w:rsidR="00ED0C44" w:rsidRPr="006F6D1E">
              <w:t xml:space="preserve"> Identiska prasība ir izvirzīta attiecībā uz bijušajā Čehoslovākijā izdotajiem kvalifikācijas dokumentiem</w:t>
            </w:r>
            <w:r w:rsidR="0060267E" w:rsidRPr="006F6D1E">
              <w:t>.</w:t>
            </w:r>
            <w:r w:rsidR="00C53A5C" w:rsidRPr="006F6D1E">
              <w:t xml:space="preserve"> </w:t>
            </w:r>
            <w:r w:rsidR="00775A9E" w:rsidRPr="006F6D1E">
              <w:t xml:space="preserve"> Noteikumu </w:t>
            </w:r>
            <w:r w:rsidR="000908AB" w:rsidRPr="006F6D1E">
              <w:t>N</w:t>
            </w:r>
            <w:r w:rsidR="00775A9E" w:rsidRPr="006F6D1E">
              <w:t xml:space="preserve">r. 125 13.1. </w:t>
            </w:r>
            <w:r w:rsidR="000908AB" w:rsidRPr="006F6D1E">
              <w:t xml:space="preserve">un </w:t>
            </w:r>
            <w:r w:rsidR="00775A9E" w:rsidRPr="006F6D1E">
              <w:t>15.2.</w:t>
            </w:r>
            <w:r w:rsidR="000908AB" w:rsidRPr="006F6D1E">
              <w:t> apakšpunktā</w:t>
            </w:r>
            <w:r w:rsidR="00775A9E" w:rsidRPr="006F6D1E">
              <w:t xml:space="preserve"> </w:t>
            </w:r>
            <w:r w:rsidR="000908AB" w:rsidRPr="006F6D1E">
              <w:t xml:space="preserve">un </w:t>
            </w:r>
            <w:r w:rsidR="00775A9E" w:rsidRPr="006F6D1E">
              <w:t>16.</w:t>
            </w:r>
            <w:r w:rsidR="000908AB" w:rsidRPr="006F6D1E">
              <w:t> </w:t>
            </w:r>
            <w:r w:rsidR="00775A9E" w:rsidRPr="006F6D1E">
              <w:t xml:space="preserve">punktā ir izvirzīta prasība </w:t>
            </w:r>
            <w:r w:rsidR="00CE691A" w:rsidRPr="006F6D1E">
              <w:t>pēdējo piecu gadu laikā vismaz trīs gadus pēc kārtas veikt profesionālo darbību mutes dobuma ķirurga nevis zobārsta profesijā, kas neatbilst direktīvas 2005/36/EK 37.</w:t>
            </w:r>
            <w:r w:rsidR="000908AB" w:rsidRPr="006F6D1E">
              <w:t> </w:t>
            </w:r>
            <w:r w:rsidR="00CE691A" w:rsidRPr="006F6D1E">
              <w:t>panta 1.</w:t>
            </w:r>
            <w:r w:rsidR="000908AB" w:rsidRPr="006F6D1E">
              <w:t> </w:t>
            </w:r>
            <w:r w:rsidR="00CE691A" w:rsidRPr="006F6D1E">
              <w:t xml:space="preserve">punktā noteiktajam. </w:t>
            </w:r>
            <w:r w:rsidR="009237F5" w:rsidRPr="006F6D1E">
              <w:t xml:space="preserve">Noteikumu Nr. 125 13., 16., 17. </w:t>
            </w:r>
            <w:r w:rsidR="000908AB" w:rsidRPr="006F6D1E">
              <w:t xml:space="preserve">un </w:t>
            </w:r>
            <w:r w:rsidR="009237F5" w:rsidRPr="006F6D1E">
              <w:t>18. punkts tikai daļēji atbilst direktīvā 2005/36/EK noteiktajām prasībām, grozījumi noteikumos Nr. 125 paredz šos punktus svītrot, bet direktīvas 2005/36/EK 37. panta 1. punktā uz Čehiju, Slovākiju, Spāniju, Austriju, Rumāniju attiecināmās prasības iekļaut noteikum</w:t>
            </w:r>
            <w:r w:rsidR="00B57BC8" w:rsidRPr="006F6D1E">
              <w:t>os</w:t>
            </w:r>
            <w:r w:rsidR="009237F5" w:rsidRPr="006F6D1E">
              <w:t xml:space="preserve"> Nr.</w:t>
            </w:r>
            <w:r w:rsidR="000908AB" w:rsidRPr="006F6D1E">
              <w:t> </w:t>
            </w:r>
            <w:r w:rsidR="009237F5" w:rsidRPr="006F6D1E">
              <w:t>125</w:t>
            </w:r>
            <w:r w:rsidR="008F2F1B" w:rsidRPr="006F6D1E">
              <w:t>, tos papildinot ar</w:t>
            </w:r>
            <w:r w:rsidR="00B57BC8" w:rsidRPr="006F6D1E">
              <w:t xml:space="preserve"> </w:t>
            </w:r>
            <w:r w:rsidR="009237F5" w:rsidRPr="006F6D1E">
              <w:t>19.</w:t>
            </w:r>
            <w:r w:rsidR="000908AB" w:rsidRPr="006F6D1E">
              <w:t> </w:t>
            </w:r>
            <w:r w:rsidR="009237F5" w:rsidRPr="006F6D1E">
              <w:t>punkt</w:t>
            </w:r>
            <w:r w:rsidR="00B57BC8" w:rsidRPr="006F6D1E">
              <w:t>u</w:t>
            </w:r>
            <w:r w:rsidR="008F2F1B" w:rsidRPr="006F6D1E">
              <w:t xml:space="preserve">. </w:t>
            </w:r>
          </w:p>
          <w:p w14:paraId="4DBE906B" w14:textId="0D037B01" w:rsidR="00D51BAC" w:rsidRPr="006F6D1E" w:rsidRDefault="00553C06" w:rsidP="00D51BAC">
            <w:pPr>
              <w:shd w:val="clear" w:color="auto" w:fill="FFFFFF"/>
              <w:jc w:val="both"/>
            </w:pPr>
            <w:r w:rsidRPr="006F6D1E">
              <w:t xml:space="preserve">     </w:t>
            </w:r>
            <w:r w:rsidR="00402E72" w:rsidRPr="006F6D1E">
              <w:t>Direktīvas 2005/36/EK 37.</w:t>
            </w:r>
            <w:r w:rsidR="000908AB" w:rsidRPr="006F6D1E">
              <w:t> </w:t>
            </w:r>
            <w:r w:rsidR="00402E72" w:rsidRPr="006F6D1E">
              <w:t>panta 2. punktā ir noteikts, ka speciālo profesionālās kvalifikācijas atzīšanas sistēmu zobārsta kvalifi</w:t>
            </w:r>
            <w:r w:rsidR="00D51BAC" w:rsidRPr="006F6D1E">
              <w:t>kācijas atzīšanai piemēro</w:t>
            </w:r>
            <w:r w:rsidR="00402E72" w:rsidRPr="006F6D1E">
              <w:t xml:space="preserve"> Itālijā iegūtiem</w:t>
            </w:r>
            <w:r w:rsidR="00D51BAC" w:rsidRPr="006F6D1E">
              <w:t xml:space="preserve"> ārsta kvalifikāciju apliecinošiem dokumentiem, ja mācības ir uzsāktas laika posmā no 1980. gada 28.</w:t>
            </w:r>
            <w:r w:rsidR="000908AB" w:rsidRPr="006F6D1E">
              <w:t> </w:t>
            </w:r>
            <w:r w:rsidR="00D51BAC" w:rsidRPr="006F6D1E">
              <w:t>janvāra līdz 1984. </w:t>
            </w:r>
            <w:r w:rsidR="00B252D0" w:rsidRPr="006F6D1E">
              <w:t>gada 31. </w:t>
            </w:r>
            <w:r w:rsidR="00D51BAC" w:rsidRPr="006F6D1E">
              <w:t>decembrim un šiem ārsta kvalifikāciju apliecinošajiem dokumentiem ir pievienots Itālijas kompetentās institūcijas izsniegts dokuments, kuram jāapliecina direktīvas 2005/36/EK 37. panta 2.</w:t>
            </w:r>
            <w:r w:rsidR="000908AB" w:rsidRPr="006F6D1E">
              <w:t> </w:t>
            </w:r>
            <w:r w:rsidR="00D51BAC" w:rsidRPr="006F6D1E">
              <w:t>punkta a), b), un c) apakšpunkt</w:t>
            </w:r>
            <w:r w:rsidR="000908AB" w:rsidRPr="006F6D1E">
              <w:t>ā</w:t>
            </w:r>
            <w:r w:rsidR="00D51BAC" w:rsidRPr="006F6D1E">
              <w:t xml:space="preserve"> noteikto prasību izpilde. Noteikumu Nr.</w:t>
            </w:r>
            <w:r w:rsidR="000908AB" w:rsidRPr="006F6D1E">
              <w:t> </w:t>
            </w:r>
            <w:r w:rsidR="00D51BAC" w:rsidRPr="006F6D1E">
              <w:t>125 15. punktā izvirzītas prasības zobārsta, nevis ārsta kvalifikācijas dokumentiem, tādēļ šīs tiesību normas neatbilst direktīvas 2005/36/EK prasībām un grozījumi noteikumos Nr.</w:t>
            </w:r>
            <w:r w:rsidR="000908AB" w:rsidRPr="006F6D1E">
              <w:t> </w:t>
            </w:r>
            <w:r w:rsidR="00D51BAC" w:rsidRPr="006F6D1E">
              <w:t>125 paredz tās mainīt</w:t>
            </w:r>
            <w:r w:rsidR="006859A7" w:rsidRPr="006F6D1E">
              <w:t>, noteikumu Nr. 125 15. punktu izsakot jaunā redakcijā</w:t>
            </w:r>
            <w:r w:rsidR="00D51BAC" w:rsidRPr="006F6D1E">
              <w:t>.</w:t>
            </w:r>
          </w:p>
          <w:p w14:paraId="0CA2FF92" w14:textId="6EFE4546" w:rsidR="00124B8F" w:rsidRPr="006F6D1E" w:rsidRDefault="00553C06" w:rsidP="00820521">
            <w:pPr>
              <w:shd w:val="clear" w:color="auto" w:fill="FFFFFF"/>
              <w:jc w:val="both"/>
            </w:pPr>
            <w:r w:rsidRPr="006F6D1E">
              <w:t xml:space="preserve">     </w:t>
            </w:r>
            <w:r w:rsidR="00770F3A" w:rsidRPr="006F6D1E">
              <w:t>Noteikumu Nr.</w:t>
            </w:r>
            <w:r w:rsidR="000908AB" w:rsidRPr="006F6D1E">
              <w:t> </w:t>
            </w:r>
            <w:r w:rsidR="00770F3A" w:rsidRPr="006F6D1E">
              <w:t>125 6. punktā noteiktais ir neatbilstošs direktīvā 2005/36/EK noteiktajam</w:t>
            </w:r>
            <w:r w:rsidR="00A85954" w:rsidRPr="006F6D1E">
              <w:t xml:space="preserve"> attiecībā uz speciālās profesionālās kvalifikācijas atzīšanas sistēmas piemērošanu,</w:t>
            </w:r>
            <w:r w:rsidR="00770F3A" w:rsidRPr="006F6D1E">
              <w:t xml:space="preserve"> un praksē nav īstenojams, jo neparedz </w:t>
            </w:r>
            <w:r w:rsidR="00A85954" w:rsidRPr="006F6D1E">
              <w:t>nekādu veidu, kā profesionālās kvalifikācijas atzīšanas procesā var pārliecināties par pretendenta kvalifikāciju apliecinošo dokumentu atbilstību izglītības minimālajām prasībām.</w:t>
            </w:r>
            <w:r w:rsidR="00CF3872" w:rsidRPr="006F6D1E">
              <w:t xml:space="preserve"> </w:t>
            </w:r>
            <w:r w:rsidR="00D30614" w:rsidRPr="006F6D1E">
              <w:t>Tādēļ g</w:t>
            </w:r>
            <w:r w:rsidR="00CF3872" w:rsidRPr="006F6D1E">
              <w:t>rozījumi noteikumos Nr.</w:t>
            </w:r>
            <w:r w:rsidR="000908AB" w:rsidRPr="006F6D1E">
              <w:t> </w:t>
            </w:r>
            <w:r w:rsidR="00CF3872" w:rsidRPr="006F6D1E">
              <w:t>125 paredz svītrot noteikumu Nr. 125 6. punktu.</w:t>
            </w:r>
            <w:r w:rsidR="00A85954" w:rsidRPr="006F6D1E">
              <w:t xml:space="preserve"> Attiecīgos gadījumos ir piemērojama vispārējā profesionālās kv</w:t>
            </w:r>
            <w:r w:rsidR="00E62ABA" w:rsidRPr="006F6D1E">
              <w:t xml:space="preserve">alifikācijas atzīšanas sistēma. Ar identisku pamatojumu attiecībā uz farmaceita kvalifikāciju </w:t>
            </w:r>
            <w:r w:rsidR="00C53A5C" w:rsidRPr="006F6D1E">
              <w:t xml:space="preserve"> </w:t>
            </w:r>
            <w:r w:rsidR="00E62ABA" w:rsidRPr="006F6D1E">
              <w:t xml:space="preserve">grozījumi noteikumos Nr. 124 paredz svītrot noteikumu </w:t>
            </w:r>
            <w:r w:rsidR="000908AB" w:rsidRPr="006F6D1E">
              <w:t>N</w:t>
            </w:r>
            <w:r w:rsidR="00E62ABA" w:rsidRPr="006F6D1E">
              <w:t>r. 124 4. punktu</w:t>
            </w:r>
            <w:r w:rsidR="003E40F9" w:rsidRPr="006F6D1E">
              <w:t xml:space="preserve">, attiecībā uz ārsta kvalifikāciju grozījumi noteikumos Nr. 207 paredz svītrot noteikumu </w:t>
            </w:r>
            <w:r w:rsidR="000908AB" w:rsidRPr="006F6D1E">
              <w:t>N</w:t>
            </w:r>
            <w:r w:rsidR="003E40F9" w:rsidRPr="006F6D1E">
              <w:t>r. 207 4.</w:t>
            </w:r>
            <w:r w:rsidR="00624073" w:rsidRPr="006F6D1E">
              <w:t xml:space="preserve"> un 10.</w:t>
            </w:r>
            <w:r w:rsidR="003E40F9" w:rsidRPr="006F6D1E">
              <w:t> punktu</w:t>
            </w:r>
            <w:r w:rsidR="008D3B43" w:rsidRPr="006F6D1E">
              <w:t xml:space="preserve">, attiecībā uz veterinārārsta kvalifikāciju grozījumi noteikumos Nr. </w:t>
            </w:r>
            <w:r w:rsidR="00351A96" w:rsidRPr="006F6D1E">
              <w:t xml:space="preserve">320 paredz svītrot 4. punktu, attiecībā uz māsas kvalifikāciju grozījumi noteikumos </w:t>
            </w:r>
            <w:r w:rsidR="000908AB" w:rsidRPr="006F6D1E">
              <w:t>N</w:t>
            </w:r>
            <w:r w:rsidR="00351A96" w:rsidRPr="006F6D1E">
              <w:t xml:space="preserve">r. 351 paredz svītrot noteikumu Nr. 351 4. punktu. </w:t>
            </w:r>
          </w:p>
          <w:p w14:paraId="1DD3B1C9" w14:textId="2E0E4922" w:rsidR="00522DC9" w:rsidRPr="006F6D1E" w:rsidRDefault="00553C06" w:rsidP="00820521">
            <w:pPr>
              <w:shd w:val="clear" w:color="auto" w:fill="FFFFFF"/>
              <w:jc w:val="both"/>
            </w:pPr>
            <w:r w:rsidRPr="006F6D1E">
              <w:lastRenderedPageBreak/>
              <w:t xml:space="preserve">     </w:t>
            </w:r>
            <w:r w:rsidR="00522DC9" w:rsidRPr="006F6D1E">
              <w:t>Noteikumu Nr.</w:t>
            </w:r>
            <w:r w:rsidR="000908AB" w:rsidRPr="006F6D1E">
              <w:t> </w:t>
            </w:r>
            <w:r w:rsidR="00522DC9" w:rsidRPr="006F6D1E">
              <w:t>207. 11.</w:t>
            </w:r>
            <w:r w:rsidR="000007E3" w:rsidRPr="006F6D1E">
              <w:t xml:space="preserve"> un 12. </w:t>
            </w:r>
            <w:r w:rsidR="00522DC9" w:rsidRPr="006F6D1E">
              <w:t>punkts neatbilst direktīvā 2005/36/EK noteiktajām prasībām, jo profesionālās kvalifikācijas atzīšanai nav noteikta prasība apliecināt divas reizes ilgāku profesionāl</w:t>
            </w:r>
            <w:r w:rsidR="00D158E8" w:rsidRPr="006F6D1E">
              <w:t>o</w:t>
            </w:r>
            <w:r w:rsidR="00522DC9" w:rsidRPr="006F6D1E">
              <w:t xml:space="preserve"> pieredz</w:t>
            </w:r>
            <w:r w:rsidR="00D158E8" w:rsidRPr="006F6D1E">
              <w:t>i</w:t>
            </w:r>
            <w:r w:rsidR="00522DC9" w:rsidRPr="006F6D1E">
              <w:t xml:space="preserve"> ārsta profesijā attiecīgajā valstī nekā trūksto</w:t>
            </w:r>
            <w:r w:rsidR="00522DC9" w:rsidRPr="006F6D1E">
              <w:softHyphen/>
              <w:t>šais izglītības ilgums ārsta kvalifikācijas iegūšanai, salīdzinot ar Latvijas Republikas normatīvajos aktos noteiktajām izglītības programmu minimālajām prasī</w:t>
            </w:r>
            <w:r w:rsidR="00522DC9" w:rsidRPr="006F6D1E">
              <w:softHyphen/>
              <w:t>bām ārsta kvalifikācijas iegūšanai. Kā nepamatot</w:t>
            </w:r>
            <w:r w:rsidR="00D158E8" w:rsidRPr="006F6D1E">
              <w:t>u</w:t>
            </w:r>
            <w:r w:rsidR="00522DC9" w:rsidRPr="006F6D1E">
              <w:t xml:space="preserve"> ierobežojum</w:t>
            </w:r>
            <w:r w:rsidR="00D158E8" w:rsidRPr="006F6D1E">
              <w:t>u</w:t>
            </w:r>
            <w:r w:rsidR="00522DC9" w:rsidRPr="006F6D1E">
              <w:t xml:space="preserve"> šād</w:t>
            </w:r>
            <w:r w:rsidR="00D158E8" w:rsidRPr="006F6D1E">
              <w:t>u</w:t>
            </w:r>
            <w:r w:rsidR="00522DC9" w:rsidRPr="006F6D1E">
              <w:t xml:space="preserve"> prasīb</w:t>
            </w:r>
            <w:r w:rsidR="00D158E8" w:rsidRPr="006F6D1E">
              <w:t>u paredzēts</w:t>
            </w:r>
            <w:r w:rsidR="00522DC9" w:rsidRPr="006F6D1E">
              <w:t xml:space="preserve"> </w:t>
            </w:r>
            <w:r w:rsidR="00D158E8" w:rsidRPr="006F6D1E">
              <w:t>svītrot</w:t>
            </w:r>
            <w:r w:rsidR="00522DC9" w:rsidRPr="006F6D1E">
              <w:t xml:space="preserve"> no noteikumiem Nr. 207.</w:t>
            </w:r>
          </w:p>
          <w:p w14:paraId="127DB22F" w14:textId="751865E1" w:rsidR="00431188" w:rsidRPr="006F6D1E" w:rsidRDefault="00553C06" w:rsidP="00820521">
            <w:pPr>
              <w:shd w:val="clear" w:color="auto" w:fill="FFFFFF"/>
              <w:jc w:val="both"/>
            </w:pPr>
            <w:r w:rsidRPr="006F6D1E">
              <w:t xml:space="preserve">     </w:t>
            </w:r>
            <w:r w:rsidR="00431188" w:rsidRPr="006F6D1E">
              <w:t>Noteikumu Nr.</w:t>
            </w:r>
            <w:r w:rsidR="000908AB" w:rsidRPr="006F6D1E">
              <w:t> </w:t>
            </w:r>
            <w:r w:rsidR="00431188" w:rsidRPr="006F6D1E">
              <w:t xml:space="preserve">207 14.2. apakšpunkts nosaka, ka profesionālās kvalifikācijas atzīšanai Vācijas Demokrātiskās Republikas izsniegtajiem ārsta </w:t>
            </w:r>
            <w:proofErr w:type="spellStart"/>
            <w:r w:rsidR="00431188" w:rsidRPr="006F6D1E">
              <w:t>apakšspecialitātes</w:t>
            </w:r>
            <w:proofErr w:type="spellEnd"/>
            <w:r w:rsidR="00431188" w:rsidRPr="006F6D1E">
              <w:t xml:space="preserve"> kvalifikācijas dokumentiem nepieciešams pievienot Vācijas Federatīvās Republikas kompetentās institūcijas rakstisku apliecinājumu, ka personai ir divas reizes ilgāka profesionālā pieredze ārsta profesijā nekā trūkstošais izglītības ilgums ārsta kvalifikācijas iegūšanai. Šāda prasība neatbilst direktīvas 2005/36/EK 23. panta 2. punkta b) apakšpunktā izvirzītajai prasībai </w:t>
            </w:r>
            <w:r w:rsidR="00186300" w:rsidRPr="006F6D1E">
              <w:t>apliecināt vismaz trīs gadus ilgu nepārtrauktu praktiskā darba pieredzi pēdējo piecu gadu laikā. Grozījumi noteikumos Nr.</w:t>
            </w:r>
            <w:r w:rsidR="000908AB" w:rsidRPr="006F6D1E">
              <w:t> </w:t>
            </w:r>
            <w:r w:rsidR="00186300" w:rsidRPr="006F6D1E">
              <w:t>207 paredz novērst šo neatbilstību.</w:t>
            </w:r>
          </w:p>
          <w:p w14:paraId="0FBC6839" w14:textId="44096259" w:rsidR="0072529D" w:rsidRPr="006F6D1E" w:rsidRDefault="00553C06" w:rsidP="00820521">
            <w:pPr>
              <w:shd w:val="clear" w:color="auto" w:fill="FFFFFF"/>
              <w:jc w:val="both"/>
            </w:pPr>
            <w:r w:rsidRPr="006F6D1E">
              <w:t xml:space="preserve">     </w:t>
            </w:r>
            <w:r w:rsidR="00415FCD" w:rsidRPr="006F6D1E">
              <w:t xml:space="preserve">Direktīvas 2005/36/EK </w:t>
            </w:r>
            <w:r w:rsidR="00F6090A" w:rsidRPr="006F6D1E">
              <w:t xml:space="preserve">30. pants nosaka īpašas “iegūtās tiesības” </w:t>
            </w:r>
            <w:r w:rsidR="00374FF7" w:rsidRPr="006F6D1E">
              <w:t xml:space="preserve">vispārējās prakses ārstiem (Latvijā atbilstoši lietotais ārsta </w:t>
            </w:r>
            <w:proofErr w:type="spellStart"/>
            <w:r w:rsidR="00374FF7" w:rsidRPr="006F6D1E">
              <w:t>pamatspecialitātes</w:t>
            </w:r>
            <w:proofErr w:type="spellEnd"/>
            <w:r w:rsidR="00374FF7" w:rsidRPr="006F6D1E">
              <w:t xml:space="preserve"> nosaukums – </w:t>
            </w:r>
            <w:r w:rsidR="00F6090A" w:rsidRPr="006F6D1E">
              <w:t>ģimenes</w:t>
            </w:r>
            <w:r w:rsidR="00374FF7" w:rsidRPr="006F6D1E">
              <w:t xml:space="preserve"> (vispārējās prakses)</w:t>
            </w:r>
            <w:r w:rsidR="00F6090A" w:rsidRPr="006F6D1E">
              <w:t xml:space="preserve"> ārst</w:t>
            </w:r>
            <w:r w:rsidR="00374FF7" w:rsidRPr="006F6D1E">
              <w:t>s</w:t>
            </w:r>
            <w:r w:rsidR="00FE2CD5" w:rsidRPr="006F6D1E">
              <w:t>),</w:t>
            </w:r>
            <w:r w:rsidR="00F6090A" w:rsidRPr="006F6D1E">
              <w:t xml:space="preserve"> t.i.</w:t>
            </w:r>
            <w:r w:rsidR="003E7785" w:rsidRPr="006F6D1E">
              <w:t>,</w:t>
            </w:r>
            <w:r w:rsidR="00F6090A" w:rsidRPr="006F6D1E">
              <w:t xml:space="preserve"> Eiropas Savienības dalībvalstīs strādāt par ģimenes ārstu ir tiesības tiem ārstiem, kuri</w:t>
            </w:r>
            <w:r w:rsidR="006E6E12" w:rsidRPr="006F6D1E">
              <w:t xml:space="preserve">em šādas tiesības bija pirms </w:t>
            </w:r>
            <w:r w:rsidR="00432DB5" w:rsidRPr="006F6D1E">
              <w:t>direkt</w:t>
            </w:r>
            <w:r w:rsidR="006E6E12" w:rsidRPr="006F6D1E">
              <w:t>īvas 2005/36/EK 5.1.</w:t>
            </w:r>
            <w:r w:rsidR="00432DB5" w:rsidRPr="006F6D1E">
              <w:t>4. pielikumā noteikt</w:t>
            </w:r>
            <w:r w:rsidR="00AA61B5" w:rsidRPr="006F6D1E">
              <w:t>ā datuma, citām dalībvalstīm šīs kvalifikācijas ir jāatzīst automātiski. Lai pārņemtu šīs direktīvas 2005/36/EK prasības, grozījumi noteikumos Nr. 207 paredz noteikumus Nr. 207 papildināt ar 16.</w:t>
            </w:r>
            <w:r w:rsidR="00AA61B5" w:rsidRPr="006F6D1E">
              <w:rPr>
                <w:vertAlign w:val="superscript"/>
              </w:rPr>
              <w:t>1</w:t>
            </w:r>
            <w:r w:rsidR="00AA61B5" w:rsidRPr="006F6D1E">
              <w:t xml:space="preserve"> punktu.</w:t>
            </w:r>
          </w:p>
          <w:p w14:paraId="02F7BB84" w14:textId="370EC2AE" w:rsidR="00804B70" w:rsidRPr="006F6D1E" w:rsidRDefault="00553C06" w:rsidP="00820521">
            <w:pPr>
              <w:shd w:val="clear" w:color="auto" w:fill="FFFFFF"/>
              <w:jc w:val="both"/>
            </w:pPr>
            <w:r w:rsidRPr="006F6D1E">
              <w:t xml:space="preserve">     </w:t>
            </w:r>
            <w:r w:rsidR="00804B70" w:rsidRPr="006F6D1E">
              <w:t xml:space="preserve">Direktīvas 2005/36/EK 41. panta 1. punkta b) un c) apakšpunkti nosaka, ka speciālo profesionālās kvalifikācijas atzīšanas sistēmu piemēro vecmātes kvalifikāciju apliecinošajiem dokumentiem, ja tie apliecina mācības vecmātes kvalifikācijas iegūšanai, kuru ilgums gados un stundās atbilst šajos apakšpunktos noteiktajiem rādītājiem, kas ir kumulatīvi. Noteikumu Nr.149. 2.4.3. un 2.4.4. apakšpunktos attiecīgie rādītāji ir izteikti kā </w:t>
            </w:r>
            <w:r w:rsidR="00C866B4" w:rsidRPr="006F6D1E">
              <w:t>izvēles, to atdalot ar saikli “vai”, kas neatbilst direktīvas</w:t>
            </w:r>
            <w:r w:rsidR="0058735D" w:rsidRPr="006F6D1E">
              <w:t xml:space="preserve"> 2005/36/EK</w:t>
            </w:r>
            <w:r w:rsidR="00C866B4" w:rsidRPr="006F6D1E">
              <w:t xml:space="preserve"> prasībām</w:t>
            </w:r>
            <w:r w:rsidR="00985F34" w:rsidRPr="006F6D1E">
              <w:rPr>
                <w:rStyle w:val="FootnoteReference"/>
              </w:rPr>
              <w:footnoteReference w:id="3"/>
            </w:r>
            <w:r w:rsidR="00C866B4" w:rsidRPr="006F6D1E">
              <w:t xml:space="preserve">. Grozījumi noteikumos Nr. 149 paredz novērst šo neatbilstību un nosaka, ka speciālo profesionālās kvalifikācijas atzīšanas sistēmu piemēro vecmātes kvalifikāciju apliecinošajiem </w:t>
            </w:r>
            <w:r w:rsidR="00C866B4" w:rsidRPr="006F6D1E">
              <w:lastRenderedPageBreak/>
              <w:t>dokumentiem, ja tie apliecina mācības vecmātes kvalifikācijas iegūšanai, kuru ilgums ne mazāk kā divus gadus ilga pilna laika vecmātes izglītības programma, kuras apjoms ir vismaz 3600 stundu vai ne mazāk kā 18 mēnešus ilga pilna laika vecmātes izglītības programma, kuras apjoms vismaz 3000 stundu.</w:t>
            </w:r>
          </w:p>
          <w:p w14:paraId="42C90E2D" w14:textId="4297EFB9" w:rsidR="00CF6BA4" w:rsidRPr="006F6D1E" w:rsidRDefault="00553C06" w:rsidP="00820521">
            <w:pPr>
              <w:shd w:val="clear" w:color="auto" w:fill="FFFFFF"/>
              <w:jc w:val="both"/>
            </w:pPr>
            <w:r w:rsidRPr="006F6D1E">
              <w:t xml:space="preserve">     </w:t>
            </w:r>
            <w:r w:rsidR="00CF6BA4" w:rsidRPr="006F6D1E">
              <w:t xml:space="preserve">Saskaņā ar </w:t>
            </w:r>
            <w:r w:rsidR="003E7785" w:rsidRPr="006F6D1E">
              <w:t>D</w:t>
            </w:r>
            <w:r w:rsidR="00CF6BA4" w:rsidRPr="006F6D1E">
              <w:t xml:space="preserve">eleģēto lēmumu ir mainīta institūcija, kas izdod zobārsta kvalifikāciju apliecinošo dokumentu Dānijā, Polija ir mainījusi prasības kvalifikāciju apliecinošā dokumentam pievienotajam sertifikātam, bet Slovākijā ir veikti grozījumi attiecībā uz kvalifikāciju apliecinošo dokumentu </w:t>
            </w:r>
            <w:proofErr w:type="spellStart"/>
            <w:r w:rsidR="00CF6BA4" w:rsidRPr="006F6D1E">
              <w:t>izdevējinstitūcijām</w:t>
            </w:r>
            <w:proofErr w:type="spellEnd"/>
            <w:r w:rsidR="00CF6BA4" w:rsidRPr="006F6D1E">
              <w:t xml:space="preserve"> </w:t>
            </w:r>
            <w:proofErr w:type="spellStart"/>
            <w:r w:rsidR="004D6E6B" w:rsidRPr="006F6D1E">
              <w:t>ortodontijā</w:t>
            </w:r>
            <w:proofErr w:type="spellEnd"/>
            <w:r w:rsidR="004D6E6B" w:rsidRPr="006F6D1E">
              <w:t xml:space="preserve"> un mutes dobuma ķirurģijā. Grozījumi noteikumos </w:t>
            </w:r>
            <w:r w:rsidR="003E7785" w:rsidRPr="006F6D1E">
              <w:t>N</w:t>
            </w:r>
            <w:r w:rsidR="004D6E6B" w:rsidRPr="006F6D1E">
              <w:t>r. 125</w:t>
            </w:r>
            <w:r w:rsidR="00093FAA" w:rsidRPr="006F6D1E">
              <w:t xml:space="preserve"> (12., 13., 14. un 15. punkts)</w:t>
            </w:r>
            <w:r w:rsidR="004D6E6B" w:rsidRPr="006F6D1E">
              <w:t xml:space="preserve"> paredz veikt atbilstošas izmaiņas.</w:t>
            </w:r>
            <w:r w:rsidR="009A6152" w:rsidRPr="006F6D1E">
              <w:t xml:space="preserve"> </w:t>
            </w:r>
          </w:p>
          <w:p w14:paraId="1596B4DC" w14:textId="1B06685B" w:rsidR="009A6152" w:rsidRPr="006F6D1E" w:rsidRDefault="00553C06" w:rsidP="00820521">
            <w:pPr>
              <w:shd w:val="clear" w:color="auto" w:fill="FFFFFF"/>
              <w:jc w:val="both"/>
              <w:rPr>
                <w:iCs/>
              </w:rPr>
            </w:pPr>
            <w:r w:rsidRPr="006F6D1E">
              <w:t xml:space="preserve">     </w:t>
            </w:r>
            <w:r w:rsidR="009A6152" w:rsidRPr="006F6D1E">
              <w:t>Deleģētais lēmums</w:t>
            </w:r>
            <w:r w:rsidR="00D635D1" w:rsidRPr="006F6D1E">
              <w:t xml:space="preserve"> nosaka </w:t>
            </w:r>
            <w:r w:rsidR="00D90BEC" w:rsidRPr="006F6D1E">
              <w:t>izmaiņas Lietuvas izdotā vecmātes kvalifikāciju apliecinošā dokumenta nosaukumā no “</w:t>
            </w:r>
            <w:proofErr w:type="spellStart"/>
            <w:r w:rsidR="00D90BEC" w:rsidRPr="006F6D1E">
              <w:rPr>
                <w:iCs/>
              </w:rPr>
              <w:t>Bakalauro</w:t>
            </w:r>
            <w:proofErr w:type="spellEnd"/>
            <w:r w:rsidR="00D90BEC" w:rsidRPr="006F6D1E">
              <w:rPr>
                <w:iCs/>
              </w:rPr>
              <w:t xml:space="preserve"> </w:t>
            </w:r>
            <w:proofErr w:type="spellStart"/>
            <w:r w:rsidR="00D90BEC" w:rsidRPr="006F6D1E">
              <w:rPr>
                <w:iCs/>
              </w:rPr>
              <w:t>diplomas</w:t>
            </w:r>
            <w:proofErr w:type="spellEnd"/>
            <w:r w:rsidR="00D90BEC" w:rsidRPr="006F6D1E">
              <w:rPr>
                <w:iCs/>
              </w:rPr>
              <w:t xml:space="preserve"> (</w:t>
            </w:r>
            <w:proofErr w:type="spellStart"/>
            <w:r w:rsidR="00D90BEC" w:rsidRPr="006F6D1E">
              <w:rPr>
                <w:iCs/>
              </w:rPr>
              <w:t>slaugos</w:t>
            </w:r>
            <w:proofErr w:type="spellEnd"/>
            <w:r w:rsidR="00D90BEC" w:rsidRPr="006F6D1E">
              <w:rPr>
                <w:iCs/>
              </w:rPr>
              <w:t xml:space="preserve"> </w:t>
            </w:r>
            <w:proofErr w:type="spellStart"/>
            <w:r w:rsidR="00D90BEC" w:rsidRPr="006F6D1E">
              <w:rPr>
                <w:iCs/>
              </w:rPr>
              <w:t>bakalauro</w:t>
            </w:r>
            <w:proofErr w:type="spellEnd"/>
            <w:r w:rsidR="00D90BEC" w:rsidRPr="006F6D1E">
              <w:rPr>
                <w:iCs/>
              </w:rPr>
              <w:t xml:space="preserve"> </w:t>
            </w:r>
            <w:proofErr w:type="spellStart"/>
            <w:r w:rsidR="00D90BEC" w:rsidRPr="006F6D1E">
              <w:rPr>
                <w:iCs/>
              </w:rPr>
              <w:t>kvalifikacinis</w:t>
            </w:r>
            <w:proofErr w:type="spellEnd"/>
            <w:r w:rsidR="00D90BEC" w:rsidRPr="006F6D1E">
              <w:rPr>
                <w:iCs/>
              </w:rPr>
              <w:t xml:space="preserve"> </w:t>
            </w:r>
            <w:proofErr w:type="spellStart"/>
            <w:r w:rsidR="00D90BEC" w:rsidRPr="006F6D1E">
              <w:rPr>
                <w:iCs/>
              </w:rPr>
              <w:t>laipsnis</w:t>
            </w:r>
            <w:proofErr w:type="spellEnd"/>
            <w:r w:rsidR="00D90BEC" w:rsidRPr="006F6D1E">
              <w:rPr>
                <w:iCs/>
              </w:rPr>
              <w:t xml:space="preserve"> ir </w:t>
            </w:r>
            <w:proofErr w:type="spellStart"/>
            <w:r w:rsidR="00D90BEC" w:rsidRPr="006F6D1E">
              <w:rPr>
                <w:iCs/>
              </w:rPr>
              <w:t>bendrosios</w:t>
            </w:r>
            <w:proofErr w:type="spellEnd"/>
            <w:r w:rsidR="00D90BEC" w:rsidRPr="006F6D1E">
              <w:rPr>
                <w:iCs/>
              </w:rPr>
              <w:t xml:space="preserve"> </w:t>
            </w:r>
            <w:proofErr w:type="spellStart"/>
            <w:r w:rsidR="00D90BEC" w:rsidRPr="006F6D1E">
              <w:rPr>
                <w:iCs/>
              </w:rPr>
              <w:t>praktikos</w:t>
            </w:r>
            <w:proofErr w:type="spellEnd"/>
            <w:r w:rsidR="00D90BEC" w:rsidRPr="006F6D1E">
              <w:rPr>
                <w:iCs/>
              </w:rPr>
              <w:t xml:space="preserve"> </w:t>
            </w:r>
            <w:proofErr w:type="spellStart"/>
            <w:r w:rsidR="00D90BEC" w:rsidRPr="006F6D1E">
              <w:rPr>
                <w:iCs/>
              </w:rPr>
              <w:t>augytojo</w:t>
            </w:r>
            <w:proofErr w:type="spellEnd"/>
            <w:r w:rsidR="00D90BEC" w:rsidRPr="006F6D1E">
              <w:rPr>
                <w:iCs/>
              </w:rPr>
              <w:t xml:space="preserve"> </w:t>
            </w:r>
            <w:proofErr w:type="spellStart"/>
            <w:r w:rsidR="00D90BEC" w:rsidRPr="006F6D1E">
              <w:rPr>
                <w:iCs/>
              </w:rPr>
              <w:t>profesinė</w:t>
            </w:r>
            <w:proofErr w:type="spellEnd"/>
            <w:r w:rsidR="00D90BEC" w:rsidRPr="006F6D1E">
              <w:rPr>
                <w:iCs/>
              </w:rPr>
              <w:t xml:space="preserve"> </w:t>
            </w:r>
            <w:proofErr w:type="spellStart"/>
            <w:r w:rsidR="00D90BEC" w:rsidRPr="006F6D1E">
              <w:rPr>
                <w:iCs/>
              </w:rPr>
              <w:t>kvalifikacija</w:t>
            </w:r>
            <w:proofErr w:type="spellEnd"/>
            <w:r w:rsidR="00D90BEC" w:rsidRPr="006F6D1E">
              <w:rPr>
                <w:iCs/>
              </w:rPr>
              <w:t>)” uz “</w:t>
            </w:r>
            <w:proofErr w:type="spellStart"/>
            <w:r w:rsidR="00D90BEC" w:rsidRPr="006F6D1E">
              <w:rPr>
                <w:iCs/>
              </w:rPr>
              <w:t>Bakalauro</w:t>
            </w:r>
            <w:proofErr w:type="spellEnd"/>
            <w:r w:rsidR="00D90BEC" w:rsidRPr="006F6D1E">
              <w:rPr>
                <w:iCs/>
              </w:rPr>
              <w:t xml:space="preserve"> </w:t>
            </w:r>
            <w:proofErr w:type="spellStart"/>
            <w:r w:rsidR="00D90BEC" w:rsidRPr="006F6D1E">
              <w:rPr>
                <w:iCs/>
              </w:rPr>
              <w:t>diplomas</w:t>
            </w:r>
            <w:proofErr w:type="spellEnd"/>
            <w:r w:rsidR="00D90BEC" w:rsidRPr="006F6D1E">
              <w:rPr>
                <w:iCs/>
              </w:rPr>
              <w:t xml:space="preserve"> (</w:t>
            </w:r>
            <w:proofErr w:type="spellStart"/>
            <w:r w:rsidR="00D90BEC" w:rsidRPr="006F6D1E">
              <w:rPr>
                <w:iCs/>
              </w:rPr>
              <w:t>slaugos</w:t>
            </w:r>
            <w:proofErr w:type="spellEnd"/>
            <w:r w:rsidR="00D90BEC" w:rsidRPr="006F6D1E">
              <w:rPr>
                <w:iCs/>
              </w:rPr>
              <w:t xml:space="preserve"> </w:t>
            </w:r>
            <w:proofErr w:type="spellStart"/>
            <w:r w:rsidR="00D90BEC" w:rsidRPr="006F6D1E">
              <w:rPr>
                <w:iCs/>
              </w:rPr>
              <w:t>bakalauro</w:t>
            </w:r>
            <w:proofErr w:type="spellEnd"/>
            <w:r w:rsidR="00D90BEC" w:rsidRPr="006F6D1E">
              <w:rPr>
                <w:iCs/>
              </w:rPr>
              <w:t xml:space="preserve"> </w:t>
            </w:r>
            <w:proofErr w:type="spellStart"/>
            <w:r w:rsidR="00D90BEC" w:rsidRPr="006F6D1E">
              <w:rPr>
                <w:iCs/>
              </w:rPr>
              <w:t>kvalifikacinis</w:t>
            </w:r>
            <w:proofErr w:type="spellEnd"/>
            <w:r w:rsidR="00D90BEC" w:rsidRPr="006F6D1E">
              <w:rPr>
                <w:iCs/>
              </w:rPr>
              <w:t xml:space="preserve"> </w:t>
            </w:r>
            <w:proofErr w:type="spellStart"/>
            <w:r w:rsidR="00D90BEC" w:rsidRPr="006F6D1E">
              <w:rPr>
                <w:iCs/>
              </w:rPr>
              <w:t>laipsnis</w:t>
            </w:r>
            <w:proofErr w:type="spellEnd"/>
            <w:r w:rsidR="00D90BEC" w:rsidRPr="006F6D1E">
              <w:rPr>
                <w:iCs/>
              </w:rPr>
              <w:t xml:space="preserve"> ir </w:t>
            </w:r>
            <w:proofErr w:type="spellStart"/>
            <w:r w:rsidR="00D90BEC" w:rsidRPr="006F6D1E">
              <w:rPr>
                <w:iCs/>
              </w:rPr>
              <w:t>bendrosios</w:t>
            </w:r>
            <w:proofErr w:type="spellEnd"/>
            <w:r w:rsidR="00D90BEC" w:rsidRPr="006F6D1E">
              <w:rPr>
                <w:iCs/>
              </w:rPr>
              <w:t xml:space="preserve"> </w:t>
            </w:r>
            <w:proofErr w:type="spellStart"/>
            <w:r w:rsidR="00D90BEC" w:rsidRPr="006F6D1E">
              <w:rPr>
                <w:iCs/>
              </w:rPr>
              <w:t>praktikos</w:t>
            </w:r>
            <w:proofErr w:type="spellEnd"/>
            <w:r w:rsidR="00D90BEC" w:rsidRPr="006F6D1E">
              <w:rPr>
                <w:iCs/>
              </w:rPr>
              <w:t xml:space="preserve"> </w:t>
            </w:r>
            <w:proofErr w:type="spellStart"/>
            <w:r w:rsidR="00D90BEC" w:rsidRPr="006F6D1E">
              <w:rPr>
                <w:iCs/>
              </w:rPr>
              <w:t>slaugytojo</w:t>
            </w:r>
            <w:proofErr w:type="spellEnd"/>
            <w:r w:rsidR="00D90BEC" w:rsidRPr="006F6D1E">
              <w:rPr>
                <w:iCs/>
              </w:rPr>
              <w:t xml:space="preserve"> </w:t>
            </w:r>
            <w:proofErr w:type="spellStart"/>
            <w:r w:rsidR="00D90BEC" w:rsidRPr="006F6D1E">
              <w:rPr>
                <w:iCs/>
              </w:rPr>
              <w:t>profesinė</w:t>
            </w:r>
            <w:proofErr w:type="spellEnd"/>
            <w:r w:rsidR="00D90BEC" w:rsidRPr="006F6D1E">
              <w:rPr>
                <w:iCs/>
              </w:rPr>
              <w:t xml:space="preserve"> </w:t>
            </w:r>
            <w:proofErr w:type="spellStart"/>
            <w:r w:rsidR="00D90BEC" w:rsidRPr="006F6D1E">
              <w:rPr>
                <w:iCs/>
              </w:rPr>
              <w:t>kvalifikacija</w:t>
            </w:r>
            <w:proofErr w:type="spellEnd"/>
            <w:r w:rsidR="00D90BEC" w:rsidRPr="006F6D1E">
              <w:rPr>
                <w:iCs/>
              </w:rPr>
              <w:t xml:space="preserve">)”, grozījumi noteikumos Nr. 149 paredz attiecīgas izmaiņas. </w:t>
            </w:r>
          </w:p>
          <w:p w14:paraId="39EF3512" w14:textId="5FDE3A2E" w:rsidR="00E46753" w:rsidRPr="006F6D1E" w:rsidRDefault="00553C06" w:rsidP="00820521">
            <w:pPr>
              <w:shd w:val="clear" w:color="auto" w:fill="FFFFFF"/>
              <w:jc w:val="both"/>
              <w:rPr>
                <w:iCs/>
              </w:rPr>
            </w:pPr>
            <w:r w:rsidRPr="006F6D1E">
              <w:rPr>
                <w:iCs/>
              </w:rPr>
              <w:t xml:space="preserve">     </w:t>
            </w:r>
            <w:r w:rsidR="00E46753" w:rsidRPr="006F6D1E">
              <w:rPr>
                <w:iCs/>
              </w:rPr>
              <w:t>Deleģētais lēmums nosaka vairākas izmaiņas ārsta kvalifikāciju apliecinošajos dokumentos, kuras ir pār</w:t>
            </w:r>
            <w:r w:rsidR="00F95E8A" w:rsidRPr="006F6D1E">
              <w:rPr>
                <w:iCs/>
              </w:rPr>
              <w:t>ņe</w:t>
            </w:r>
            <w:r w:rsidR="00E46753" w:rsidRPr="006F6D1E">
              <w:rPr>
                <w:iCs/>
              </w:rPr>
              <w:t>mtas ar grozījumiem noteikumos Nr. 207.</w:t>
            </w:r>
          </w:p>
          <w:p w14:paraId="6BF865F8" w14:textId="6B6AEFB8" w:rsidR="0035526D" w:rsidRPr="006F6D1E" w:rsidRDefault="00553C06" w:rsidP="0035526D">
            <w:pPr>
              <w:shd w:val="clear" w:color="auto" w:fill="FFFFFF"/>
              <w:jc w:val="both"/>
            </w:pPr>
            <w:r w:rsidRPr="006F6D1E">
              <w:rPr>
                <w:iCs/>
              </w:rPr>
              <w:t xml:space="preserve">     </w:t>
            </w:r>
            <w:r w:rsidR="002E717A" w:rsidRPr="006F6D1E">
              <w:rPr>
                <w:iCs/>
              </w:rPr>
              <w:t>Deleģētajā lēmumā noteiktās izmaiņas veterinārārsta profesionālo kvalifikāciju apliecinošajos dokumentos, kas izdoti Rumānijā, ir iekļautas grozījumos noteikumos Nr. 320.</w:t>
            </w:r>
          </w:p>
          <w:p w14:paraId="0A474E7A" w14:textId="007B4D19" w:rsidR="00FA3B65" w:rsidRPr="006F6D1E" w:rsidRDefault="00553C06" w:rsidP="0035526D">
            <w:pPr>
              <w:shd w:val="clear" w:color="auto" w:fill="FFFFFF"/>
              <w:jc w:val="both"/>
            </w:pPr>
            <w:r w:rsidRPr="006F6D1E">
              <w:rPr>
                <w:bCs/>
              </w:rPr>
              <w:t xml:space="preserve">     </w:t>
            </w:r>
            <w:r w:rsidR="00BC529D" w:rsidRPr="006F6D1E">
              <w:rPr>
                <w:bCs/>
              </w:rPr>
              <w:t xml:space="preserve">Līdz ar </w:t>
            </w:r>
            <w:r w:rsidR="00BC529D" w:rsidRPr="006F6D1E">
              <w:t xml:space="preserve">Direktīvas </w:t>
            </w:r>
            <w:r w:rsidR="00BC529D" w:rsidRPr="006F6D1E">
              <w:rPr>
                <w:bCs/>
              </w:rPr>
              <w:t>2</w:t>
            </w:r>
            <w:r w:rsidR="00666B6E" w:rsidRPr="006F6D1E">
              <w:rPr>
                <w:bCs/>
              </w:rPr>
              <w:t>005/36/EK</w:t>
            </w:r>
            <w:r w:rsidR="00BC529D" w:rsidRPr="006F6D1E">
              <w:rPr>
                <w:bCs/>
              </w:rPr>
              <w:t xml:space="preserve"> tiesību normu pārņemšanu Latvijas Republikas tiesību aktos tiks nodrošināts tiesiskais pamats profesionālās kvalifikācijas atzīšanai ārvalstu </w:t>
            </w:r>
            <w:r w:rsidR="00BC529D" w:rsidRPr="006F6D1E">
              <w:t xml:space="preserve">personām, kas Eiropas Ekonomiskās zonas valstīs un Šveices Konfederācijā ieguvušas profesionālo kvalifikāciju </w:t>
            </w:r>
            <w:proofErr w:type="spellStart"/>
            <w:r w:rsidR="00604CFB" w:rsidRPr="006F6D1E">
              <w:t>sektoriālajās</w:t>
            </w:r>
            <w:proofErr w:type="spellEnd"/>
            <w:r w:rsidR="00BC529D" w:rsidRPr="006F6D1E">
              <w:t xml:space="preserve"> profesijā</w:t>
            </w:r>
            <w:r w:rsidR="00604CFB" w:rsidRPr="006F6D1E">
              <w:t>s</w:t>
            </w:r>
            <w:r w:rsidR="00BC529D" w:rsidRPr="006F6D1E">
              <w:t xml:space="preserve"> un kas pretendē uz profesionālās kvalifikācijas atzīšanu Latvijā</w:t>
            </w:r>
            <w:r w:rsidR="00BC529D" w:rsidRPr="006F6D1E">
              <w:rPr>
                <w:bCs/>
              </w:rPr>
              <w:t xml:space="preserve">. </w:t>
            </w:r>
            <w:proofErr w:type="spellStart"/>
            <w:r w:rsidR="00604CFB" w:rsidRPr="006F6D1E">
              <w:rPr>
                <w:bCs/>
              </w:rPr>
              <w:t>Sektoriālajās</w:t>
            </w:r>
            <w:proofErr w:type="spellEnd"/>
            <w:r w:rsidR="00604CFB" w:rsidRPr="006F6D1E">
              <w:rPr>
                <w:bCs/>
              </w:rPr>
              <w:t xml:space="preserve"> profesijās profesionālo kvalifikāciju</w:t>
            </w:r>
            <w:r w:rsidR="00BC529D" w:rsidRPr="006F6D1E">
              <w:rPr>
                <w:bCs/>
              </w:rPr>
              <w:t xml:space="preserve"> ieguvušās personas varēs pilnvērtīgi izmantot savas tiesības piedalīties brīvā darbaspēka kustībā, šajā gadījumā – veikt profesio</w:t>
            </w:r>
            <w:r w:rsidR="00604CFB" w:rsidRPr="006F6D1E">
              <w:rPr>
                <w:bCs/>
              </w:rPr>
              <w:t>nālo darbību</w:t>
            </w:r>
            <w:r w:rsidR="00BC529D" w:rsidRPr="006F6D1E">
              <w:rPr>
                <w:bCs/>
              </w:rPr>
              <w:t xml:space="preserve"> Latvijas Republikā.</w:t>
            </w:r>
          </w:p>
        </w:tc>
      </w:tr>
      <w:tr w:rsidR="00E3290D" w:rsidRPr="006F6D1E" w14:paraId="0A474E7F" w14:textId="77777777" w:rsidTr="0035526D">
        <w:tc>
          <w:tcPr>
            <w:tcW w:w="152" w:type="pct"/>
            <w:hideMark/>
          </w:tcPr>
          <w:p w14:paraId="0A474E7C" w14:textId="51A517CA" w:rsidR="00BD5588" w:rsidRPr="006F6D1E" w:rsidRDefault="00BC529D" w:rsidP="00793205">
            <w:pPr>
              <w:widowControl w:val="0"/>
              <w:jc w:val="center"/>
            </w:pPr>
            <w:r w:rsidRPr="006F6D1E">
              <w:lastRenderedPageBreak/>
              <w:t>3.</w:t>
            </w:r>
          </w:p>
        </w:tc>
        <w:tc>
          <w:tcPr>
            <w:tcW w:w="1006" w:type="pct"/>
            <w:hideMark/>
          </w:tcPr>
          <w:p w14:paraId="0A474E7D" w14:textId="77777777" w:rsidR="00BD5588" w:rsidRPr="006F6D1E" w:rsidRDefault="00BC529D" w:rsidP="00793205">
            <w:pPr>
              <w:widowControl w:val="0"/>
            </w:pPr>
            <w:r w:rsidRPr="006F6D1E">
              <w:t>Projekta izstrādē iesaistītās institūcijas un publiskas personas kapitālsabiedrības</w:t>
            </w:r>
          </w:p>
        </w:tc>
        <w:tc>
          <w:tcPr>
            <w:tcW w:w="3842" w:type="pct"/>
            <w:hideMark/>
          </w:tcPr>
          <w:p w14:paraId="0A474E7E" w14:textId="15497740" w:rsidR="00161647" w:rsidRPr="006F6D1E" w:rsidRDefault="00553C06" w:rsidP="003B044A">
            <w:pPr>
              <w:widowControl w:val="0"/>
            </w:pPr>
            <w:r w:rsidRPr="006F6D1E">
              <w:rPr>
                <w:bCs/>
              </w:rPr>
              <w:t xml:space="preserve">     </w:t>
            </w:r>
            <w:r w:rsidR="00BC529D" w:rsidRPr="006F6D1E">
              <w:rPr>
                <w:bCs/>
              </w:rPr>
              <w:t>Izglītības un zinātnes ministrija (turpmāk – ministrija).</w:t>
            </w:r>
          </w:p>
        </w:tc>
      </w:tr>
      <w:tr w:rsidR="00E3290D" w:rsidRPr="006F6D1E" w14:paraId="0A474E83" w14:textId="77777777" w:rsidTr="0035526D">
        <w:tc>
          <w:tcPr>
            <w:tcW w:w="152" w:type="pct"/>
            <w:hideMark/>
          </w:tcPr>
          <w:p w14:paraId="0A474E80" w14:textId="77777777" w:rsidR="00BD5588" w:rsidRPr="006F6D1E" w:rsidRDefault="00BC529D" w:rsidP="00793205">
            <w:pPr>
              <w:widowControl w:val="0"/>
              <w:jc w:val="center"/>
            </w:pPr>
            <w:r w:rsidRPr="006F6D1E">
              <w:t>4.</w:t>
            </w:r>
          </w:p>
        </w:tc>
        <w:tc>
          <w:tcPr>
            <w:tcW w:w="1006" w:type="pct"/>
            <w:hideMark/>
          </w:tcPr>
          <w:p w14:paraId="0A474E81" w14:textId="77777777" w:rsidR="00BD5588" w:rsidRPr="006F6D1E" w:rsidRDefault="00BC529D" w:rsidP="00793205">
            <w:pPr>
              <w:widowControl w:val="0"/>
            </w:pPr>
            <w:r w:rsidRPr="006F6D1E">
              <w:t>Cita informācija</w:t>
            </w:r>
          </w:p>
        </w:tc>
        <w:tc>
          <w:tcPr>
            <w:tcW w:w="3842" w:type="pct"/>
            <w:hideMark/>
          </w:tcPr>
          <w:p w14:paraId="0A474E82" w14:textId="77777777" w:rsidR="00BD5588" w:rsidRPr="006F6D1E" w:rsidRDefault="00BC529D" w:rsidP="00E3290D">
            <w:pPr>
              <w:widowControl w:val="0"/>
            </w:pPr>
            <w:r w:rsidRPr="006F6D1E">
              <w:t>Nav</w:t>
            </w:r>
            <w:r w:rsidR="00EA3D31" w:rsidRPr="006F6D1E">
              <w:t>.</w:t>
            </w:r>
          </w:p>
        </w:tc>
      </w:tr>
    </w:tbl>
    <w:p w14:paraId="0A474E84" w14:textId="77777777" w:rsidR="004E4DD9" w:rsidRPr="006F6D1E" w:rsidRDefault="004E4DD9" w:rsidP="004E4DD9">
      <w:pPr>
        <w:pStyle w:val="Title"/>
        <w:spacing w:before="130" w:line="260" w:lineRule="exact"/>
        <w:jc w:val="both"/>
        <w:rPr>
          <w:sz w:val="24"/>
          <w:szCs w:val="24"/>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16"/>
        <w:gridCol w:w="2031"/>
        <w:gridCol w:w="6697"/>
      </w:tblGrid>
      <w:tr w:rsidR="00E3290D" w:rsidRPr="006F6D1E" w14:paraId="0A474E86" w14:textId="77777777" w:rsidTr="00F54498">
        <w:tc>
          <w:tcPr>
            <w:tcW w:w="9244" w:type="dxa"/>
            <w:gridSpan w:val="3"/>
            <w:vAlign w:val="center"/>
            <w:hideMark/>
          </w:tcPr>
          <w:p w14:paraId="0A474E85" w14:textId="77777777" w:rsidR="00BD5588" w:rsidRPr="006F6D1E" w:rsidRDefault="00BC529D" w:rsidP="00E273A1">
            <w:pPr>
              <w:jc w:val="center"/>
              <w:rPr>
                <w:b/>
                <w:bCs/>
              </w:rPr>
            </w:pPr>
            <w:r w:rsidRPr="006F6D1E">
              <w:rPr>
                <w:b/>
                <w:bCs/>
              </w:rPr>
              <w:t>II. Tiesību akta projekta ietekme uz sabiedrību, tautsaimniecības attīstību un administratīvo slogu</w:t>
            </w:r>
          </w:p>
        </w:tc>
      </w:tr>
      <w:tr w:rsidR="00E3290D" w:rsidRPr="006F6D1E" w14:paraId="0A474E91" w14:textId="77777777" w:rsidTr="0035526D">
        <w:tc>
          <w:tcPr>
            <w:tcW w:w="516" w:type="dxa"/>
            <w:hideMark/>
          </w:tcPr>
          <w:p w14:paraId="0A474E87" w14:textId="77777777" w:rsidR="00BD5588" w:rsidRPr="006F6D1E" w:rsidRDefault="00BC529D" w:rsidP="00E273A1">
            <w:pPr>
              <w:jc w:val="center"/>
            </w:pPr>
            <w:r w:rsidRPr="006F6D1E">
              <w:t>1.</w:t>
            </w:r>
          </w:p>
        </w:tc>
        <w:tc>
          <w:tcPr>
            <w:tcW w:w="2031" w:type="dxa"/>
            <w:hideMark/>
          </w:tcPr>
          <w:p w14:paraId="0A474E88" w14:textId="77777777" w:rsidR="00BD5588" w:rsidRPr="006F6D1E" w:rsidRDefault="00BC529D" w:rsidP="00E30236">
            <w:r w:rsidRPr="006F6D1E">
              <w:t xml:space="preserve">Sabiedrības </w:t>
            </w:r>
            <w:proofErr w:type="spellStart"/>
            <w:r w:rsidRPr="006F6D1E">
              <w:t>mērķgrupas</w:t>
            </w:r>
            <w:proofErr w:type="spellEnd"/>
            <w:r w:rsidRPr="006F6D1E">
              <w:t xml:space="preserve">, kuras tiesiskais </w:t>
            </w:r>
            <w:r w:rsidRPr="006F6D1E">
              <w:lastRenderedPageBreak/>
              <w:t>regulējums ietekmē vai varētu ietekmēt</w:t>
            </w:r>
          </w:p>
        </w:tc>
        <w:tc>
          <w:tcPr>
            <w:tcW w:w="6697" w:type="dxa"/>
            <w:hideMark/>
          </w:tcPr>
          <w:p w14:paraId="78F3D677" w14:textId="3E708A73" w:rsidR="0035526D" w:rsidRPr="006F6D1E" w:rsidRDefault="00553C06" w:rsidP="0035526D">
            <w:pPr>
              <w:pStyle w:val="naiskr"/>
              <w:spacing w:before="0" w:after="0"/>
              <w:jc w:val="both"/>
            </w:pPr>
            <w:r w:rsidRPr="006F6D1E">
              <w:lastRenderedPageBreak/>
              <w:t xml:space="preserve">     </w:t>
            </w:r>
            <w:r w:rsidR="00BC529D" w:rsidRPr="006F6D1E">
              <w:t>Noteikumu projektos noteiktais attieksies uz personām, kas Eiropas Savienības</w:t>
            </w:r>
            <w:r w:rsidR="00372D24" w:rsidRPr="006F6D1E">
              <w:t xml:space="preserve"> dalībvalstīs</w:t>
            </w:r>
            <w:r w:rsidR="00BC529D" w:rsidRPr="006F6D1E">
              <w:t xml:space="preserve"> ieguvušas profesionālo kvalifikāciju </w:t>
            </w:r>
            <w:proofErr w:type="spellStart"/>
            <w:r w:rsidR="00BC529D" w:rsidRPr="006F6D1E">
              <w:t>sektoriālajās</w:t>
            </w:r>
            <w:proofErr w:type="spellEnd"/>
            <w:r w:rsidR="00BC529D" w:rsidRPr="006F6D1E">
              <w:t xml:space="preserve"> profesijās un pretendē uz profesionālās kvalifikācijas atzīšanu Latvijā. </w:t>
            </w:r>
          </w:p>
          <w:p w14:paraId="503EAC9F" w14:textId="7E7C2598" w:rsidR="0035526D" w:rsidRPr="006F6D1E" w:rsidRDefault="00553C06" w:rsidP="0035526D">
            <w:pPr>
              <w:pStyle w:val="naiskr"/>
              <w:spacing w:before="0" w:after="0"/>
              <w:jc w:val="both"/>
            </w:pPr>
            <w:r w:rsidRPr="006F6D1E">
              <w:lastRenderedPageBreak/>
              <w:t xml:space="preserve">      </w:t>
            </w:r>
            <w:r w:rsidR="00960DA5" w:rsidRPr="006F6D1E">
              <w:t>Noteikumu p</w:t>
            </w:r>
            <w:r w:rsidR="00BC529D" w:rsidRPr="006F6D1E">
              <w:t>rojekt</w:t>
            </w:r>
            <w:r w:rsidR="00960DA5" w:rsidRPr="006F6D1E">
              <w:t>os</w:t>
            </w:r>
            <w:r w:rsidR="00BC529D" w:rsidRPr="006F6D1E">
              <w:t xml:space="preserve"> noteiktais attieksies uz institūcijām, kas saskaņā ar Ministru kabineta 2017. gada 19. septembra noteikumi</w:t>
            </w:r>
            <w:r w:rsidR="001D02D5" w:rsidRPr="006F6D1E">
              <w:t>em</w:t>
            </w:r>
            <w:r w:rsidR="00BC529D" w:rsidRPr="006F6D1E">
              <w:t xml:space="preserve"> Nr. 566 “Noteikumi par informācijas institūcijām un institūcijām, kas izsniedz ārvalstīs iegūtās profesionālās kvalifikācijas atzīšanas apliecības reglamentētajās profesijās” ir iesaistītas profesionālās kvalifikācijas atz</w:t>
            </w:r>
            <w:r w:rsidR="0035526D" w:rsidRPr="006F6D1E">
              <w:t xml:space="preserve">īšanā </w:t>
            </w:r>
            <w:proofErr w:type="spellStart"/>
            <w:r w:rsidR="0035526D" w:rsidRPr="006F6D1E">
              <w:t>sektoriālajās</w:t>
            </w:r>
            <w:proofErr w:type="spellEnd"/>
            <w:r w:rsidR="0035526D" w:rsidRPr="006F6D1E">
              <w:t xml:space="preserve"> profesijās:</w:t>
            </w:r>
          </w:p>
          <w:p w14:paraId="0AC87331" w14:textId="01C99659" w:rsidR="0035526D" w:rsidRPr="006F6D1E" w:rsidRDefault="00BC529D" w:rsidP="0035526D">
            <w:pPr>
              <w:pStyle w:val="naiskr"/>
              <w:spacing w:before="0" w:after="0"/>
              <w:jc w:val="both"/>
            </w:pPr>
            <w:r w:rsidRPr="006F6D1E">
              <w:t>1) nodibinājumu “Akadēmiskās informācijas centrs”, kas īsteno informācijas institūcijas uzdevumus</w:t>
            </w:r>
            <w:r w:rsidR="003E7785" w:rsidRPr="006F6D1E">
              <w:t>;</w:t>
            </w:r>
          </w:p>
          <w:p w14:paraId="5FCA1889" w14:textId="2D99894F" w:rsidR="0035526D" w:rsidRPr="006F6D1E" w:rsidRDefault="00126BD3" w:rsidP="0035526D">
            <w:pPr>
              <w:pStyle w:val="naiskr"/>
              <w:spacing w:before="0" w:after="0"/>
              <w:jc w:val="both"/>
            </w:pPr>
            <w:r w:rsidRPr="006F6D1E">
              <w:t>2</w:t>
            </w:r>
            <w:r w:rsidR="00BC529D" w:rsidRPr="006F6D1E">
              <w:t xml:space="preserve">) biedrību “Latvijas Ārstu biedrība”, kas ir institūcija, kas izsniedz profesionālās kvalifikācijas atzīšanas apliecības ārsta profesijā, </w:t>
            </w:r>
            <w:proofErr w:type="spellStart"/>
            <w:r w:rsidR="00BC529D" w:rsidRPr="006F6D1E">
              <w:t>pamatspecialitātēs</w:t>
            </w:r>
            <w:proofErr w:type="spellEnd"/>
            <w:r w:rsidR="00BC529D" w:rsidRPr="006F6D1E">
              <w:t xml:space="preserve">, </w:t>
            </w:r>
            <w:proofErr w:type="spellStart"/>
            <w:r w:rsidR="00BC529D" w:rsidRPr="006F6D1E">
              <w:t>apakšspecialitātēs</w:t>
            </w:r>
            <w:proofErr w:type="spellEnd"/>
            <w:r w:rsidR="00BC529D" w:rsidRPr="006F6D1E">
              <w:t xml:space="preserve"> un </w:t>
            </w:r>
            <w:proofErr w:type="spellStart"/>
            <w:r w:rsidR="00BC529D" w:rsidRPr="006F6D1E">
              <w:t>papildspecialitātēs</w:t>
            </w:r>
            <w:proofErr w:type="spellEnd"/>
            <w:r w:rsidR="00BC529D" w:rsidRPr="006F6D1E">
              <w:t xml:space="preserve"> un zobārsta profesijā, </w:t>
            </w:r>
            <w:proofErr w:type="spellStart"/>
            <w:r w:rsidR="00BC529D" w:rsidRPr="006F6D1E">
              <w:t>pamatspecialitātēs</w:t>
            </w:r>
            <w:proofErr w:type="spellEnd"/>
            <w:r w:rsidR="00BC529D" w:rsidRPr="006F6D1E">
              <w:t xml:space="preserve"> un </w:t>
            </w:r>
            <w:proofErr w:type="spellStart"/>
            <w:r w:rsidR="00BC529D" w:rsidRPr="006F6D1E">
              <w:t>apakšspecialitātēs</w:t>
            </w:r>
            <w:proofErr w:type="spellEnd"/>
            <w:r w:rsidR="003E7785" w:rsidRPr="006F6D1E">
              <w:t>;</w:t>
            </w:r>
          </w:p>
          <w:p w14:paraId="3CB949D9" w14:textId="76355F49" w:rsidR="0035526D" w:rsidRPr="006F6D1E" w:rsidRDefault="00126BD3" w:rsidP="0035526D">
            <w:pPr>
              <w:pStyle w:val="naiskr"/>
              <w:spacing w:before="0" w:after="0"/>
              <w:jc w:val="both"/>
            </w:pPr>
            <w:r w:rsidRPr="006F6D1E">
              <w:t>3</w:t>
            </w:r>
            <w:r w:rsidR="00BC529D" w:rsidRPr="006F6D1E">
              <w:t>) biedrību “Latvijas Farmaceitu biedrība”, kas ir institūcija, kas izsniedz profesionālās kvalifikācijas atzīšanas apliecības farmaceita profesijā</w:t>
            </w:r>
            <w:r w:rsidR="003E7785" w:rsidRPr="006F6D1E">
              <w:t>;</w:t>
            </w:r>
          </w:p>
          <w:p w14:paraId="676511A2" w14:textId="78955E37" w:rsidR="0035526D" w:rsidRPr="006F6D1E" w:rsidRDefault="00126BD3" w:rsidP="00FA3B65">
            <w:pPr>
              <w:pStyle w:val="naiskr"/>
              <w:spacing w:before="0" w:after="0"/>
              <w:jc w:val="both"/>
            </w:pPr>
            <w:r w:rsidRPr="006F6D1E">
              <w:t>4</w:t>
            </w:r>
            <w:r w:rsidR="00BC529D" w:rsidRPr="006F6D1E">
              <w:t>) biedrību “Latvijas Veterinārārstu biedrība”, kas ir institūcija, kas izsniedz profesionālās kvalifikācijas atzīšanas aplie</w:t>
            </w:r>
            <w:r w:rsidR="0035526D" w:rsidRPr="006F6D1E">
              <w:t>cības veterinārārsta profesijā</w:t>
            </w:r>
            <w:r w:rsidR="003E7785" w:rsidRPr="006F6D1E">
              <w:t>;</w:t>
            </w:r>
          </w:p>
          <w:p w14:paraId="35B7E97F" w14:textId="154C5700" w:rsidR="0035526D" w:rsidRPr="006F6D1E" w:rsidRDefault="00126BD3" w:rsidP="00FA3B65">
            <w:pPr>
              <w:pStyle w:val="naiskr"/>
              <w:spacing w:before="0" w:after="0"/>
              <w:jc w:val="both"/>
            </w:pPr>
            <w:r w:rsidRPr="006F6D1E">
              <w:t>5</w:t>
            </w:r>
            <w:r w:rsidR="00BC529D" w:rsidRPr="006F6D1E">
              <w:t>) Veselības inspekcija, kas ir institūcija, kas izsniedz profesionālās kvalifikācijas atzīšanas apliecības māsas (medicīnas māsas) profesijā</w:t>
            </w:r>
            <w:r w:rsidR="003E7785" w:rsidRPr="006F6D1E">
              <w:t>;</w:t>
            </w:r>
          </w:p>
          <w:p w14:paraId="0A474E90" w14:textId="6B858912" w:rsidR="00FA3B65" w:rsidRPr="006F6D1E" w:rsidRDefault="00126BD3" w:rsidP="00FA3B65">
            <w:pPr>
              <w:pStyle w:val="naiskr"/>
              <w:spacing w:before="0" w:after="0"/>
              <w:jc w:val="both"/>
            </w:pPr>
            <w:r w:rsidRPr="006F6D1E">
              <w:t>6</w:t>
            </w:r>
            <w:r w:rsidR="00CF3773" w:rsidRPr="006F6D1E">
              <w:t>) biedrību “Latvijas Māsu asociācija”, kas ir institūcija, kas izsniedz profesionālās kvalifikācijas atzīšanas apliecības vecmātes profesijā</w:t>
            </w:r>
            <w:r w:rsidR="00BC529D" w:rsidRPr="006F6D1E">
              <w:t>.</w:t>
            </w:r>
          </w:p>
        </w:tc>
      </w:tr>
      <w:tr w:rsidR="00E3290D" w:rsidRPr="006F6D1E" w14:paraId="0A474E95" w14:textId="77777777" w:rsidTr="0035526D">
        <w:tc>
          <w:tcPr>
            <w:tcW w:w="516" w:type="dxa"/>
            <w:hideMark/>
          </w:tcPr>
          <w:p w14:paraId="0A474E92" w14:textId="2B625FC0" w:rsidR="00BD5588" w:rsidRPr="006F6D1E" w:rsidRDefault="00BC529D" w:rsidP="00E273A1">
            <w:pPr>
              <w:jc w:val="center"/>
            </w:pPr>
            <w:r w:rsidRPr="006F6D1E">
              <w:lastRenderedPageBreak/>
              <w:t>2.</w:t>
            </w:r>
          </w:p>
        </w:tc>
        <w:tc>
          <w:tcPr>
            <w:tcW w:w="2031" w:type="dxa"/>
            <w:hideMark/>
          </w:tcPr>
          <w:p w14:paraId="0A474E93" w14:textId="77777777" w:rsidR="00BD5588" w:rsidRPr="006F6D1E" w:rsidRDefault="00BC529D" w:rsidP="00E30236">
            <w:r w:rsidRPr="006F6D1E">
              <w:t>Tiesiskā regulējuma ietekme uz tautsaimniecību un administratīvo slogu</w:t>
            </w:r>
          </w:p>
        </w:tc>
        <w:tc>
          <w:tcPr>
            <w:tcW w:w="6697" w:type="dxa"/>
            <w:hideMark/>
          </w:tcPr>
          <w:p w14:paraId="0A474E94" w14:textId="7BBB2935" w:rsidR="00161647" w:rsidRPr="006F6D1E" w:rsidRDefault="00553C06" w:rsidP="00E3290D">
            <w:pPr>
              <w:jc w:val="both"/>
            </w:pPr>
            <w:r w:rsidRPr="006F6D1E">
              <w:t xml:space="preserve">     </w:t>
            </w:r>
            <w:r w:rsidR="00960DA5" w:rsidRPr="006F6D1E">
              <w:t>Noteikumu p</w:t>
            </w:r>
            <w:r w:rsidR="00BC529D" w:rsidRPr="006F6D1E">
              <w:t>rojekt</w:t>
            </w:r>
            <w:r w:rsidR="00960DA5" w:rsidRPr="006F6D1E">
              <w:t>i</w:t>
            </w:r>
            <w:r w:rsidR="00BC529D" w:rsidRPr="006F6D1E">
              <w:t xml:space="preserve"> šo jomu neskar. </w:t>
            </w:r>
          </w:p>
        </w:tc>
      </w:tr>
      <w:tr w:rsidR="00E3290D" w:rsidRPr="006F6D1E" w14:paraId="0A474E99" w14:textId="77777777" w:rsidTr="0035526D">
        <w:tc>
          <w:tcPr>
            <w:tcW w:w="516" w:type="dxa"/>
            <w:hideMark/>
          </w:tcPr>
          <w:p w14:paraId="0A474E96" w14:textId="77777777" w:rsidR="00BD5588" w:rsidRPr="006F6D1E" w:rsidRDefault="00BC529D" w:rsidP="00E273A1">
            <w:pPr>
              <w:jc w:val="center"/>
            </w:pPr>
            <w:r w:rsidRPr="006F6D1E">
              <w:t>3.</w:t>
            </w:r>
          </w:p>
        </w:tc>
        <w:tc>
          <w:tcPr>
            <w:tcW w:w="2031" w:type="dxa"/>
            <w:hideMark/>
          </w:tcPr>
          <w:p w14:paraId="0A474E97" w14:textId="77777777" w:rsidR="00BD5588" w:rsidRPr="006F6D1E" w:rsidRDefault="00BC529D" w:rsidP="00E30236">
            <w:r w:rsidRPr="006F6D1E">
              <w:t>Administratīvo izmaksu monetārs novērtējums</w:t>
            </w:r>
          </w:p>
        </w:tc>
        <w:tc>
          <w:tcPr>
            <w:tcW w:w="6697" w:type="dxa"/>
            <w:hideMark/>
          </w:tcPr>
          <w:p w14:paraId="0A474E98" w14:textId="5628D329" w:rsidR="00BD5588" w:rsidRPr="006F6D1E" w:rsidRDefault="00553C06" w:rsidP="00E3290D">
            <w:r w:rsidRPr="006F6D1E">
              <w:t xml:space="preserve">     </w:t>
            </w:r>
            <w:r w:rsidR="00960DA5" w:rsidRPr="006F6D1E">
              <w:t>Noteikumu p</w:t>
            </w:r>
            <w:r w:rsidR="00BC529D" w:rsidRPr="006F6D1E">
              <w:t>rojekt</w:t>
            </w:r>
            <w:r w:rsidR="00960DA5" w:rsidRPr="006F6D1E">
              <w:t>i</w:t>
            </w:r>
            <w:r w:rsidR="00BC529D" w:rsidRPr="006F6D1E">
              <w:t xml:space="preserve"> šo jomu neskar</w:t>
            </w:r>
            <w:r w:rsidR="00EA3D31" w:rsidRPr="006F6D1E">
              <w:t>.</w:t>
            </w:r>
          </w:p>
        </w:tc>
      </w:tr>
      <w:tr w:rsidR="00E3290D" w:rsidRPr="006F6D1E" w14:paraId="0A474E9D" w14:textId="77777777" w:rsidTr="0035526D">
        <w:tc>
          <w:tcPr>
            <w:tcW w:w="516" w:type="dxa"/>
            <w:hideMark/>
          </w:tcPr>
          <w:p w14:paraId="0A474E9A" w14:textId="77777777" w:rsidR="00BD5588" w:rsidRPr="006F6D1E" w:rsidRDefault="00BC529D" w:rsidP="00E273A1">
            <w:pPr>
              <w:jc w:val="center"/>
            </w:pPr>
            <w:r w:rsidRPr="006F6D1E">
              <w:t>4.</w:t>
            </w:r>
          </w:p>
        </w:tc>
        <w:tc>
          <w:tcPr>
            <w:tcW w:w="2031" w:type="dxa"/>
            <w:hideMark/>
          </w:tcPr>
          <w:p w14:paraId="0A474E9B" w14:textId="77777777" w:rsidR="00BD5588" w:rsidRPr="006F6D1E" w:rsidRDefault="00BC529D" w:rsidP="00E273A1">
            <w:r w:rsidRPr="006F6D1E">
              <w:t>Atbilstības izmaksu monetārs novērtējums</w:t>
            </w:r>
          </w:p>
        </w:tc>
        <w:tc>
          <w:tcPr>
            <w:tcW w:w="6697" w:type="dxa"/>
            <w:hideMark/>
          </w:tcPr>
          <w:p w14:paraId="0A474E9C" w14:textId="77399DF0" w:rsidR="00BD5588" w:rsidRPr="006F6D1E" w:rsidRDefault="00553C06" w:rsidP="00E3290D">
            <w:r w:rsidRPr="006F6D1E">
              <w:t xml:space="preserve">     </w:t>
            </w:r>
            <w:r w:rsidR="00960DA5" w:rsidRPr="006F6D1E">
              <w:t>Noteikumu p</w:t>
            </w:r>
            <w:r w:rsidR="00BC529D" w:rsidRPr="006F6D1E">
              <w:t>rojekt</w:t>
            </w:r>
            <w:r w:rsidR="00960DA5" w:rsidRPr="006F6D1E">
              <w:t>i</w:t>
            </w:r>
            <w:r w:rsidR="00BC529D" w:rsidRPr="006F6D1E">
              <w:t xml:space="preserve"> šo jomu neskar</w:t>
            </w:r>
            <w:r w:rsidR="00EA3D31" w:rsidRPr="006F6D1E">
              <w:t>.</w:t>
            </w:r>
          </w:p>
        </w:tc>
      </w:tr>
      <w:tr w:rsidR="0035526D" w:rsidRPr="006F6D1E" w14:paraId="0A474EA1" w14:textId="77777777" w:rsidTr="0035526D">
        <w:tc>
          <w:tcPr>
            <w:tcW w:w="516" w:type="dxa"/>
            <w:hideMark/>
          </w:tcPr>
          <w:p w14:paraId="0A474E9E" w14:textId="77777777" w:rsidR="00BD5588" w:rsidRPr="006F6D1E" w:rsidRDefault="00BC529D" w:rsidP="00E273A1">
            <w:pPr>
              <w:jc w:val="center"/>
            </w:pPr>
            <w:r w:rsidRPr="006F6D1E">
              <w:t>5.</w:t>
            </w:r>
          </w:p>
        </w:tc>
        <w:tc>
          <w:tcPr>
            <w:tcW w:w="2031" w:type="dxa"/>
            <w:hideMark/>
          </w:tcPr>
          <w:p w14:paraId="0A474E9F" w14:textId="77777777" w:rsidR="00BD5588" w:rsidRPr="006F6D1E" w:rsidRDefault="00BC529D" w:rsidP="00E273A1">
            <w:r w:rsidRPr="006F6D1E">
              <w:t>Cita informācija</w:t>
            </w:r>
          </w:p>
        </w:tc>
        <w:tc>
          <w:tcPr>
            <w:tcW w:w="6697" w:type="dxa"/>
            <w:hideMark/>
          </w:tcPr>
          <w:p w14:paraId="0A474EA0" w14:textId="786CFC6A" w:rsidR="00161647" w:rsidRPr="006F6D1E" w:rsidRDefault="00553C06" w:rsidP="00E3290D">
            <w:r w:rsidRPr="006F6D1E">
              <w:t xml:space="preserve">     </w:t>
            </w:r>
            <w:r w:rsidR="00BC529D" w:rsidRPr="006F6D1E">
              <w:t>Nav</w:t>
            </w:r>
            <w:r w:rsidR="00EA3D31" w:rsidRPr="006F6D1E">
              <w:t>.</w:t>
            </w:r>
          </w:p>
        </w:tc>
      </w:tr>
    </w:tbl>
    <w:p w14:paraId="0A474EA2" w14:textId="77777777" w:rsidR="004E4DD9" w:rsidRPr="006F6D1E" w:rsidRDefault="004E4DD9" w:rsidP="00E273A1"/>
    <w:tbl>
      <w:tblPr>
        <w:tblStyle w:val="TableGridLight"/>
        <w:tblW w:w="5600" w:type="pct"/>
        <w:tblInd w:w="-5" w:type="dxa"/>
        <w:shd w:val="clear" w:color="auto" w:fill="FFFFFF" w:themeFill="background1"/>
        <w:tblLook w:val="04A0" w:firstRow="1" w:lastRow="0" w:firstColumn="1" w:lastColumn="0" w:noHBand="0" w:noVBand="1"/>
      </w:tblPr>
      <w:tblGrid>
        <w:gridCol w:w="9292"/>
      </w:tblGrid>
      <w:tr w:rsidR="00E3290D" w:rsidRPr="006F6D1E" w14:paraId="0A474EA4" w14:textId="77777777" w:rsidTr="00BD7871">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74EA3" w14:textId="77777777" w:rsidR="00F54498" w:rsidRPr="006F6D1E" w:rsidRDefault="00BC529D" w:rsidP="00113C64">
            <w:pPr>
              <w:ind w:right="-34"/>
              <w:jc w:val="center"/>
              <w:rPr>
                <w:b/>
              </w:rPr>
            </w:pPr>
            <w:r w:rsidRPr="006F6D1E">
              <w:rPr>
                <w:b/>
              </w:rPr>
              <w:t>III. Tiesību akta projekta ietekme uz valsts budžetu un pašvaldību budžetiem</w:t>
            </w:r>
          </w:p>
        </w:tc>
      </w:tr>
      <w:tr w:rsidR="00E3290D" w:rsidRPr="006F6D1E" w14:paraId="0A474EA6" w14:textId="77777777" w:rsidTr="00BD7871">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A474EA5" w14:textId="582BDE4E" w:rsidR="00BD7871" w:rsidRPr="006F6D1E" w:rsidRDefault="00960DA5" w:rsidP="00113C64">
            <w:pPr>
              <w:ind w:right="-34"/>
              <w:jc w:val="center"/>
            </w:pPr>
            <w:r w:rsidRPr="006F6D1E">
              <w:t>Noteikumu p</w:t>
            </w:r>
            <w:r w:rsidR="00BC529D" w:rsidRPr="006F6D1E">
              <w:t>rojekt</w:t>
            </w:r>
            <w:r w:rsidRPr="006F6D1E">
              <w:t>i</w:t>
            </w:r>
            <w:r w:rsidR="00BC529D" w:rsidRPr="006F6D1E">
              <w:t xml:space="preserve"> šo jomu neskar</w:t>
            </w:r>
            <w:r w:rsidR="003E7785" w:rsidRPr="006F6D1E">
              <w:t>.</w:t>
            </w:r>
          </w:p>
        </w:tc>
      </w:tr>
    </w:tbl>
    <w:p w14:paraId="0A474EA7" w14:textId="77777777" w:rsidR="004E4DD9" w:rsidRPr="006F6D1E" w:rsidRDefault="004E4DD9" w:rsidP="00113C64">
      <w:pPr>
        <w:pStyle w:val="Title"/>
        <w:spacing w:before="130" w:line="260" w:lineRule="exact"/>
        <w:jc w:val="both"/>
        <w:rPr>
          <w:sz w:val="24"/>
          <w:szCs w:val="24"/>
        </w:rPr>
      </w:pPr>
    </w:p>
    <w:tbl>
      <w:tblPr>
        <w:tblW w:w="563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64"/>
        <w:gridCol w:w="2268"/>
        <w:gridCol w:w="6521"/>
      </w:tblGrid>
      <w:tr w:rsidR="00E3290D" w:rsidRPr="006F6D1E" w14:paraId="0A474EA9" w14:textId="77777777" w:rsidTr="00161647">
        <w:trPr>
          <w:cantSplit/>
        </w:trPr>
        <w:tc>
          <w:tcPr>
            <w:tcW w:w="9353" w:type="dxa"/>
            <w:gridSpan w:val="3"/>
            <w:vAlign w:val="center"/>
            <w:hideMark/>
          </w:tcPr>
          <w:p w14:paraId="0A474EA8" w14:textId="77777777" w:rsidR="009878D6" w:rsidRPr="006F6D1E" w:rsidRDefault="00BC529D" w:rsidP="00293120">
            <w:pPr>
              <w:jc w:val="center"/>
              <w:rPr>
                <w:b/>
                <w:bCs/>
              </w:rPr>
            </w:pPr>
            <w:r w:rsidRPr="006F6D1E">
              <w:rPr>
                <w:b/>
                <w:bCs/>
              </w:rPr>
              <w:t>IV. Tiesību akta projekta ietekme uz spēkā esošo tiesību normu sistēmu</w:t>
            </w:r>
          </w:p>
        </w:tc>
      </w:tr>
      <w:tr w:rsidR="00E3290D" w:rsidRPr="006F6D1E" w14:paraId="0A474EAD" w14:textId="77777777" w:rsidTr="0035526D">
        <w:trPr>
          <w:cantSplit/>
        </w:trPr>
        <w:tc>
          <w:tcPr>
            <w:tcW w:w="564" w:type="dxa"/>
            <w:vAlign w:val="center"/>
          </w:tcPr>
          <w:p w14:paraId="0A474EAA" w14:textId="77777777" w:rsidR="000148BB" w:rsidRPr="006F6D1E" w:rsidRDefault="00BC529D" w:rsidP="00293120">
            <w:pPr>
              <w:jc w:val="center"/>
              <w:rPr>
                <w:bCs/>
              </w:rPr>
            </w:pPr>
            <w:r w:rsidRPr="006F6D1E">
              <w:rPr>
                <w:bCs/>
              </w:rPr>
              <w:t>1.</w:t>
            </w:r>
          </w:p>
        </w:tc>
        <w:tc>
          <w:tcPr>
            <w:tcW w:w="2268" w:type="dxa"/>
            <w:vAlign w:val="center"/>
          </w:tcPr>
          <w:p w14:paraId="0A474EAB" w14:textId="77777777" w:rsidR="000148BB" w:rsidRPr="006F6D1E" w:rsidRDefault="00BC529D" w:rsidP="00F263BE">
            <w:pPr>
              <w:rPr>
                <w:bCs/>
              </w:rPr>
            </w:pPr>
            <w:r w:rsidRPr="006F6D1E">
              <w:rPr>
                <w:bCs/>
              </w:rPr>
              <w:t>Saistītie tiesību aktu projekti</w:t>
            </w:r>
          </w:p>
        </w:tc>
        <w:tc>
          <w:tcPr>
            <w:tcW w:w="6521" w:type="dxa"/>
            <w:vAlign w:val="center"/>
          </w:tcPr>
          <w:p w14:paraId="0A474EAC" w14:textId="1C17AD3A" w:rsidR="000148BB" w:rsidRPr="006F6D1E" w:rsidRDefault="004E5A3A" w:rsidP="00960DA5">
            <w:pPr>
              <w:jc w:val="both"/>
              <w:rPr>
                <w:bCs/>
              </w:rPr>
            </w:pPr>
            <w:r w:rsidRPr="006F6D1E">
              <w:rPr>
                <w:bCs/>
              </w:rPr>
              <w:t xml:space="preserve">     </w:t>
            </w:r>
            <w:r w:rsidR="00BC529D" w:rsidRPr="006F6D1E">
              <w:rPr>
                <w:bCs/>
              </w:rPr>
              <w:t xml:space="preserve">Apvienotā anotācija ir sagatavota šādiem </w:t>
            </w:r>
            <w:r w:rsidR="00960DA5" w:rsidRPr="006F6D1E">
              <w:rPr>
                <w:bCs/>
              </w:rPr>
              <w:t xml:space="preserve">noteikumu </w:t>
            </w:r>
            <w:r w:rsidR="00BC529D" w:rsidRPr="006F6D1E">
              <w:rPr>
                <w:bCs/>
              </w:rPr>
              <w:t>projektiem: grozījumi noteikumos Nr.</w:t>
            </w:r>
            <w:r w:rsidR="003E7785" w:rsidRPr="006F6D1E">
              <w:rPr>
                <w:bCs/>
              </w:rPr>
              <w:t> </w:t>
            </w:r>
            <w:r w:rsidR="00BC529D" w:rsidRPr="006F6D1E">
              <w:rPr>
                <w:bCs/>
              </w:rPr>
              <w:t>207, grozījumi noteikumos Nr.</w:t>
            </w:r>
            <w:r w:rsidR="003E7785" w:rsidRPr="006F6D1E">
              <w:rPr>
                <w:bCs/>
              </w:rPr>
              <w:t> </w:t>
            </w:r>
            <w:r w:rsidR="00BC529D" w:rsidRPr="006F6D1E">
              <w:rPr>
                <w:bCs/>
              </w:rPr>
              <w:t>149, grozījumi noteikumos Nr.</w:t>
            </w:r>
            <w:r w:rsidR="003E7785" w:rsidRPr="006F6D1E">
              <w:rPr>
                <w:bCs/>
              </w:rPr>
              <w:t> </w:t>
            </w:r>
            <w:r w:rsidR="00BC529D" w:rsidRPr="006F6D1E">
              <w:rPr>
                <w:bCs/>
              </w:rPr>
              <w:t>351, grozījumi noteikumos Nr.</w:t>
            </w:r>
            <w:r w:rsidR="003E7785" w:rsidRPr="006F6D1E">
              <w:rPr>
                <w:bCs/>
              </w:rPr>
              <w:t> </w:t>
            </w:r>
            <w:r w:rsidR="00BC529D" w:rsidRPr="006F6D1E">
              <w:rPr>
                <w:bCs/>
              </w:rPr>
              <w:t>125, grozījumi noteikumos Nr.</w:t>
            </w:r>
            <w:r w:rsidR="003E7785" w:rsidRPr="006F6D1E">
              <w:rPr>
                <w:bCs/>
              </w:rPr>
              <w:t> </w:t>
            </w:r>
            <w:r w:rsidR="00BC529D" w:rsidRPr="006F6D1E">
              <w:rPr>
                <w:bCs/>
              </w:rPr>
              <w:t>320, grozījumi noteikumos Nr.</w:t>
            </w:r>
            <w:r w:rsidR="003E7785" w:rsidRPr="006F6D1E">
              <w:rPr>
                <w:bCs/>
              </w:rPr>
              <w:t> </w:t>
            </w:r>
            <w:r w:rsidR="00BC529D" w:rsidRPr="006F6D1E">
              <w:rPr>
                <w:bCs/>
              </w:rPr>
              <w:t>124.</w:t>
            </w:r>
          </w:p>
        </w:tc>
      </w:tr>
      <w:tr w:rsidR="00E3290D" w:rsidRPr="006F6D1E" w14:paraId="0A474EB1" w14:textId="77777777" w:rsidTr="0035526D">
        <w:trPr>
          <w:cantSplit/>
        </w:trPr>
        <w:tc>
          <w:tcPr>
            <w:tcW w:w="564" w:type="dxa"/>
            <w:vAlign w:val="center"/>
          </w:tcPr>
          <w:p w14:paraId="0A474EAE" w14:textId="77777777" w:rsidR="000148BB" w:rsidRPr="006F6D1E" w:rsidRDefault="00BC529D" w:rsidP="000148BB">
            <w:pPr>
              <w:jc w:val="center"/>
              <w:rPr>
                <w:bCs/>
              </w:rPr>
            </w:pPr>
            <w:r w:rsidRPr="006F6D1E">
              <w:rPr>
                <w:bCs/>
              </w:rPr>
              <w:t xml:space="preserve">2. </w:t>
            </w:r>
          </w:p>
        </w:tc>
        <w:tc>
          <w:tcPr>
            <w:tcW w:w="2268" w:type="dxa"/>
            <w:vAlign w:val="center"/>
          </w:tcPr>
          <w:p w14:paraId="0A474EAF" w14:textId="77777777" w:rsidR="000148BB" w:rsidRPr="006F6D1E" w:rsidRDefault="00BC529D" w:rsidP="000148BB">
            <w:pPr>
              <w:rPr>
                <w:bCs/>
              </w:rPr>
            </w:pPr>
            <w:r w:rsidRPr="006F6D1E">
              <w:rPr>
                <w:bCs/>
              </w:rPr>
              <w:t>Atbildīgā institūcija</w:t>
            </w:r>
          </w:p>
        </w:tc>
        <w:tc>
          <w:tcPr>
            <w:tcW w:w="6521" w:type="dxa"/>
            <w:vAlign w:val="center"/>
          </w:tcPr>
          <w:p w14:paraId="0A474EB0" w14:textId="73A987AE" w:rsidR="000148BB" w:rsidRPr="006F6D1E" w:rsidRDefault="00BC529D" w:rsidP="00F263BE">
            <w:pPr>
              <w:rPr>
                <w:bCs/>
              </w:rPr>
            </w:pPr>
            <w:r w:rsidRPr="006F6D1E">
              <w:rPr>
                <w:bCs/>
              </w:rPr>
              <w:t>Ministrija</w:t>
            </w:r>
            <w:r w:rsidR="00E3290D" w:rsidRPr="006F6D1E">
              <w:rPr>
                <w:bCs/>
              </w:rPr>
              <w:t>.</w:t>
            </w:r>
          </w:p>
        </w:tc>
      </w:tr>
      <w:tr w:rsidR="00E3290D" w:rsidRPr="006F6D1E" w14:paraId="0A474EB5" w14:textId="77777777" w:rsidTr="0035526D">
        <w:trPr>
          <w:cantSplit/>
        </w:trPr>
        <w:tc>
          <w:tcPr>
            <w:tcW w:w="564" w:type="dxa"/>
            <w:vAlign w:val="center"/>
          </w:tcPr>
          <w:p w14:paraId="0A474EB2" w14:textId="77777777" w:rsidR="000148BB" w:rsidRPr="006F6D1E" w:rsidRDefault="00BC529D" w:rsidP="000148BB">
            <w:pPr>
              <w:jc w:val="center"/>
              <w:rPr>
                <w:bCs/>
              </w:rPr>
            </w:pPr>
            <w:r w:rsidRPr="006F6D1E">
              <w:rPr>
                <w:bCs/>
              </w:rPr>
              <w:t>3.</w:t>
            </w:r>
          </w:p>
        </w:tc>
        <w:tc>
          <w:tcPr>
            <w:tcW w:w="2268" w:type="dxa"/>
            <w:vAlign w:val="center"/>
          </w:tcPr>
          <w:p w14:paraId="0A474EB3" w14:textId="77777777" w:rsidR="000148BB" w:rsidRPr="006F6D1E" w:rsidRDefault="00BC529D" w:rsidP="000148BB">
            <w:pPr>
              <w:rPr>
                <w:bCs/>
              </w:rPr>
            </w:pPr>
            <w:r w:rsidRPr="006F6D1E">
              <w:rPr>
                <w:bCs/>
              </w:rPr>
              <w:t>Cita informācija</w:t>
            </w:r>
          </w:p>
        </w:tc>
        <w:tc>
          <w:tcPr>
            <w:tcW w:w="6521" w:type="dxa"/>
            <w:vAlign w:val="center"/>
          </w:tcPr>
          <w:p w14:paraId="0A474EB4" w14:textId="6093D8DC" w:rsidR="000148BB" w:rsidRPr="006F6D1E" w:rsidRDefault="00E3290D" w:rsidP="00F263BE">
            <w:pPr>
              <w:rPr>
                <w:bCs/>
              </w:rPr>
            </w:pPr>
            <w:r w:rsidRPr="006F6D1E">
              <w:rPr>
                <w:bCs/>
              </w:rPr>
              <w:t>Nav.</w:t>
            </w:r>
          </w:p>
        </w:tc>
      </w:tr>
    </w:tbl>
    <w:p w14:paraId="0A474EB6" w14:textId="77777777" w:rsidR="00161647" w:rsidRPr="006F6D1E" w:rsidRDefault="00161647" w:rsidP="00B96E3C">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E3290D" w:rsidRPr="006F6D1E" w14:paraId="0A474EB8" w14:textId="77777777" w:rsidTr="00161647">
        <w:tc>
          <w:tcPr>
            <w:tcW w:w="5000" w:type="pct"/>
            <w:gridSpan w:val="3"/>
            <w:vAlign w:val="center"/>
            <w:hideMark/>
          </w:tcPr>
          <w:p w14:paraId="0A474EB7" w14:textId="77777777" w:rsidR="009878D6" w:rsidRPr="006F6D1E" w:rsidRDefault="00BC529D" w:rsidP="00293120">
            <w:pPr>
              <w:jc w:val="center"/>
              <w:rPr>
                <w:b/>
                <w:bCs/>
              </w:rPr>
            </w:pPr>
            <w:r w:rsidRPr="006F6D1E">
              <w:rPr>
                <w:b/>
                <w:bCs/>
              </w:rPr>
              <w:t>V. Tiesību akta projekta atbilstība Latvijas Republikas starptautiskajām saistībām</w:t>
            </w:r>
          </w:p>
        </w:tc>
      </w:tr>
      <w:tr w:rsidR="00E3290D" w:rsidRPr="006F6D1E" w14:paraId="0A474EBC" w14:textId="77777777" w:rsidTr="00161647">
        <w:tc>
          <w:tcPr>
            <w:tcW w:w="281" w:type="pct"/>
            <w:hideMark/>
          </w:tcPr>
          <w:p w14:paraId="0A474EB9" w14:textId="77777777" w:rsidR="009878D6" w:rsidRPr="006F6D1E" w:rsidRDefault="00BC529D" w:rsidP="00293120">
            <w:pPr>
              <w:jc w:val="center"/>
            </w:pPr>
            <w:r w:rsidRPr="006F6D1E">
              <w:lastRenderedPageBreak/>
              <w:t>1.</w:t>
            </w:r>
          </w:p>
        </w:tc>
        <w:tc>
          <w:tcPr>
            <w:tcW w:w="1339" w:type="pct"/>
            <w:hideMark/>
          </w:tcPr>
          <w:p w14:paraId="0A474EBA" w14:textId="77777777" w:rsidR="009878D6" w:rsidRPr="006F6D1E" w:rsidRDefault="00BC529D" w:rsidP="00293120">
            <w:r w:rsidRPr="006F6D1E">
              <w:t>Saistības pret Eiropas Savienību</w:t>
            </w:r>
          </w:p>
        </w:tc>
        <w:tc>
          <w:tcPr>
            <w:tcW w:w="3380" w:type="pct"/>
            <w:hideMark/>
          </w:tcPr>
          <w:p w14:paraId="0A474EBB" w14:textId="535D3BE6" w:rsidR="00161647" w:rsidRPr="006F6D1E" w:rsidRDefault="004E5A3A" w:rsidP="00E3290D">
            <w:pPr>
              <w:jc w:val="both"/>
            </w:pPr>
            <w:r w:rsidRPr="006F6D1E">
              <w:t xml:space="preserve">     </w:t>
            </w:r>
            <w:r w:rsidR="00C01833" w:rsidRPr="006F6D1E">
              <w:t>D</w:t>
            </w:r>
            <w:r w:rsidR="008C5979" w:rsidRPr="006F6D1E">
              <w:t>irektīva 2005/36/EK</w:t>
            </w:r>
            <w:r w:rsidR="002A5C03" w:rsidRPr="006F6D1E">
              <w:t>, Deleģētais lēmums</w:t>
            </w:r>
            <w:r w:rsidR="00E3290D" w:rsidRPr="006F6D1E">
              <w:t>.</w:t>
            </w:r>
            <w:r w:rsidR="00BC529D" w:rsidRPr="006F6D1E">
              <w:t xml:space="preserve"> </w:t>
            </w:r>
          </w:p>
        </w:tc>
      </w:tr>
      <w:tr w:rsidR="00E3290D" w:rsidRPr="006F6D1E" w14:paraId="0A474EC0" w14:textId="77777777" w:rsidTr="00161647">
        <w:tc>
          <w:tcPr>
            <w:tcW w:w="281" w:type="pct"/>
            <w:hideMark/>
          </w:tcPr>
          <w:p w14:paraId="0A474EBD" w14:textId="77777777" w:rsidR="009878D6" w:rsidRPr="006F6D1E" w:rsidRDefault="00BC529D" w:rsidP="00293120">
            <w:pPr>
              <w:jc w:val="center"/>
            </w:pPr>
            <w:r w:rsidRPr="006F6D1E">
              <w:t>2.</w:t>
            </w:r>
          </w:p>
        </w:tc>
        <w:tc>
          <w:tcPr>
            <w:tcW w:w="1339" w:type="pct"/>
            <w:hideMark/>
          </w:tcPr>
          <w:p w14:paraId="0A474EBE" w14:textId="77777777" w:rsidR="009878D6" w:rsidRPr="006F6D1E" w:rsidRDefault="00BC529D" w:rsidP="00293120">
            <w:r w:rsidRPr="006F6D1E">
              <w:t>Citas starptautiskās saistības</w:t>
            </w:r>
          </w:p>
        </w:tc>
        <w:tc>
          <w:tcPr>
            <w:tcW w:w="3380" w:type="pct"/>
            <w:hideMark/>
          </w:tcPr>
          <w:p w14:paraId="0A474EBF" w14:textId="3ACFB861" w:rsidR="009878D6" w:rsidRPr="006F6D1E" w:rsidRDefault="004E5A3A" w:rsidP="00E3290D">
            <w:r w:rsidRPr="006F6D1E">
              <w:t xml:space="preserve">     </w:t>
            </w:r>
            <w:r w:rsidR="00126BD3" w:rsidRPr="006F6D1E">
              <w:t>Nav</w:t>
            </w:r>
            <w:r w:rsidR="00E3290D" w:rsidRPr="006F6D1E">
              <w:t>.</w:t>
            </w:r>
          </w:p>
        </w:tc>
      </w:tr>
      <w:tr w:rsidR="0035526D" w:rsidRPr="006F6D1E" w14:paraId="0A474EC4" w14:textId="77777777" w:rsidTr="00161647">
        <w:tc>
          <w:tcPr>
            <w:tcW w:w="281" w:type="pct"/>
            <w:hideMark/>
          </w:tcPr>
          <w:p w14:paraId="0A474EC1" w14:textId="77777777" w:rsidR="009878D6" w:rsidRPr="006F6D1E" w:rsidRDefault="00BC529D" w:rsidP="00293120">
            <w:pPr>
              <w:jc w:val="center"/>
            </w:pPr>
            <w:r w:rsidRPr="006F6D1E">
              <w:t>3.</w:t>
            </w:r>
          </w:p>
        </w:tc>
        <w:tc>
          <w:tcPr>
            <w:tcW w:w="1339" w:type="pct"/>
            <w:hideMark/>
          </w:tcPr>
          <w:p w14:paraId="0A474EC2" w14:textId="77777777" w:rsidR="009878D6" w:rsidRPr="006F6D1E" w:rsidRDefault="00BC529D" w:rsidP="00293120">
            <w:r w:rsidRPr="006F6D1E">
              <w:t>Cita informācija</w:t>
            </w:r>
          </w:p>
        </w:tc>
        <w:tc>
          <w:tcPr>
            <w:tcW w:w="3380" w:type="pct"/>
            <w:hideMark/>
          </w:tcPr>
          <w:p w14:paraId="0A474EC3" w14:textId="4DE12233" w:rsidR="009878D6" w:rsidRPr="006F6D1E" w:rsidRDefault="004E5A3A" w:rsidP="00E3290D">
            <w:r w:rsidRPr="006F6D1E">
              <w:t xml:space="preserve">     </w:t>
            </w:r>
            <w:r w:rsidR="00BC529D" w:rsidRPr="006F6D1E">
              <w:t>Nav</w:t>
            </w:r>
            <w:r w:rsidR="00E3290D" w:rsidRPr="006F6D1E">
              <w:t>.</w:t>
            </w:r>
          </w:p>
        </w:tc>
      </w:tr>
    </w:tbl>
    <w:p w14:paraId="0A474EC5" w14:textId="77777777" w:rsidR="004E4DD9" w:rsidRPr="006F6D1E" w:rsidRDefault="004E4DD9" w:rsidP="004E4DD9">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052"/>
        <w:gridCol w:w="1172"/>
        <w:gridCol w:w="1432"/>
        <w:gridCol w:w="1538"/>
        <w:gridCol w:w="645"/>
        <w:gridCol w:w="2328"/>
      </w:tblGrid>
      <w:tr w:rsidR="00E3290D" w:rsidRPr="006F6D1E" w14:paraId="0A474EC7" w14:textId="77777777" w:rsidTr="0057649F">
        <w:trPr>
          <w:cantSplit/>
        </w:trPr>
        <w:tc>
          <w:tcPr>
            <w:tcW w:w="5000" w:type="pct"/>
            <w:gridSpan w:val="6"/>
            <w:vAlign w:val="center"/>
            <w:hideMark/>
          </w:tcPr>
          <w:p w14:paraId="0A474EC6" w14:textId="77777777" w:rsidR="00BD5588" w:rsidRPr="006F6D1E" w:rsidRDefault="00BC529D" w:rsidP="00E273A1">
            <w:pPr>
              <w:jc w:val="center"/>
              <w:rPr>
                <w:b/>
                <w:bCs/>
              </w:rPr>
            </w:pPr>
            <w:r w:rsidRPr="006F6D1E">
              <w:rPr>
                <w:b/>
                <w:bCs/>
              </w:rPr>
              <w:t>1. tabula</w:t>
            </w:r>
            <w:r w:rsidRPr="006F6D1E">
              <w:rPr>
                <w:b/>
                <w:bCs/>
              </w:rPr>
              <w:br/>
              <w:t>Tiesību akta projekta atbilstība ES tiesību aktiem</w:t>
            </w:r>
          </w:p>
        </w:tc>
      </w:tr>
      <w:tr w:rsidR="00E3290D" w:rsidRPr="006F6D1E" w14:paraId="0A474ECA" w14:textId="77777777" w:rsidTr="00020CF1">
        <w:trPr>
          <w:cantSplit/>
        </w:trPr>
        <w:tc>
          <w:tcPr>
            <w:tcW w:w="1119" w:type="pct"/>
            <w:hideMark/>
          </w:tcPr>
          <w:p w14:paraId="0A474EC8" w14:textId="77777777" w:rsidR="00BD5588" w:rsidRPr="006F6D1E" w:rsidRDefault="00BC529D" w:rsidP="00E273A1">
            <w:r w:rsidRPr="006F6D1E">
              <w:t>Attiecīgā ES tiesību akta datums, numurs un nosaukums</w:t>
            </w:r>
          </w:p>
        </w:tc>
        <w:tc>
          <w:tcPr>
            <w:tcW w:w="3881" w:type="pct"/>
            <w:gridSpan w:val="5"/>
            <w:hideMark/>
          </w:tcPr>
          <w:p w14:paraId="0A474EC9" w14:textId="19B47D68" w:rsidR="004E4DD9" w:rsidRPr="006F6D1E" w:rsidRDefault="00237943" w:rsidP="00505983">
            <w:r w:rsidRPr="006F6D1E">
              <w:t xml:space="preserve">Direktīva 2005/36/EK, </w:t>
            </w:r>
            <w:r w:rsidR="003E7785" w:rsidRPr="006F6D1E">
              <w:t>D</w:t>
            </w:r>
            <w:r w:rsidR="00BC529D" w:rsidRPr="006F6D1E">
              <w:t>eleģētais lēmums</w:t>
            </w:r>
            <w:r w:rsidR="00B10316" w:rsidRPr="006F6D1E">
              <w:t>.</w:t>
            </w:r>
          </w:p>
        </w:tc>
      </w:tr>
      <w:tr w:rsidR="00C866B4" w:rsidRPr="006F6D1E" w14:paraId="0A474ECF" w14:textId="77777777" w:rsidTr="00F8013D">
        <w:trPr>
          <w:cantSplit/>
        </w:trPr>
        <w:tc>
          <w:tcPr>
            <w:tcW w:w="1119" w:type="pct"/>
            <w:vAlign w:val="center"/>
            <w:hideMark/>
          </w:tcPr>
          <w:p w14:paraId="0A474ECB" w14:textId="77777777" w:rsidR="00BD5588" w:rsidRPr="006F6D1E" w:rsidRDefault="00BC529D" w:rsidP="00E273A1">
            <w:pPr>
              <w:jc w:val="center"/>
            </w:pPr>
            <w:r w:rsidRPr="006F6D1E">
              <w:t>A</w:t>
            </w:r>
          </w:p>
        </w:tc>
        <w:tc>
          <w:tcPr>
            <w:tcW w:w="1420" w:type="pct"/>
            <w:gridSpan w:val="2"/>
            <w:vAlign w:val="center"/>
            <w:hideMark/>
          </w:tcPr>
          <w:p w14:paraId="0A474ECC" w14:textId="77777777" w:rsidR="00BD5588" w:rsidRPr="006F6D1E" w:rsidRDefault="00BC529D" w:rsidP="00E273A1">
            <w:pPr>
              <w:jc w:val="center"/>
            </w:pPr>
            <w:r w:rsidRPr="006F6D1E">
              <w:t>B</w:t>
            </w:r>
          </w:p>
        </w:tc>
        <w:tc>
          <w:tcPr>
            <w:tcW w:w="1191" w:type="pct"/>
            <w:gridSpan w:val="2"/>
            <w:vAlign w:val="center"/>
            <w:hideMark/>
          </w:tcPr>
          <w:p w14:paraId="0A474ECD" w14:textId="77777777" w:rsidR="00BD5588" w:rsidRPr="006F6D1E" w:rsidRDefault="00BC529D" w:rsidP="00E273A1">
            <w:pPr>
              <w:jc w:val="center"/>
            </w:pPr>
            <w:r w:rsidRPr="006F6D1E">
              <w:t>C</w:t>
            </w:r>
          </w:p>
        </w:tc>
        <w:tc>
          <w:tcPr>
            <w:tcW w:w="1270" w:type="pct"/>
            <w:vAlign w:val="center"/>
            <w:hideMark/>
          </w:tcPr>
          <w:p w14:paraId="0A474ECE" w14:textId="77777777" w:rsidR="00BD5588" w:rsidRPr="006F6D1E" w:rsidRDefault="00BC529D" w:rsidP="00E273A1">
            <w:pPr>
              <w:jc w:val="center"/>
            </w:pPr>
            <w:r w:rsidRPr="006F6D1E">
              <w:t>D</w:t>
            </w:r>
          </w:p>
        </w:tc>
      </w:tr>
      <w:tr w:rsidR="00C866B4" w:rsidRPr="006F6D1E" w14:paraId="0A474ED4" w14:textId="77777777" w:rsidTr="00F8013D">
        <w:tc>
          <w:tcPr>
            <w:tcW w:w="1119" w:type="pct"/>
            <w:hideMark/>
          </w:tcPr>
          <w:p w14:paraId="0A474ED0" w14:textId="77777777" w:rsidR="00BD5588" w:rsidRPr="006F6D1E" w:rsidRDefault="00BC529D" w:rsidP="00E273A1">
            <w:r w:rsidRPr="006F6D1E">
              <w:t>Attiecīgā ES tiesību akta panta numurs (uzskaitot katru tiesību akta vienību – pantu, daļu, punktu, apakšpunktu)</w:t>
            </w:r>
          </w:p>
        </w:tc>
        <w:tc>
          <w:tcPr>
            <w:tcW w:w="1420" w:type="pct"/>
            <w:gridSpan w:val="2"/>
            <w:hideMark/>
          </w:tcPr>
          <w:p w14:paraId="0A474ED1" w14:textId="77777777" w:rsidR="00BD5588" w:rsidRPr="006F6D1E" w:rsidRDefault="00BC529D" w:rsidP="00E273A1">
            <w:r w:rsidRPr="006F6D1E">
              <w:t>Projekta vienība, kas pārņem vai ievieš katru šīs tabulas A ailē minēto ES tiesību akta vienību, vai tiesību akts, kur attiecīgā ES tiesību akta vienība pārņemta vai ieviesta</w:t>
            </w:r>
          </w:p>
        </w:tc>
        <w:tc>
          <w:tcPr>
            <w:tcW w:w="1191" w:type="pct"/>
            <w:gridSpan w:val="2"/>
            <w:hideMark/>
          </w:tcPr>
          <w:p w14:paraId="0A474ED2" w14:textId="77777777" w:rsidR="00BD5588" w:rsidRPr="006F6D1E" w:rsidRDefault="00BC529D" w:rsidP="00E273A1">
            <w:r w:rsidRPr="006F6D1E">
              <w:t>Informācija par to, vai šīs tabulas A ailē minētās ES tiesību akta vienības tiek pārņemtas vai ieviestas pilnībā vai daļēji.</w:t>
            </w:r>
            <w:r w:rsidRPr="006F6D1E">
              <w:br/>
              <w:t>Ja attiecīgā ES tiesību akta vienība tiek pārņemta vai ieviesta daļēji, sniedz attiecīgu skaidrojumu, kā arī precīzi norāda, kad un kādā veidā ES tiesību akta vienība tiks pārņemta vai ieviesta pilnībā.</w:t>
            </w:r>
            <w:r w:rsidRPr="006F6D1E">
              <w:br/>
              <w:t>Norāda institūciju, kas ir atbildīga par šo saistību izpildi pilnībā</w:t>
            </w:r>
          </w:p>
        </w:tc>
        <w:tc>
          <w:tcPr>
            <w:tcW w:w="1270" w:type="pct"/>
            <w:hideMark/>
          </w:tcPr>
          <w:p w14:paraId="0A474ED3" w14:textId="77777777" w:rsidR="00BD5588" w:rsidRPr="006F6D1E" w:rsidRDefault="00BC529D" w:rsidP="00E273A1">
            <w:r w:rsidRPr="006F6D1E">
              <w:t>Informācija par to, vai šīs tabulas B ailē minētās projekta vienības paredz stingrākas prasības nekā šīs tabulas A ailē minētās ES tiesību akta vienības.</w:t>
            </w:r>
            <w:r w:rsidRPr="006F6D1E">
              <w:br/>
              <w:t>Ja projekts satur stingrākas prasības nekā attiecīgais ES tiesību akts, norāda pamatojumu un samērīgumu.</w:t>
            </w:r>
            <w:r w:rsidRPr="006F6D1E">
              <w:br/>
              <w:t>Norāda iespējamās alternatīvas (t. sk. alternatīvas, kas neparedz tiesiskā regulējuma izstrādi) – kādos gadījumos būtu iespējams izvairīties no stingrāku prasību noteikšanas, nekā paredzēts attiecīgajos ES tiesību aktos</w:t>
            </w:r>
          </w:p>
        </w:tc>
      </w:tr>
      <w:tr w:rsidR="00C866B4" w:rsidRPr="006F6D1E" w14:paraId="1BBA6FE3" w14:textId="77777777" w:rsidTr="00F8013D">
        <w:trPr>
          <w:cantSplit/>
        </w:trPr>
        <w:tc>
          <w:tcPr>
            <w:tcW w:w="1119" w:type="pct"/>
          </w:tcPr>
          <w:p w14:paraId="51833742" w14:textId="129F4721" w:rsidR="00821081" w:rsidRPr="006F6D1E" w:rsidRDefault="00821081" w:rsidP="00821081">
            <w:r w:rsidRPr="006F6D1E">
              <w:lastRenderedPageBreak/>
              <w:t>Direktīvas 2005/36/EK 21.</w:t>
            </w:r>
            <w:r w:rsidR="003E7785" w:rsidRPr="006F6D1E">
              <w:t> </w:t>
            </w:r>
            <w:r w:rsidRPr="006F6D1E">
              <w:t>panta 1.</w:t>
            </w:r>
            <w:r w:rsidR="003E7785" w:rsidRPr="006F6D1E">
              <w:t> </w:t>
            </w:r>
            <w:r w:rsidRPr="006F6D1E">
              <w:t>punkts</w:t>
            </w:r>
          </w:p>
        </w:tc>
        <w:tc>
          <w:tcPr>
            <w:tcW w:w="1420" w:type="pct"/>
            <w:gridSpan w:val="2"/>
          </w:tcPr>
          <w:p w14:paraId="0E9B0C77" w14:textId="780BCDAF" w:rsidR="00821081" w:rsidRPr="006F6D1E" w:rsidRDefault="00821081" w:rsidP="00821081">
            <w:pPr>
              <w:ind w:left="57"/>
              <w:rPr>
                <w:spacing w:val="-2"/>
              </w:rPr>
            </w:pPr>
            <w:r w:rsidRPr="006F6D1E">
              <w:rPr>
                <w:spacing w:val="-2"/>
              </w:rPr>
              <w:t>Grozījum</w:t>
            </w:r>
            <w:r w:rsidR="006305B5" w:rsidRPr="006F6D1E">
              <w:rPr>
                <w:spacing w:val="-2"/>
              </w:rPr>
              <w:t>u</w:t>
            </w:r>
            <w:r w:rsidRPr="006F6D1E">
              <w:rPr>
                <w:spacing w:val="-2"/>
              </w:rPr>
              <w:t xml:space="preserve"> noteikumos Nr.</w:t>
            </w:r>
            <w:r w:rsidR="003E7785" w:rsidRPr="006F6D1E">
              <w:rPr>
                <w:spacing w:val="-2"/>
              </w:rPr>
              <w:t> </w:t>
            </w:r>
            <w:r w:rsidRPr="006F6D1E">
              <w:rPr>
                <w:spacing w:val="-2"/>
              </w:rPr>
              <w:t xml:space="preserve">207 </w:t>
            </w:r>
            <w:r w:rsidR="00DA64BC" w:rsidRPr="006F6D1E">
              <w:rPr>
                <w:spacing w:val="-2"/>
              </w:rPr>
              <w:t>1</w:t>
            </w:r>
            <w:r w:rsidRPr="006F6D1E">
              <w:rPr>
                <w:spacing w:val="-2"/>
              </w:rPr>
              <w:t>.</w:t>
            </w:r>
            <w:r w:rsidR="00A51B31" w:rsidRPr="006F6D1E">
              <w:rPr>
                <w:spacing w:val="-2"/>
              </w:rPr>
              <w:t> </w:t>
            </w:r>
            <w:r w:rsidRPr="006F6D1E">
              <w:rPr>
                <w:spacing w:val="-2"/>
              </w:rPr>
              <w:t>p</w:t>
            </w:r>
            <w:r w:rsidR="006305B5" w:rsidRPr="006F6D1E">
              <w:rPr>
                <w:spacing w:val="-2"/>
              </w:rPr>
              <w:t>unkts</w:t>
            </w:r>
            <w:r w:rsidR="00A36CD8" w:rsidRPr="006F6D1E">
              <w:rPr>
                <w:spacing w:val="-2"/>
              </w:rPr>
              <w:t xml:space="preserve"> par noteikumu Nr. 207 2., 8., 15. punktu</w:t>
            </w:r>
            <w:r w:rsidR="00DA64BC" w:rsidRPr="006F6D1E">
              <w:rPr>
                <w:spacing w:val="-2"/>
              </w:rPr>
              <w:t>;</w:t>
            </w:r>
          </w:p>
          <w:p w14:paraId="61AD0DFD" w14:textId="1D1CC550" w:rsidR="00821081" w:rsidRPr="006F6D1E" w:rsidRDefault="00821081" w:rsidP="003C0A0C">
            <w:pPr>
              <w:ind w:left="57"/>
              <w:rPr>
                <w:spacing w:val="-2"/>
              </w:rPr>
            </w:pPr>
            <w:r w:rsidRPr="006F6D1E">
              <w:rPr>
                <w:spacing w:val="-2"/>
              </w:rPr>
              <w:t>Grozījum</w:t>
            </w:r>
            <w:r w:rsidR="006305B5" w:rsidRPr="006F6D1E">
              <w:rPr>
                <w:spacing w:val="-2"/>
              </w:rPr>
              <w:t>u</w:t>
            </w:r>
            <w:r w:rsidRPr="006F6D1E">
              <w:rPr>
                <w:spacing w:val="-2"/>
              </w:rPr>
              <w:t xml:space="preserve"> noteikumos Nr.</w:t>
            </w:r>
            <w:r w:rsidR="006305B5" w:rsidRPr="006F6D1E">
              <w:rPr>
                <w:spacing w:val="-2"/>
              </w:rPr>
              <w:t> </w:t>
            </w:r>
            <w:r w:rsidRPr="006F6D1E">
              <w:rPr>
                <w:spacing w:val="-2"/>
              </w:rPr>
              <w:t>125</w:t>
            </w:r>
            <w:r w:rsidR="00041B91" w:rsidRPr="006F6D1E">
              <w:rPr>
                <w:spacing w:val="-2"/>
              </w:rPr>
              <w:t xml:space="preserve"> 1</w:t>
            </w:r>
            <w:r w:rsidRPr="006F6D1E">
              <w:rPr>
                <w:spacing w:val="-2"/>
              </w:rPr>
              <w:t>.</w:t>
            </w:r>
            <w:r w:rsidR="006305B5" w:rsidRPr="006F6D1E">
              <w:rPr>
                <w:spacing w:val="-2"/>
              </w:rPr>
              <w:t> </w:t>
            </w:r>
            <w:r w:rsidRPr="006F6D1E">
              <w:rPr>
                <w:spacing w:val="-2"/>
              </w:rPr>
              <w:t>p</w:t>
            </w:r>
            <w:r w:rsidR="006305B5" w:rsidRPr="006F6D1E">
              <w:rPr>
                <w:spacing w:val="-2"/>
              </w:rPr>
              <w:t>unkts</w:t>
            </w:r>
            <w:r w:rsidRPr="006F6D1E">
              <w:rPr>
                <w:spacing w:val="-2"/>
              </w:rPr>
              <w:t xml:space="preserve"> </w:t>
            </w:r>
            <w:r w:rsidR="00EF3D6C" w:rsidRPr="006F6D1E">
              <w:rPr>
                <w:spacing w:val="-2"/>
              </w:rPr>
              <w:t>Nr.</w:t>
            </w:r>
            <w:r w:rsidR="006305B5" w:rsidRPr="006F6D1E">
              <w:rPr>
                <w:spacing w:val="-2"/>
              </w:rPr>
              <w:t> </w:t>
            </w:r>
            <w:r w:rsidR="00EF3D6C" w:rsidRPr="006F6D1E">
              <w:rPr>
                <w:spacing w:val="-2"/>
              </w:rPr>
              <w:t>149 1</w:t>
            </w:r>
            <w:r w:rsidRPr="006F6D1E">
              <w:rPr>
                <w:spacing w:val="-2"/>
              </w:rPr>
              <w:t>.</w:t>
            </w:r>
            <w:r w:rsidR="00A51B31" w:rsidRPr="006F6D1E">
              <w:rPr>
                <w:spacing w:val="-2"/>
              </w:rPr>
              <w:t> </w:t>
            </w:r>
            <w:r w:rsidRPr="006F6D1E">
              <w:rPr>
                <w:spacing w:val="-2"/>
              </w:rPr>
              <w:t>p</w:t>
            </w:r>
            <w:r w:rsidR="006305B5" w:rsidRPr="006F6D1E">
              <w:rPr>
                <w:spacing w:val="-2"/>
              </w:rPr>
              <w:t>unkts</w:t>
            </w:r>
            <w:r w:rsidR="005D5231" w:rsidRPr="006F6D1E">
              <w:rPr>
                <w:spacing w:val="-2"/>
              </w:rPr>
              <w:t>;</w:t>
            </w:r>
          </w:p>
          <w:p w14:paraId="46FE88BD" w14:textId="677B031E" w:rsidR="00821081" w:rsidRPr="006F6D1E" w:rsidRDefault="00821081" w:rsidP="00821081">
            <w:pPr>
              <w:ind w:left="57"/>
              <w:rPr>
                <w:spacing w:val="-2"/>
              </w:rPr>
            </w:pPr>
            <w:r w:rsidRPr="006F6D1E">
              <w:rPr>
                <w:spacing w:val="-2"/>
              </w:rPr>
              <w:t>Grozījum</w:t>
            </w:r>
            <w:r w:rsidR="006305B5" w:rsidRPr="006F6D1E">
              <w:rPr>
                <w:spacing w:val="-2"/>
              </w:rPr>
              <w:t>u</w:t>
            </w:r>
            <w:r w:rsidRPr="006F6D1E">
              <w:rPr>
                <w:spacing w:val="-2"/>
              </w:rPr>
              <w:t xml:space="preserve"> noteikumos Nr.</w:t>
            </w:r>
            <w:r w:rsidR="006305B5" w:rsidRPr="006F6D1E">
              <w:rPr>
                <w:spacing w:val="-2"/>
              </w:rPr>
              <w:t> </w:t>
            </w:r>
            <w:r w:rsidRPr="006F6D1E">
              <w:rPr>
                <w:spacing w:val="-2"/>
              </w:rPr>
              <w:t>124</w:t>
            </w:r>
            <w:r w:rsidR="00F15682" w:rsidRPr="006F6D1E">
              <w:rPr>
                <w:spacing w:val="-2"/>
              </w:rPr>
              <w:t xml:space="preserve"> 1.</w:t>
            </w:r>
            <w:r w:rsidR="006305B5" w:rsidRPr="006F6D1E">
              <w:rPr>
                <w:spacing w:val="-2"/>
              </w:rPr>
              <w:t> </w:t>
            </w:r>
            <w:r w:rsidR="00F15682" w:rsidRPr="006F6D1E">
              <w:rPr>
                <w:spacing w:val="-2"/>
              </w:rPr>
              <w:t>p</w:t>
            </w:r>
            <w:r w:rsidR="006305B5" w:rsidRPr="006F6D1E">
              <w:rPr>
                <w:spacing w:val="-2"/>
              </w:rPr>
              <w:t>unkts</w:t>
            </w:r>
            <w:r w:rsidR="00F15682" w:rsidRPr="006F6D1E">
              <w:rPr>
                <w:spacing w:val="-2"/>
              </w:rPr>
              <w:t xml:space="preserve"> par noteikumu Nr. 124 2. punktu;</w:t>
            </w:r>
          </w:p>
          <w:p w14:paraId="2DD08EBB" w14:textId="48A57984" w:rsidR="00821081" w:rsidRPr="006F6D1E" w:rsidRDefault="00821081" w:rsidP="00821081">
            <w:pPr>
              <w:ind w:left="57"/>
              <w:rPr>
                <w:spacing w:val="-2"/>
              </w:rPr>
            </w:pPr>
            <w:r w:rsidRPr="006F6D1E">
              <w:rPr>
                <w:spacing w:val="-2"/>
              </w:rPr>
              <w:t>Grozījum</w:t>
            </w:r>
            <w:r w:rsidR="006305B5" w:rsidRPr="006F6D1E">
              <w:rPr>
                <w:spacing w:val="-2"/>
              </w:rPr>
              <w:t>u</w:t>
            </w:r>
            <w:r w:rsidRPr="006F6D1E">
              <w:rPr>
                <w:spacing w:val="-2"/>
              </w:rPr>
              <w:t xml:space="preserve"> noteikumos Nr.</w:t>
            </w:r>
            <w:r w:rsidR="006305B5" w:rsidRPr="006F6D1E">
              <w:rPr>
                <w:spacing w:val="-2"/>
              </w:rPr>
              <w:t> </w:t>
            </w:r>
            <w:r w:rsidRPr="006F6D1E">
              <w:rPr>
                <w:spacing w:val="-2"/>
              </w:rPr>
              <w:t xml:space="preserve">351 </w:t>
            </w:r>
            <w:r w:rsidR="0088692A" w:rsidRPr="006F6D1E">
              <w:rPr>
                <w:spacing w:val="-2"/>
              </w:rPr>
              <w:t>2</w:t>
            </w:r>
            <w:r w:rsidRPr="006F6D1E">
              <w:rPr>
                <w:spacing w:val="-2"/>
              </w:rPr>
              <w:t>.</w:t>
            </w:r>
            <w:r w:rsidR="006305B5" w:rsidRPr="006F6D1E">
              <w:rPr>
                <w:spacing w:val="-2"/>
              </w:rPr>
              <w:t> </w:t>
            </w:r>
            <w:r w:rsidRPr="006F6D1E">
              <w:rPr>
                <w:spacing w:val="-2"/>
              </w:rPr>
              <w:t>p</w:t>
            </w:r>
            <w:r w:rsidR="006305B5" w:rsidRPr="006F6D1E">
              <w:rPr>
                <w:spacing w:val="-2"/>
              </w:rPr>
              <w:t>unkts</w:t>
            </w:r>
            <w:r w:rsidR="00EB1171" w:rsidRPr="006F6D1E">
              <w:rPr>
                <w:spacing w:val="-2"/>
              </w:rPr>
              <w:t xml:space="preserve"> par noteikumu </w:t>
            </w:r>
            <w:r w:rsidR="006305B5" w:rsidRPr="006F6D1E">
              <w:rPr>
                <w:spacing w:val="-2"/>
              </w:rPr>
              <w:t>N</w:t>
            </w:r>
            <w:r w:rsidR="00EB1171" w:rsidRPr="006F6D1E">
              <w:rPr>
                <w:spacing w:val="-2"/>
              </w:rPr>
              <w:t>r. 351 2.1. apakšpunktu</w:t>
            </w:r>
            <w:r w:rsidR="00DA64BC" w:rsidRPr="006F6D1E">
              <w:rPr>
                <w:spacing w:val="-2"/>
              </w:rPr>
              <w:t>;</w:t>
            </w:r>
          </w:p>
          <w:p w14:paraId="31EBB8E4" w14:textId="36221705" w:rsidR="00821081" w:rsidRPr="006F6D1E" w:rsidRDefault="00821081" w:rsidP="00E3290D">
            <w:pPr>
              <w:ind w:left="57"/>
              <w:rPr>
                <w:spacing w:val="-2"/>
              </w:rPr>
            </w:pPr>
            <w:r w:rsidRPr="006F6D1E">
              <w:rPr>
                <w:spacing w:val="-2"/>
              </w:rPr>
              <w:t>Grozījum</w:t>
            </w:r>
            <w:r w:rsidR="006305B5" w:rsidRPr="006F6D1E">
              <w:rPr>
                <w:spacing w:val="-2"/>
              </w:rPr>
              <w:t>u</w:t>
            </w:r>
            <w:r w:rsidRPr="006F6D1E">
              <w:rPr>
                <w:spacing w:val="-2"/>
              </w:rPr>
              <w:t xml:space="preserve"> noteikumos Nr.</w:t>
            </w:r>
            <w:r w:rsidR="006305B5" w:rsidRPr="006F6D1E">
              <w:rPr>
                <w:spacing w:val="-2"/>
              </w:rPr>
              <w:t> </w:t>
            </w:r>
            <w:r w:rsidRPr="006F6D1E">
              <w:rPr>
                <w:spacing w:val="-2"/>
              </w:rPr>
              <w:t xml:space="preserve">320 </w:t>
            </w:r>
            <w:r w:rsidR="00F02991" w:rsidRPr="006F6D1E">
              <w:rPr>
                <w:spacing w:val="-2"/>
              </w:rPr>
              <w:t>1</w:t>
            </w:r>
            <w:r w:rsidRPr="006F6D1E">
              <w:rPr>
                <w:spacing w:val="-2"/>
              </w:rPr>
              <w:t>.</w:t>
            </w:r>
            <w:r w:rsidR="006305B5" w:rsidRPr="006F6D1E">
              <w:rPr>
                <w:spacing w:val="-2"/>
              </w:rPr>
              <w:t> </w:t>
            </w:r>
            <w:r w:rsidRPr="006F6D1E">
              <w:rPr>
                <w:spacing w:val="-2"/>
              </w:rPr>
              <w:t>p</w:t>
            </w:r>
            <w:r w:rsidR="006305B5" w:rsidRPr="006F6D1E">
              <w:rPr>
                <w:spacing w:val="-2"/>
              </w:rPr>
              <w:t>unkts</w:t>
            </w:r>
            <w:r w:rsidR="00F02991" w:rsidRPr="006F6D1E">
              <w:rPr>
                <w:spacing w:val="-2"/>
              </w:rPr>
              <w:t xml:space="preserve"> par noteikumu Nr. 320 2. punktu</w:t>
            </w:r>
            <w:r w:rsidR="00DA64BC" w:rsidRPr="006F6D1E">
              <w:rPr>
                <w:spacing w:val="-2"/>
              </w:rPr>
              <w:t>.</w:t>
            </w:r>
          </w:p>
        </w:tc>
        <w:tc>
          <w:tcPr>
            <w:tcW w:w="1191" w:type="pct"/>
            <w:gridSpan w:val="2"/>
          </w:tcPr>
          <w:p w14:paraId="3B20DB78" w14:textId="56C161A8" w:rsidR="00821081" w:rsidRPr="006F6D1E" w:rsidRDefault="00821081" w:rsidP="00821081">
            <w:pPr>
              <w:ind w:left="57"/>
            </w:pPr>
            <w:r w:rsidRPr="006F6D1E">
              <w:t>Tiks ieviesta pilnībā</w:t>
            </w:r>
            <w:r w:rsidR="001B3E57" w:rsidRPr="006F6D1E">
              <w:t>.</w:t>
            </w:r>
          </w:p>
        </w:tc>
        <w:tc>
          <w:tcPr>
            <w:tcW w:w="1270" w:type="pct"/>
          </w:tcPr>
          <w:p w14:paraId="76905FDC" w14:textId="44FC43DC" w:rsidR="00821081" w:rsidRPr="006F6D1E" w:rsidRDefault="00821081" w:rsidP="00821081">
            <w:pPr>
              <w:ind w:left="57"/>
            </w:pPr>
            <w:r w:rsidRPr="006F6D1E">
              <w:t>Neparedzēs stingrākas prasības.</w:t>
            </w:r>
          </w:p>
        </w:tc>
      </w:tr>
      <w:tr w:rsidR="00C866B4" w:rsidRPr="006F6D1E" w14:paraId="06F97CED" w14:textId="77777777" w:rsidTr="00F8013D">
        <w:trPr>
          <w:cantSplit/>
        </w:trPr>
        <w:tc>
          <w:tcPr>
            <w:tcW w:w="1119" w:type="pct"/>
          </w:tcPr>
          <w:p w14:paraId="03DA8EB6" w14:textId="7C0F5B52" w:rsidR="005762CA" w:rsidRPr="006F6D1E" w:rsidRDefault="005762CA" w:rsidP="005762CA">
            <w:r w:rsidRPr="006F6D1E">
              <w:t>Direktīvas 2005/36/EK 23.</w:t>
            </w:r>
            <w:r w:rsidR="003E7785" w:rsidRPr="006F6D1E">
              <w:t> </w:t>
            </w:r>
            <w:r w:rsidRPr="006F6D1E">
              <w:t>panta 1.</w:t>
            </w:r>
            <w:r w:rsidR="003E7785" w:rsidRPr="006F6D1E">
              <w:t> </w:t>
            </w:r>
            <w:r w:rsidRPr="006F6D1E">
              <w:t>punkts</w:t>
            </w:r>
          </w:p>
        </w:tc>
        <w:tc>
          <w:tcPr>
            <w:tcW w:w="1420" w:type="pct"/>
            <w:gridSpan w:val="2"/>
          </w:tcPr>
          <w:p w14:paraId="7C857F50" w14:textId="60C62F75" w:rsidR="005762CA" w:rsidRPr="006F6D1E" w:rsidRDefault="008F23C3" w:rsidP="005762CA">
            <w:pPr>
              <w:ind w:left="57"/>
              <w:rPr>
                <w:spacing w:val="-2"/>
              </w:rPr>
            </w:pPr>
            <w:r w:rsidRPr="006F6D1E">
              <w:rPr>
                <w:spacing w:val="-2"/>
              </w:rPr>
              <w:t>Grozījum</w:t>
            </w:r>
            <w:r w:rsidR="006305B5" w:rsidRPr="006F6D1E">
              <w:rPr>
                <w:spacing w:val="-2"/>
              </w:rPr>
              <w:t>u</w:t>
            </w:r>
            <w:r w:rsidRPr="006F6D1E">
              <w:rPr>
                <w:spacing w:val="-2"/>
              </w:rPr>
              <w:t xml:space="preserve"> noteikumos </w:t>
            </w:r>
            <w:r w:rsidR="005762CA" w:rsidRPr="006F6D1E">
              <w:rPr>
                <w:spacing w:val="-2"/>
              </w:rPr>
              <w:t>Nr.</w:t>
            </w:r>
            <w:r w:rsidR="006305B5" w:rsidRPr="006F6D1E">
              <w:rPr>
                <w:spacing w:val="-2"/>
              </w:rPr>
              <w:t> </w:t>
            </w:r>
            <w:r w:rsidR="005762CA" w:rsidRPr="006F6D1E">
              <w:rPr>
                <w:spacing w:val="-2"/>
              </w:rPr>
              <w:t>125</w:t>
            </w:r>
            <w:r w:rsidR="00EA0BC6" w:rsidRPr="006F6D1E">
              <w:rPr>
                <w:spacing w:val="-2"/>
              </w:rPr>
              <w:t xml:space="preserve"> 4</w:t>
            </w:r>
            <w:r w:rsidR="005762CA" w:rsidRPr="006F6D1E">
              <w:rPr>
                <w:spacing w:val="-2"/>
              </w:rPr>
              <w:t>.</w:t>
            </w:r>
            <w:r w:rsidR="006305B5" w:rsidRPr="006F6D1E">
              <w:rPr>
                <w:spacing w:val="-2"/>
              </w:rPr>
              <w:t> </w:t>
            </w:r>
            <w:r w:rsidR="005762CA" w:rsidRPr="006F6D1E">
              <w:rPr>
                <w:spacing w:val="-2"/>
              </w:rPr>
              <w:t>p</w:t>
            </w:r>
            <w:r w:rsidR="006305B5" w:rsidRPr="006F6D1E">
              <w:rPr>
                <w:spacing w:val="-2"/>
              </w:rPr>
              <w:t>unkts</w:t>
            </w:r>
            <w:r w:rsidR="00D22D7A" w:rsidRPr="006F6D1E">
              <w:rPr>
                <w:spacing w:val="-2"/>
              </w:rPr>
              <w:t>;</w:t>
            </w:r>
          </w:p>
          <w:p w14:paraId="37ADFB92" w14:textId="5D625192" w:rsidR="008F23C3" w:rsidRPr="006F6D1E" w:rsidRDefault="008F23C3" w:rsidP="005762CA">
            <w:pPr>
              <w:ind w:left="57"/>
              <w:rPr>
                <w:spacing w:val="-2"/>
              </w:rPr>
            </w:pPr>
            <w:r w:rsidRPr="006F6D1E">
              <w:rPr>
                <w:spacing w:val="-2"/>
              </w:rPr>
              <w:t>Grozījum</w:t>
            </w:r>
            <w:r w:rsidR="006305B5" w:rsidRPr="006F6D1E">
              <w:rPr>
                <w:spacing w:val="-2"/>
              </w:rPr>
              <w:t>u</w:t>
            </w:r>
            <w:r w:rsidRPr="006F6D1E">
              <w:rPr>
                <w:spacing w:val="-2"/>
              </w:rPr>
              <w:t xml:space="preserve"> noteikumos</w:t>
            </w:r>
            <w:r w:rsidR="00F8623D" w:rsidRPr="006F6D1E">
              <w:rPr>
                <w:spacing w:val="-2"/>
              </w:rPr>
              <w:t xml:space="preserve">  </w:t>
            </w:r>
            <w:r w:rsidRPr="006F6D1E">
              <w:rPr>
                <w:spacing w:val="-2"/>
              </w:rPr>
              <w:t xml:space="preserve"> Nr.</w:t>
            </w:r>
            <w:r w:rsidR="006305B5" w:rsidRPr="006F6D1E">
              <w:rPr>
                <w:spacing w:val="-2"/>
              </w:rPr>
              <w:t> </w:t>
            </w:r>
            <w:r w:rsidRPr="006F6D1E">
              <w:rPr>
                <w:spacing w:val="-2"/>
              </w:rPr>
              <w:t>124</w:t>
            </w:r>
            <w:r w:rsidR="00F8623D" w:rsidRPr="006F6D1E">
              <w:rPr>
                <w:spacing w:val="-2"/>
              </w:rPr>
              <w:t xml:space="preserve"> </w:t>
            </w:r>
            <w:r w:rsidR="00F15682" w:rsidRPr="006F6D1E">
              <w:rPr>
                <w:spacing w:val="-2"/>
              </w:rPr>
              <w:t>4</w:t>
            </w:r>
            <w:r w:rsidR="00F8623D" w:rsidRPr="006F6D1E">
              <w:rPr>
                <w:spacing w:val="-2"/>
              </w:rPr>
              <w:t>.</w:t>
            </w:r>
            <w:r w:rsidR="006305B5" w:rsidRPr="006F6D1E">
              <w:rPr>
                <w:spacing w:val="-2"/>
              </w:rPr>
              <w:t> </w:t>
            </w:r>
            <w:r w:rsidR="00F8623D" w:rsidRPr="006F6D1E">
              <w:rPr>
                <w:spacing w:val="-2"/>
              </w:rPr>
              <w:t>p</w:t>
            </w:r>
            <w:r w:rsidR="006305B5" w:rsidRPr="006F6D1E">
              <w:rPr>
                <w:spacing w:val="-2"/>
              </w:rPr>
              <w:t>unkts</w:t>
            </w:r>
            <w:r w:rsidR="00F15682" w:rsidRPr="006F6D1E">
              <w:rPr>
                <w:spacing w:val="-2"/>
              </w:rPr>
              <w:t xml:space="preserve"> par noteikumu Nr.</w:t>
            </w:r>
            <w:r w:rsidR="006305B5" w:rsidRPr="006F6D1E">
              <w:rPr>
                <w:spacing w:val="-2"/>
              </w:rPr>
              <w:t> </w:t>
            </w:r>
            <w:r w:rsidR="00F15682" w:rsidRPr="006F6D1E">
              <w:rPr>
                <w:spacing w:val="-2"/>
              </w:rPr>
              <w:t>124 5</w:t>
            </w:r>
            <w:r w:rsidRPr="006F6D1E">
              <w:rPr>
                <w:spacing w:val="-2"/>
              </w:rPr>
              <w:t>.</w:t>
            </w:r>
            <w:r w:rsidR="006305B5" w:rsidRPr="006F6D1E">
              <w:rPr>
                <w:spacing w:val="-2"/>
              </w:rPr>
              <w:t> </w:t>
            </w:r>
            <w:r w:rsidRPr="006F6D1E">
              <w:rPr>
                <w:spacing w:val="-2"/>
              </w:rPr>
              <w:t>punktu</w:t>
            </w:r>
            <w:r w:rsidR="00F15682" w:rsidRPr="006F6D1E">
              <w:rPr>
                <w:spacing w:val="-2"/>
              </w:rPr>
              <w:t>;</w:t>
            </w:r>
          </w:p>
          <w:p w14:paraId="34CE5D90" w14:textId="769A4692" w:rsidR="005762CA" w:rsidRPr="006F6D1E" w:rsidRDefault="002E5A01" w:rsidP="005762CA">
            <w:pPr>
              <w:ind w:left="57"/>
              <w:rPr>
                <w:spacing w:val="-2"/>
              </w:rPr>
            </w:pPr>
            <w:r w:rsidRPr="006F6D1E">
              <w:rPr>
                <w:spacing w:val="-2"/>
              </w:rPr>
              <w:t>Grozījum</w:t>
            </w:r>
            <w:r w:rsidR="006305B5" w:rsidRPr="006F6D1E">
              <w:rPr>
                <w:spacing w:val="-2"/>
              </w:rPr>
              <w:t>u</w:t>
            </w:r>
            <w:r w:rsidRPr="006F6D1E">
              <w:rPr>
                <w:spacing w:val="-2"/>
              </w:rPr>
              <w:t xml:space="preserve"> noteikumos   Nr.</w:t>
            </w:r>
            <w:r w:rsidR="006305B5" w:rsidRPr="006F6D1E">
              <w:rPr>
                <w:spacing w:val="-2"/>
              </w:rPr>
              <w:t> </w:t>
            </w:r>
            <w:r w:rsidRPr="006F6D1E">
              <w:rPr>
                <w:spacing w:val="-2"/>
              </w:rPr>
              <w:t xml:space="preserve">207 </w:t>
            </w:r>
            <w:r w:rsidR="00DA64BC" w:rsidRPr="006F6D1E">
              <w:rPr>
                <w:spacing w:val="-2"/>
              </w:rPr>
              <w:t>4., 8., 9.</w:t>
            </w:r>
            <w:r w:rsidR="006305B5" w:rsidRPr="006F6D1E">
              <w:rPr>
                <w:spacing w:val="-2"/>
              </w:rPr>
              <w:t> </w:t>
            </w:r>
            <w:r w:rsidRPr="006F6D1E">
              <w:rPr>
                <w:spacing w:val="-2"/>
              </w:rPr>
              <w:t>p</w:t>
            </w:r>
            <w:r w:rsidR="006305B5" w:rsidRPr="006F6D1E">
              <w:rPr>
                <w:spacing w:val="-2"/>
              </w:rPr>
              <w:t>unkts</w:t>
            </w:r>
            <w:r w:rsidRPr="006F6D1E">
              <w:rPr>
                <w:spacing w:val="-2"/>
              </w:rPr>
              <w:t xml:space="preserve"> par noteikumu Nr.</w:t>
            </w:r>
            <w:r w:rsidR="006305B5" w:rsidRPr="006F6D1E">
              <w:rPr>
                <w:spacing w:val="-2"/>
              </w:rPr>
              <w:t> </w:t>
            </w:r>
            <w:r w:rsidRPr="006F6D1E">
              <w:rPr>
                <w:spacing w:val="-2"/>
              </w:rPr>
              <w:t xml:space="preserve">207. </w:t>
            </w:r>
            <w:r w:rsidR="00DA64BC" w:rsidRPr="006F6D1E">
              <w:rPr>
                <w:spacing w:val="-2"/>
              </w:rPr>
              <w:t xml:space="preserve">5., </w:t>
            </w:r>
            <w:r w:rsidRPr="006F6D1E">
              <w:rPr>
                <w:spacing w:val="-2"/>
              </w:rPr>
              <w:t>11.</w:t>
            </w:r>
            <w:r w:rsidR="00050444" w:rsidRPr="006F6D1E">
              <w:rPr>
                <w:spacing w:val="-2"/>
              </w:rPr>
              <w:t>, 12.</w:t>
            </w:r>
            <w:r w:rsidR="006305B5" w:rsidRPr="006F6D1E">
              <w:rPr>
                <w:spacing w:val="-2"/>
              </w:rPr>
              <w:t> </w:t>
            </w:r>
            <w:r w:rsidRPr="006F6D1E">
              <w:rPr>
                <w:spacing w:val="-2"/>
              </w:rPr>
              <w:t>punktu</w:t>
            </w:r>
            <w:r w:rsidR="00BD49FB" w:rsidRPr="006F6D1E">
              <w:rPr>
                <w:spacing w:val="-2"/>
              </w:rPr>
              <w:t>;</w:t>
            </w:r>
          </w:p>
          <w:p w14:paraId="013C9293" w14:textId="600E50B0" w:rsidR="00EB1171" w:rsidRPr="006F6D1E" w:rsidRDefault="00EB1171" w:rsidP="005762CA">
            <w:pPr>
              <w:ind w:left="57"/>
              <w:rPr>
                <w:spacing w:val="-2"/>
              </w:rPr>
            </w:pPr>
            <w:r w:rsidRPr="006F6D1E">
              <w:rPr>
                <w:spacing w:val="-2"/>
              </w:rPr>
              <w:t>Grozījum</w:t>
            </w:r>
            <w:r w:rsidR="006305B5" w:rsidRPr="006F6D1E">
              <w:rPr>
                <w:spacing w:val="-2"/>
              </w:rPr>
              <w:t>u</w:t>
            </w:r>
            <w:r w:rsidRPr="006F6D1E">
              <w:rPr>
                <w:spacing w:val="-2"/>
              </w:rPr>
              <w:t xml:space="preserve"> noteikumos Nr. 351 </w:t>
            </w:r>
            <w:r w:rsidR="0088692A" w:rsidRPr="006F6D1E">
              <w:rPr>
                <w:spacing w:val="-2"/>
              </w:rPr>
              <w:t>5</w:t>
            </w:r>
            <w:r w:rsidRPr="006F6D1E">
              <w:rPr>
                <w:spacing w:val="-2"/>
              </w:rPr>
              <w:t>. p</w:t>
            </w:r>
            <w:r w:rsidR="006305B5" w:rsidRPr="006F6D1E">
              <w:rPr>
                <w:spacing w:val="-2"/>
              </w:rPr>
              <w:t>unkts</w:t>
            </w:r>
            <w:r w:rsidRPr="006F6D1E">
              <w:rPr>
                <w:spacing w:val="-2"/>
              </w:rPr>
              <w:t xml:space="preserve"> par noteikumu Nr. 351 5. punktu</w:t>
            </w:r>
            <w:r w:rsidR="00492D15" w:rsidRPr="006F6D1E">
              <w:rPr>
                <w:spacing w:val="-2"/>
              </w:rPr>
              <w:t>;</w:t>
            </w:r>
          </w:p>
          <w:p w14:paraId="72A19CB4" w14:textId="5EAF0DBE" w:rsidR="002E5A01" w:rsidRPr="006F6D1E" w:rsidRDefault="00BE2CB0" w:rsidP="00E3290D">
            <w:pPr>
              <w:ind w:left="57"/>
              <w:rPr>
                <w:spacing w:val="-2"/>
              </w:rPr>
            </w:pPr>
            <w:r w:rsidRPr="006F6D1E">
              <w:rPr>
                <w:spacing w:val="-2"/>
              </w:rPr>
              <w:t>Grozījum</w:t>
            </w:r>
            <w:r w:rsidR="006305B5" w:rsidRPr="006F6D1E">
              <w:rPr>
                <w:spacing w:val="-2"/>
              </w:rPr>
              <w:t>u</w:t>
            </w:r>
            <w:r w:rsidRPr="006F6D1E">
              <w:rPr>
                <w:spacing w:val="-2"/>
              </w:rPr>
              <w:t xml:space="preserve"> noteikumos Nr.</w:t>
            </w:r>
            <w:r w:rsidR="00A51B31" w:rsidRPr="006F6D1E">
              <w:rPr>
                <w:spacing w:val="-2"/>
              </w:rPr>
              <w:t> </w:t>
            </w:r>
            <w:r w:rsidRPr="006F6D1E">
              <w:rPr>
                <w:spacing w:val="-2"/>
              </w:rPr>
              <w:t>320 4.</w:t>
            </w:r>
            <w:r w:rsidR="006305B5" w:rsidRPr="006F6D1E">
              <w:rPr>
                <w:spacing w:val="-2"/>
              </w:rPr>
              <w:t xml:space="preserve"> </w:t>
            </w:r>
            <w:r w:rsidRPr="006F6D1E">
              <w:rPr>
                <w:spacing w:val="-2"/>
              </w:rPr>
              <w:t>p</w:t>
            </w:r>
            <w:r w:rsidR="006305B5" w:rsidRPr="006F6D1E">
              <w:rPr>
                <w:spacing w:val="-2"/>
              </w:rPr>
              <w:t>unkts</w:t>
            </w:r>
            <w:r w:rsidRPr="006F6D1E">
              <w:rPr>
                <w:spacing w:val="-2"/>
              </w:rPr>
              <w:t xml:space="preserve"> par noteikumu Nr.</w:t>
            </w:r>
            <w:r w:rsidR="006305B5" w:rsidRPr="006F6D1E">
              <w:rPr>
                <w:spacing w:val="-2"/>
              </w:rPr>
              <w:t xml:space="preserve"> </w:t>
            </w:r>
            <w:r w:rsidRPr="006F6D1E">
              <w:rPr>
                <w:spacing w:val="-2"/>
              </w:rPr>
              <w:t>320 5. punktu</w:t>
            </w:r>
            <w:r w:rsidR="00492D15" w:rsidRPr="006F6D1E">
              <w:rPr>
                <w:spacing w:val="-2"/>
              </w:rPr>
              <w:t>.</w:t>
            </w:r>
          </w:p>
        </w:tc>
        <w:tc>
          <w:tcPr>
            <w:tcW w:w="1191" w:type="pct"/>
            <w:gridSpan w:val="2"/>
          </w:tcPr>
          <w:p w14:paraId="3D059542" w14:textId="4B8C0C51" w:rsidR="005762CA" w:rsidRPr="006F6D1E" w:rsidRDefault="005762CA" w:rsidP="005762CA">
            <w:pPr>
              <w:ind w:left="57"/>
            </w:pPr>
            <w:r w:rsidRPr="006F6D1E">
              <w:t>Tiks ieviesta pilnībā</w:t>
            </w:r>
            <w:r w:rsidR="001B3E57" w:rsidRPr="006F6D1E">
              <w:t>.</w:t>
            </w:r>
          </w:p>
        </w:tc>
        <w:tc>
          <w:tcPr>
            <w:tcW w:w="1270" w:type="pct"/>
          </w:tcPr>
          <w:p w14:paraId="1A3BE629" w14:textId="1520B9E7" w:rsidR="005762CA" w:rsidRPr="006F6D1E" w:rsidRDefault="005762CA" w:rsidP="005762CA">
            <w:pPr>
              <w:ind w:left="57"/>
            </w:pPr>
            <w:r w:rsidRPr="006F6D1E">
              <w:t>Neparedzēs stingrākas prasības.</w:t>
            </w:r>
          </w:p>
        </w:tc>
      </w:tr>
      <w:tr w:rsidR="00741E41" w:rsidRPr="006F6D1E" w14:paraId="7288BF1C" w14:textId="77777777" w:rsidTr="00F8013D">
        <w:trPr>
          <w:cantSplit/>
        </w:trPr>
        <w:tc>
          <w:tcPr>
            <w:tcW w:w="1119" w:type="pct"/>
          </w:tcPr>
          <w:p w14:paraId="1754328C" w14:textId="37F142AF" w:rsidR="00741E41" w:rsidRPr="006F6D1E" w:rsidRDefault="00741E41" w:rsidP="00741E41">
            <w:r w:rsidRPr="006F6D1E">
              <w:t>Direktīvas 2005/36/EK 23. panta 2. punkta b) apakšpunkts</w:t>
            </w:r>
          </w:p>
        </w:tc>
        <w:tc>
          <w:tcPr>
            <w:tcW w:w="1420" w:type="pct"/>
            <w:gridSpan w:val="2"/>
          </w:tcPr>
          <w:p w14:paraId="1423E288" w14:textId="3D98156E" w:rsidR="00741E41" w:rsidRPr="006F6D1E" w:rsidRDefault="00741E41" w:rsidP="00741E41">
            <w:pPr>
              <w:ind w:left="57"/>
              <w:rPr>
                <w:spacing w:val="-2"/>
              </w:rPr>
            </w:pPr>
            <w:r w:rsidRPr="006F6D1E">
              <w:rPr>
                <w:spacing w:val="-2"/>
              </w:rPr>
              <w:t>Grozījumu noteikumos Nr. 207 10. punkts par noteikumu Nr. 207 14.2. apakšpunktu.</w:t>
            </w:r>
          </w:p>
        </w:tc>
        <w:tc>
          <w:tcPr>
            <w:tcW w:w="1191" w:type="pct"/>
            <w:gridSpan w:val="2"/>
          </w:tcPr>
          <w:p w14:paraId="3FB626D4" w14:textId="0E7AFF58" w:rsidR="00741E41" w:rsidRPr="006F6D1E" w:rsidRDefault="00741E41" w:rsidP="00741E41">
            <w:pPr>
              <w:ind w:left="57"/>
            </w:pPr>
            <w:r w:rsidRPr="006F6D1E">
              <w:t>Tiks ieviesta pilnībā.</w:t>
            </w:r>
          </w:p>
        </w:tc>
        <w:tc>
          <w:tcPr>
            <w:tcW w:w="1270" w:type="pct"/>
          </w:tcPr>
          <w:p w14:paraId="49FC63AD" w14:textId="1FA29967" w:rsidR="00741E41" w:rsidRPr="006F6D1E" w:rsidRDefault="00741E41" w:rsidP="00741E41">
            <w:pPr>
              <w:ind w:left="57"/>
            </w:pPr>
            <w:r w:rsidRPr="006F6D1E">
              <w:t>Neparedzēs stingrākas prasības.</w:t>
            </w:r>
          </w:p>
        </w:tc>
      </w:tr>
      <w:tr w:rsidR="00741E41" w:rsidRPr="006F6D1E" w14:paraId="34A83C96" w14:textId="77777777" w:rsidTr="00F8013D">
        <w:trPr>
          <w:cantSplit/>
        </w:trPr>
        <w:tc>
          <w:tcPr>
            <w:tcW w:w="1119" w:type="pct"/>
          </w:tcPr>
          <w:p w14:paraId="2575E2E0" w14:textId="20F0E525" w:rsidR="00741E41" w:rsidRPr="006F6D1E" w:rsidRDefault="00741E41" w:rsidP="00741E41">
            <w:r w:rsidRPr="006F6D1E">
              <w:lastRenderedPageBreak/>
              <w:t>Direktīvas 2005/36/EK 23. panta 5. punkts</w:t>
            </w:r>
          </w:p>
        </w:tc>
        <w:tc>
          <w:tcPr>
            <w:tcW w:w="1420" w:type="pct"/>
            <w:gridSpan w:val="2"/>
          </w:tcPr>
          <w:p w14:paraId="5493875E" w14:textId="77777777" w:rsidR="00741E41" w:rsidRPr="006F6D1E" w:rsidRDefault="00741E41" w:rsidP="00741E41">
            <w:pPr>
              <w:ind w:left="57"/>
              <w:rPr>
                <w:spacing w:val="-2"/>
              </w:rPr>
            </w:pPr>
            <w:r w:rsidRPr="006F6D1E">
              <w:rPr>
                <w:spacing w:val="-2"/>
              </w:rPr>
              <w:t>Grozījumu noteikumos Nr. 207 5. punkts par noteikumu Nr. 207 7.6. apakšpunktu;</w:t>
            </w:r>
          </w:p>
          <w:p w14:paraId="3ABD1391" w14:textId="7EFBD086" w:rsidR="00741E41" w:rsidRPr="006F6D1E" w:rsidRDefault="00741E41" w:rsidP="00741E41">
            <w:pPr>
              <w:ind w:left="57"/>
              <w:rPr>
                <w:spacing w:val="-2"/>
              </w:rPr>
            </w:pPr>
            <w:r w:rsidRPr="006F6D1E">
              <w:rPr>
                <w:spacing w:val="-2"/>
              </w:rPr>
              <w:t>Grozījumu noteikumos Nr. 125</w:t>
            </w:r>
            <w:r w:rsidR="009C4532" w:rsidRPr="006F6D1E">
              <w:rPr>
                <w:spacing w:val="-2"/>
              </w:rPr>
              <w:t xml:space="preserve"> 7. punkts</w:t>
            </w:r>
            <w:r w:rsidRPr="006F6D1E">
              <w:rPr>
                <w:spacing w:val="-2"/>
              </w:rPr>
              <w:t>;</w:t>
            </w:r>
          </w:p>
          <w:p w14:paraId="02A4632B" w14:textId="77777777" w:rsidR="00741E41" w:rsidRPr="006F6D1E" w:rsidRDefault="00741E41" w:rsidP="00741E41">
            <w:pPr>
              <w:ind w:left="57"/>
              <w:rPr>
                <w:spacing w:val="-2"/>
              </w:rPr>
            </w:pPr>
            <w:r w:rsidRPr="006F6D1E">
              <w:rPr>
                <w:spacing w:val="-2"/>
              </w:rPr>
              <w:t>Grozījumu noteikumos Nr. 149 7. punkts;</w:t>
            </w:r>
          </w:p>
          <w:p w14:paraId="777D12A7" w14:textId="77777777" w:rsidR="00741E41" w:rsidRPr="006F6D1E" w:rsidRDefault="00741E41" w:rsidP="00741E41">
            <w:pPr>
              <w:ind w:left="57"/>
              <w:rPr>
                <w:spacing w:val="-2"/>
              </w:rPr>
            </w:pPr>
            <w:r w:rsidRPr="006F6D1E">
              <w:rPr>
                <w:spacing w:val="-2"/>
              </w:rPr>
              <w:t>Grozījumu noteikumos Nr. 124 5. punkts par noteikumu Nr. 124 8.6. apakšpunktu;</w:t>
            </w:r>
          </w:p>
          <w:p w14:paraId="14418D0E" w14:textId="77777777" w:rsidR="00741E41" w:rsidRPr="006F6D1E" w:rsidRDefault="00741E41" w:rsidP="00741E41">
            <w:pPr>
              <w:ind w:left="57"/>
            </w:pPr>
            <w:r w:rsidRPr="006F6D1E">
              <w:rPr>
                <w:spacing w:val="-2"/>
              </w:rPr>
              <w:t>Grozījumu noteikumos Nr. 351 6. punkts par noteikumu Nr. 351 9.6. </w:t>
            </w:r>
            <w:r w:rsidRPr="006F6D1E">
              <w:t>apakšpunktu;</w:t>
            </w:r>
          </w:p>
          <w:p w14:paraId="368D6D2A" w14:textId="31CD0A5C" w:rsidR="00741E41" w:rsidRPr="006F6D1E" w:rsidRDefault="00741E41" w:rsidP="00741E41">
            <w:pPr>
              <w:ind w:left="57"/>
              <w:rPr>
                <w:spacing w:val="-2"/>
              </w:rPr>
            </w:pPr>
            <w:r w:rsidRPr="006F6D1E">
              <w:rPr>
                <w:spacing w:val="-2"/>
              </w:rPr>
              <w:t>Grozījumu noteikumos Nr. 320 5. punkts par noteikumu Nr. 320 8.6. apakšpunktu.</w:t>
            </w:r>
          </w:p>
        </w:tc>
        <w:tc>
          <w:tcPr>
            <w:tcW w:w="1191" w:type="pct"/>
            <w:gridSpan w:val="2"/>
          </w:tcPr>
          <w:p w14:paraId="6AA1AA2A" w14:textId="22132EB6" w:rsidR="00741E41" w:rsidRPr="006F6D1E" w:rsidRDefault="00741E41" w:rsidP="00741E41">
            <w:pPr>
              <w:ind w:left="57"/>
            </w:pPr>
            <w:r w:rsidRPr="006F6D1E">
              <w:t>Tiks ieviesta pilnībā.</w:t>
            </w:r>
          </w:p>
        </w:tc>
        <w:tc>
          <w:tcPr>
            <w:tcW w:w="1270" w:type="pct"/>
          </w:tcPr>
          <w:p w14:paraId="5709F927" w14:textId="54F3B3F0" w:rsidR="00741E41" w:rsidRPr="006F6D1E" w:rsidRDefault="00741E41" w:rsidP="00741E41">
            <w:pPr>
              <w:ind w:left="57"/>
            </w:pPr>
            <w:r w:rsidRPr="006F6D1E">
              <w:t>Neparedzēs stingrākas prasības.</w:t>
            </w:r>
          </w:p>
        </w:tc>
      </w:tr>
      <w:tr w:rsidR="00741E41" w:rsidRPr="006F6D1E" w14:paraId="3798E214" w14:textId="77777777" w:rsidTr="00F8013D">
        <w:trPr>
          <w:cantSplit/>
        </w:trPr>
        <w:tc>
          <w:tcPr>
            <w:tcW w:w="1119" w:type="pct"/>
          </w:tcPr>
          <w:p w14:paraId="2C9400D1" w14:textId="474E3F90" w:rsidR="00741E41" w:rsidRPr="006F6D1E" w:rsidRDefault="00741E41" w:rsidP="00741E41">
            <w:r w:rsidRPr="006F6D1E">
              <w:t>Direktīvas 2005/36/EK 23. panta 6. punkts</w:t>
            </w:r>
          </w:p>
        </w:tc>
        <w:tc>
          <w:tcPr>
            <w:tcW w:w="1420" w:type="pct"/>
            <w:gridSpan w:val="2"/>
          </w:tcPr>
          <w:p w14:paraId="70BDDF34" w14:textId="34ED660A" w:rsidR="00741E41" w:rsidRPr="006F6D1E" w:rsidRDefault="00741E41" w:rsidP="00741E41">
            <w:pPr>
              <w:ind w:left="57"/>
              <w:rPr>
                <w:spacing w:val="-2"/>
              </w:rPr>
            </w:pPr>
            <w:r w:rsidRPr="006F6D1E">
              <w:rPr>
                <w:spacing w:val="-2"/>
              </w:rPr>
              <w:t>Grozījumu noteikumos Nr. 125 2. punkts;</w:t>
            </w:r>
          </w:p>
          <w:p w14:paraId="72CF7127" w14:textId="14C541D2" w:rsidR="00741E41" w:rsidRPr="006F6D1E" w:rsidRDefault="00741E41" w:rsidP="00741E41">
            <w:pPr>
              <w:ind w:left="57"/>
              <w:rPr>
                <w:spacing w:val="-2"/>
              </w:rPr>
            </w:pPr>
            <w:r w:rsidRPr="006F6D1E">
              <w:rPr>
                <w:spacing w:val="-2"/>
              </w:rPr>
              <w:t>Grozījumu noteikumos Nr. 124 2. punkts par noteikumu Nr. 124 3. punktu;</w:t>
            </w:r>
          </w:p>
          <w:p w14:paraId="570DF365" w14:textId="73A6B425" w:rsidR="00741E41" w:rsidRPr="006F6D1E" w:rsidRDefault="00741E41" w:rsidP="00741E41">
            <w:pPr>
              <w:ind w:left="57"/>
              <w:rPr>
                <w:spacing w:val="-2"/>
              </w:rPr>
            </w:pPr>
            <w:r w:rsidRPr="006F6D1E">
              <w:rPr>
                <w:spacing w:val="-2"/>
              </w:rPr>
              <w:t>Grozījumu noteikumos Nr. 207 6. punkts par noteikumu Nr. 207 9. punktu;</w:t>
            </w:r>
          </w:p>
          <w:p w14:paraId="658B25C6" w14:textId="4C4A2191" w:rsidR="00741E41" w:rsidRPr="006F6D1E" w:rsidRDefault="00741E41" w:rsidP="00741E41">
            <w:pPr>
              <w:ind w:left="57"/>
              <w:rPr>
                <w:spacing w:val="-2"/>
              </w:rPr>
            </w:pPr>
            <w:r w:rsidRPr="006F6D1E">
              <w:rPr>
                <w:spacing w:val="-2"/>
              </w:rPr>
              <w:t>Grozījumu noteikumos Nr. 149 3. punkts;</w:t>
            </w:r>
          </w:p>
          <w:p w14:paraId="1788768D" w14:textId="5997F6D9" w:rsidR="00741E41" w:rsidRPr="006F6D1E" w:rsidRDefault="00741E41" w:rsidP="00741E41">
            <w:pPr>
              <w:ind w:left="57"/>
              <w:rPr>
                <w:spacing w:val="-2"/>
              </w:rPr>
            </w:pPr>
            <w:r w:rsidRPr="006F6D1E">
              <w:rPr>
                <w:spacing w:val="-2"/>
              </w:rPr>
              <w:t>Grozījumu noteikumos Nr. 351 3. punkts par noteikumu Nr. 351 3. punktu;</w:t>
            </w:r>
          </w:p>
          <w:p w14:paraId="44F00C98" w14:textId="0B53DA7C" w:rsidR="00741E41" w:rsidRPr="006F6D1E" w:rsidRDefault="00741E41" w:rsidP="00741E41">
            <w:pPr>
              <w:ind w:left="57"/>
              <w:rPr>
                <w:spacing w:val="-2"/>
              </w:rPr>
            </w:pPr>
            <w:r w:rsidRPr="006F6D1E">
              <w:rPr>
                <w:spacing w:val="-2"/>
              </w:rPr>
              <w:t>Grozījumu noteikumos Nr. 320 2. punkts par noteikumu Nr. 320 3. punktu.</w:t>
            </w:r>
          </w:p>
        </w:tc>
        <w:tc>
          <w:tcPr>
            <w:tcW w:w="1191" w:type="pct"/>
            <w:gridSpan w:val="2"/>
          </w:tcPr>
          <w:p w14:paraId="482005AD" w14:textId="7EBD9F0F" w:rsidR="00741E41" w:rsidRPr="006F6D1E" w:rsidRDefault="00741E41" w:rsidP="00741E41">
            <w:pPr>
              <w:ind w:left="57"/>
            </w:pPr>
            <w:r w:rsidRPr="006F6D1E">
              <w:t>Tiks ieviesta pilnībā.</w:t>
            </w:r>
          </w:p>
        </w:tc>
        <w:tc>
          <w:tcPr>
            <w:tcW w:w="1270" w:type="pct"/>
          </w:tcPr>
          <w:p w14:paraId="0F868B40" w14:textId="016F0030" w:rsidR="00741E41" w:rsidRPr="006F6D1E" w:rsidRDefault="00741E41" w:rsidP="00741E41">
            <w:pPr>
              <w:ind w:left="57"/>
            </w:pPr>
            <w:r w:rsidRPr="006F6D1E">
              <w:t>Neparedzēs stingrākas prasības.</w:t>
            </w:r>
          </w:p>
        </w:tc>
      </w:tr>
      <w:tr w:rsidR="00741E41" w:rsidRPr="006F6D1E" w14:paraId="0EECBE9F" w14:textId="77777777" w:rsidTr="00F8013D">
        <w:trPr>
          <w:cantSplit/>
        </w:trPr>
        <w:tc>
          <w:tcPr>
            <w:tcW w:w="1119" w:type="pct"/>
          </w:tcPr>
          <w:p w14:paraId="621A43DF" w14:textId="1839A2A9" w:rsidR="00741E41" w:rsidRPr="006F6D1E" w:rsidRDefault="00741E41" w:rsidP="00741E41">
            <w:r w:rsidRPr="006F6D1E">
              <w:t>Direktīvas 2005/36/EK 30. panta 2. punkts</w:t>
            </w:r>
          </w:p>
        </w:tc>
        <w:tc>
          <w:tcPr>
            <w:tcW w:w="1420" w:type="pct"/>
            <w:gridSpan w:val="2"/>
          </w:tcPr>
          <w:p w14:paraId="24AAB075" w14:textId="7621E823" w:rsidR="00741E41" w:rsidRPr="006F6D1E" w:rsidRDefault="00741E41" w:rsidP="00741E41">
            <w:pPr>
              <w:ind w:left="57"/>
              <w:rPr>
                <w:spacing w:val="-2"/>
              </w:rPr>
            </w:pPr>
            <w:r w:rsidRPr="006F6D1E">
              <w:rPr>
                <w:spacing w:val="-2"/>
              </w:rPr>
              <w:t>Grozījumu noteikumos Nr. 207 11. punkts par noteikumu Nr. 207 16.</w:t>
            </w:r>
            <w:r w:rsidRPr="006F6D1E">
              <w:rPr>
                <w:spacing w:val="-2"/>
                <w:vertAlign w:val="superscript"/>
              </w:rPr>
              <w:t>1</w:t>
            </w:r>
            <w:r w:rsidRPr="006F6D1E">
              <w:rPr>
                <w:spacing w:val="-2"/>
              </w:rPr>
              <w:t> punktu.</w:t>
            </w:r>
          </w:p>
        </w:tc>
        <w:tc>
          <w:tcPr>
            <w:tcW w:w="1191" w:type="pct"/>
            <w:gridSpan w:val="2"/>
          </w:tcPr>
          <w:p w14:paraId="4340484D" w14:textId="0DD37024" w:rsidR="00741E41" w:rsidRPr="006F6D1E" w:rsidRDefault="00741E41" w:rsidP="00741E41">
            <w:pPr>
              <w:ind w:left="57"/>
            </w:pPr>
            <w:r w:rsidRPr="006F6D1E">
              <w:t>Tiks ieviesta pilnībā.</w:t>
            </w:r>
          </w:p>
        </w:tc>
        <w:tc>
          <w:tcPr>
            <w:tcW w:w="1270" w:type="pct"/>
          </w:tcPr>
          <w:p w14:paraId="14229CF9" w14:textId="0381DE70" w:rsidR="00741E41" w:rsidRPr="006F6D1E" w:rsidRDefault="00741E41" w:rsidP="00741E41">
            <w:pPr>
              <w:ind w:left="57"/>
            </w:pPr>
            <w:r w:rsidRPr="006F6D1E">
              <w:t>Neparedzēs stingrākas prasības.</w:t>
            </w:r>
          </w:p>
        </w:tc>
      </w:tr>
      <w:tr w:rsidR="00741E41" w:rsidRPr="006F6D1E" w14:paraId="5CE5E055" w14:textId="77777777" w:rsidTr="00F8013D">
        <w:trPr>
          <w:cantSplit/>
        </w:trPr>
        <w:tc>
          <w:tcPr>
            <w:tcW w:w="1119" w:type="pct"/>
          </w:tcPr>
          <w:p w14:paraId="163045EB" w14:textId="2A229A52" w:rsidR="00741E41" w:rsidRPr="006F6D1E" w:rsidRDefault="00741E41" w:rsidP="00741E41">
            <w:r w:rsidRPr="006F6D1E">
              <w:t>Direktīvas 2005/36/EK 37. panta 1. punkts</w:t>
            </w:r>
          </w:p>
        </w:tc>
        <w:tc>
          <w:tcPr>
            <w:tcW w:w="1420" w:type="pct"/>
            <w:gridSpan w:val="2"/>
          </w:tcPr>
          <w:p w14:paraId="54F7140C" w14:textId="6275CC11" w:rsidR="00741E41" w:rsidRPr="006F6D1E" w:rsidRDefault="00741E41" w:rsidP="00D22D7A">
            <w:pPr>
              <w:ind w:left="57"/>
              <w:rPr>
                <w:spacing w:val="-2"/>
              </w:rPr>
            </w:pPr>
            <w:r w:rsidRPr="006F6D1E">
              <w:rPr>
                <w:spacing w:val="-2"/>
              </w:rPr>
              <w:t>Grozījumu noteikumos Nr. 125 8., 10.</w:t>
            </w:r>
            <w:r w:rsidR="009023FD" w:rsidRPr="006F6D1E">
              <w:rPr>
                <w:spacing w:val="-2"/>
              </w:rPr>
              <w:t xml:space="preserve"> un 11.</w:t>
            </w:r>
            <w:r w:rsidRPr="006F6D1E">
              <w:rPr>
                <w:spacing w:val="-2"/>
              </w:rPr>
              <w:t xml:space="preserve"> punkts.</w:t>
            </w:r>
          </w:p>
        </w:tc>
        <w:tc>
          <w:tcPr>
            <w:tcW w:w="1191" w:type="pct"/>
            <w:gridSpan w:val="2"/>
          </w:tcPr>
          <w:p w14:paraId="25C8FBBC" w14:textId="6BD5BBBE" w:rsidR="00741E41" w:rsidRPr="006F6D1E" w:rsidRDefault="00741E41" w:rsidP="00741E41">
            <w:pPr>
              <w:ind w:left="57"/>
            </w:pPr>
            <w:r w:rsidRPr="006F6D1E">
              <w:t>Tiks ieviesta pilnībā.</w:t>
            </w:r>
          </w:p>
        </w:tc>
        <w:tc>
          <w:tcPr>
            <w:tcW w:w="1270" w:type="pct"/>
          </w:tcPr>
          <w:p w14:paraId="2A6E19F0" w14:textId="22D7D237" w:rsidR="00741E41" w:rsidRPr="006F6D1E" w:rsidRDefault="00741E41" w:rsidP="00741E41">
            <w:pPr>
              <w:ind w:left="57"/>
            </w:pPr>
            <w:r w:rsidRPr="006F6D1E">
              <w:t>Neparedzēs stingrākas prasības.</w:t>
            </w:r>
          </w:p>
        </w:tc>
      </w:tr>
      <w:tr w:rsidR="00741E41" w:rsidRPr="006F6D1E" w14:paraId="19FC5037" w14:textId="77777777" w:rsidTr="00F8013D">
        <w:trPr>
          <w:cantSplit/>
        </w:trPr>
        <w:tc>
          <w:tcPr>
            <w:tcW w:w="1119" w:type="pct"/>
          </w:tcPr>
          <w:p w14:paraId="52AE68FC" w14:textId="34921BF5" w:rsidR="00741E41" w:rsidRPr="006F6D1E" w:rsidRDefault="00741E41" w:rsidP="00741E41">
            <w:r w:rsidRPr="006F6D1E">
              <w:lastRenderedPageBreak/>
              <w:t>Direktīvas 2005/36/EK 37. panta 2. punkts</w:t>
            </w:r>
          </w:p>
        </w:tc>
        <w:tc>
          <w:tcPr>
            <w:tcW w:w="1420" w:type="pct"/>
            <w:gridSpan w:val="2"/>
          </w:tcPr>
          <w:p w14:paraId="07FE77BF" w14:textId="6AC9D3F2" w:rsidR="00741E41" w:rsidRPr="006F6D1E" w:rsidRDefault="00741E41" w:rsidP="007716F1">
            <w:pPr>
              <w:ind w:left="57"/>
              <w:rPr>
                <w:spacing w:val="-2"/>
              </w:rPr>
            </w:pPr>
            <w:r w:rsidRPr="006F6D1E">
              <w:rPr>
                <w:spacing w:val="-2"/>
              </w:rPr>
              <w:t>Grozījumu noteikumos Nr. 125 9. punkts.</w:t>
            </w:r>
          </w:p>
        </w:tc>
        <w:tc>
          <w:tcPr>
            <w:tcW w:w="1191" w:type="pct"/>
            <w:gridSpan w:val="2"/>
          </w:tcPr>
          <w:p w14:paraId="484498F4" w14:textId="6F74B878" w:rsidR="00741E41" w:rsidRPr="006F6D1E" w:rsidRDefault="00741E41" w:rsidP="00741E41">
            <w:pPr>
              <w:ind w:left="57"/>
            </w:pPr>
            <w:r w:rsidRPr="006F6D1E">
              <w:t>Tiks ieviesta pilnībā.</w:t>
            </w:r>
          </w:p>
        </w:tc>
        <w:tc>
          <w:tcPr>
            <w:tcW w:w="1270" w:type="pct"/>
          </w:tcPr>
          <w:p w14:paraId="0AAC95D2" w14:textId="2CDB9705" w:rsidR="00741E41" w:rsidRPr="006F6D1E" w:rsidRDefault="00741E41" w:rsidP="00741E41">
            <w:pPr>
              <w:ind w:left="57"/>
            </w:pPr>
            <w:r w:rsidRPr="006F6D1E">
              <w:t>Neparedzēs stingrākas prasības.</w:t>
            </w:r>
          </w:p>
        </w:tc>
      </w:tr>
      <w:tr w:rsidR="00F3269F" w:rsidRPr="006F6D1E" w14:paraId="4AE98472" w14:textId="77777777" w:rsidTr="00F8013D">
        <w:trPr>
          <w:cantSplit/>
        </w:trPr>
        <w:tc>
          <w:tcPr>
            <w:tcW w:w="1119" w:type="pct"/>
          </w:tcPr>
          <w:p w14:paraId="41A75E20" w14:textId="77B91670" w:rsidR="00F3269F" w:rsidRPr="006F6D1E" w:rsidRDefault="00F3269F" w:rsidP="00F3269F">
            <w:r w:rsidRPr="006F6D1E">
              <w:t>Direktīvas 2005/36/EK 37. panta 3. punkts</w:t>
            </w:r>
          </w:p>
        </w:tc>
        <w:tc>
          <w:tcPr>
            <w:tcW w:w="1420" w:type="pct"/>
            <w:gridSpan w:val="2"/>
          </w:tcPr>
          <w:p w14:paraId="4CD2D428" w14:textId="5D6C9526" w:rsidR="00F3269F" w:rsidRPr="006F6D1E" w:rsidRDefault="00F3269F" w:rsidP="007716F1">
            <w:pPr>
              <w:ind w:left="57"/>
              <w:rPr>
                <w:spacing w:val="-2"/>
              </w:rPr>
            </w:pPr>
            <w:r w:rsidRPr="006F6D1E">
              <w:rPr>
                <w:spacing w:val="-2"/>
              </w:rPr>
              <w:t>Grozījumu noteikumos Nr. 125 5. punkts</w:t>
            </w:r>
            <w:r w:rsidR="007716F1" w:rsidRPr="006F6D1E">
              <w:rPr>
                <w:spacing w:val="-2"/>
              </w:rPr>
              <w:t>.</w:t>
            </w:r>
          </w:p>
        </w:tc>
        <w:tc>
          <w:tcPr>
            <w:tcW w:w="1191" w:type="pct"/>
            <w:gridSpan w:val="2"/>
          </w:tcPr>
          <w:p w14:paraId="4F21D6E6" w14:textId="708BA736" w:rsidR="00F3269F" w:rsidRPr="006F6D1E" w:rsidRDefault="00F3269F" w:rsidP="00F3269F">
            <w:pPr>
              <w:ind w:left="57"/>
            </w:pPr>
            <w:r w:rsidRPr="006F6D1E">
              <w:t>Tiks ieviesta pilnībā.</w:t>
            </w:r>
          </w:p>
        </w:tc>
        <w:tc>
          <w:tcPr>
            <w:tcW w:w="1270" w:type="pct"/>
          </w:tcPr>
          <w:p w14:paraId="603E239F" w14:textId="389AAAEB" w:rsidR="00F3269F" w:rsidRPr="006F6D1E" w:rsidRDefault="00F3269F" w:rsidP="00F3269F">
            <w:pPr>
              <w:ind w:left="57"/>
            </w:pPr>
            <w:r w:rsidRPr="006F6D1E">
              <w:t>Neparedzēs stingrākas prasības.</w:t>
            </w:r>
          </w:p>
        </w:tc>
      </w:tr>
      <w:tr w:rsidR="00F3269F" w:rsidRPr="006F6D1E" w14:paraId="5A8A2F6E" w14:textId="77777777" w:rsidTr="00F8013D">
        <w:trPr>
          <w:cantSplit/>
        </w:trPr>
        <w:tc>
          <w:tcPr>
            <w:tcW w:w="1119" w:type="pct"/>
          </w:tcPr>
          <w:p w14:paraId="6EE620F1" w14:textId="563B18B9" w:rsidR="00F3269F" w:rsidRPr="006F6D1E" w:rsidRDefault="00F3269F" w:rsidP="00F3269F">
            <w:r w:rsidRPr="006F6D1E">
              <w:t>Direktīvas 2005/36/EK 41. panta 1. punkta b) apakšpunkts</w:t>
            </w:r>
          </w:p>
        </w:tc>
        <w:tc>
          <w:tcPr>
            <w:tcW w:w="1420" w:type="pct"/>
            <w:gridSpan w:val="2"/>
          </w:tcPr>
          <w:p w14:paraId="0D8AB48A" w14:textId="185A7C2A" w:rsidR="00F3269F" w:rsidRPr="006F6D1E" w:rsidRDefault="00F3269F" w:rsidP="00F3269F">
            <w:pPr>
              <w:ind w:left="57"/>
              <w:rPr>
                <w:spacing w:val="-2"/>
              </w:rPr>
            </w:pPr>
            <w:r w:rsidRPr="006F6D1E">
              <w:rPr>
                <w:spacing w:val="-2"/>
              </w:rPr>
              <w:t>Grozījumu noteikumos Nr. 149 2. punkts.</w:t>
            </w:r>
          </w:p>
        </w:tc>
        <w:tc>
          <w:tcPr>
            <w:tcW w:w="1191" w:type="pct"/>
            <w:gridSpan w:val="2"/>
          </w:tcPr>
          <w:p w14:paraId="1D3CD6B2" w14:textId="65C1A4F3" w:rsidR="00F3269F" w:rsidRPr="006F6D1E" w:rsidRDefault="00F3269F" w:rsidP="00F3269F">
            <w:pPr>
              <w:ind w:left="57"/>
            </w:pPr>
            <w:r w:rsidRPr="006F6D1E">
              <w:t>Tiks ieviesta pilnībā.</w:t>
            </w:r>
          </w:p>
        </w:tc>
        <w:tc>
          <w:tcPr>
            <w:tcW w:w="1270" w:type="pct"/>
          </w:tcPr>
          <w:p w14:paraId="420525DC" w14:textId="01C165E6" w:rsidR="00F3269F" w:rsidRPr="006F6D1E" w:rsidRDefault="00F3269F" w:rsidP="00F3269F">
            <w:pPr>
              <w:ind w:left="57"/>
            </w:pPr>
            <w:r w:rsidRPr="006F6D1E">
              <w:t>Neparedzēs stingrākas prasības.</w:t>
            </w:r>
          </w:p>
        </w:tc>
      </w:tr>
      <w:tr w:rsidR="00F3269F" w:rsidRPr="006F6D1E" w14:paraId="585749FD" w14:textId="77777777" w:rsidTr="00F8013D">
        <w:trPr>
          <w:cantSplit/>
        </w:trPr>
        <w:tc>
          <w:tcPr>
            <w:tcW w:w="1119" w:type="pct"/>
          </w:tcPr>
          <w:p w14:paraId="2852E1EA" w14:textId="2FED1BD2" w:rsidR="00F3269F" w:rsidRPr="006F6D1E" w:rsidRDefault="00F3269F" w:rsidP="00F3269F">
            <w:r w:rsidRPr="006F6D1E">
              <w:t>Direktīvas 2005/36/EK 41. panta 1. punkta c) apakšpunkts</w:t>
            </w:r>
          </w:p>
        </w:tc>
        <w:tc>
          <w:tcPr>
            <w:tcW w:w="1420" w:type="pct"/>
            <w:gridSpan w:val="2"/>
          </w:tcPr>
          <w:p w14:paraId="0EB19BB6" w14:textId="7641D9B0" w:rsidR="00F3269F" w:rsidRPr="006F6D1E" w:rsidRDefault="00F3269F" w:rsidP="00F3269F">
            <w:pPr>
              <w:ind w:left="57"/>
              <w:rPr>
                <w:spacing w:val="-2"/>
              </w:rPr>
            </w:pPr>
            <w:r w:rsidRPr="006F6D1E">
              <w:rPr>
                <w:spacing w:val="-2"/>
              </w:rPr>
              <w:t>Grozījumu noteikumos Nr. 149 2. punkts.</w:t>
            </w:r>
          </w:p>
        </w:tc>
        <w:tc>
          <w:tcPr>
            <w:tcW w:w="1191" w:type="pct"/>
            <w:gridSpan w:val="2"/>
          </w:tcPr>
          <w:p w14:paraId="4EAF5674" w14:textId="50E1ECA5" w:rsidR="00F3269F" w:rsidRPr="006F6D1E" w:rsidRDefault="00F3269F" w:rsidP="00F3269F">
            <w:pPr>
              <w:ind w:left="57"/>
            </w:pPr>
            <w:r w:rsidRPr="006F6D1E">
              <w:t>Tiks ieviesta pilnībā.</w:t>
            </w:r>
          </w:p>
        </w:tc>
        <w:tc>
          <w:tcPr>
            <w:tcW w:w="1270" w:type="pct"/>
          </w:tcPr>
          <w:p w14:paraId="379488F7" w14:textId="1F9FBFF6" w:rsidR="00F3269F" w:rsidRPr="006F6D1E" w:rsidRDefault="00F3269F" w:rsidP="00F3269F">
            <w:pPr>
              <w:ind w:left="57"/>
            </w:pPr>
            <w:r w:rsidRPr="006F6D1E">
              <w:t>Neparedzēs stingrākas prasības.</w:t>
            </w:r>
          </w:p>
        </w:tc>
      </w:tr>
      <w:tr w:rsidR="00F3269F" w:rsidRPr="006F6D1E" w14:paraId="12781D2B" w14:textId="77777777" w:rsidTr="00F8013D">
        <w:trPr>
          <w:cantSplit/>
        </w:trPr>
        <w:tc>
          <w:tcPr>
            <w:tcW w:w="1119" w:type="pct"/>
          </w:tcPr>
          <w:p w14:paraId="480C00A6" w14:textId="5D721533" w:rsidR="00F3269F" w:rsidRPr="006F6D1E" w:rsidRDefault="00F3269F" w:rsidP="00F3269F">
            <w:r w:rsidRPr="006F6D1E">
              <w:t>Direktīvas 2005/36/EK 43. panta 1. punkts</w:t>
            </w:r>
          </w:p>
        </w:tc>
        <w:tc>
          <w:tcPr>
            <w:tcW w:w="1420" w:type="pct"/>
            <w:gridSpan w:val="2"/>
          </w:tcPr>
          <w:p w14:paraId="0F81BC9F" w14:textId="5A725C64" w:rsidR="00F3269F" w:rsidRPr="006F6D1E" w:rsidRDefault="00F3269F" w:rsidP="00F3269F">
            <w:pPr>
              <w:ind w:left="57"/>
              <w:rPr>
                <w:spacing w:val="-2"/>
              </w:rPr>
            </w:pPr>
            <w:r w:rsidRPr="006F6D1E">
              <w:rPr>
                <w:spacing w:val="-2"/>
              </w:rPr>
              <w:t>Grozījumu noteikumos Nr. 149 4. punkts.</w:t>
            </w:r>
          </w:p>
        </w:tc>
        <w:tc>
          <w:tcPr>
            <w:tcW w:w="1191" w:type="pct"/>
            <w:gridSpan w:val="2"/>
          </w:tcPr>
          <w:p w14:paraId="7F2DCAD8" w14:textId="06406524" w:rsidR="00F3269F" w:rsidRPr="006F6D1E" w:rsidRDefault="00F3269F" w:rsidP="00F3269F">
            <w:pPr>
              <w:ind w:left="57"/>
            </w:pPr>
            <w:r w:rsidRPr="006F6D1E">
              <w:t>Tiks ieviesta pilnībā.</w:t>
            </w:r>
          </w:p>
        </w:tc>
        <w:tc>
          <w:tcPr>
            <w:tcW w:w="1270" w:type="pct"/>
          </w:tcPr>
          <w:p w14:paraId="1ACBAB52" w14:textId="28122BFF" w:rsidR="00F3269F" w:rsidRPr="006F6D1E" w:rsidRDefault="00F3269F" w:rsidP="00F3269F">
            <w:pPr>
              <w:ind w:left="57"/>
            </w:pPr>
            <w:r w:rsidRPr="006F6D1E">
              <w:t>Neparedzēs stingrākas prasības.</w:t>
            </w:r>
          </w:p>
        </w:tc>
      </w:tr>
      <w:tr w:rsidR="00EB2E30" w:rsidRPr="006F6D1E" w14:paraId="53393AB8" w14:textId="77777777" w:rsidTr="00F8013D">
        <w:trPr>
          <w:cantSplit/>
        </w:trPr>
        <w:tc>
          <w:tcPr>
            <w:tcW w:w="1119" w:type="pct"/>
          </w:tcPr>
          <w:p w14:paraId="229D3AF5" w14:textId="1CAC744D" w:rsidR="00EB2E30" w:rsidRPr="006F6D1E" w:rsidRDefault="00EB2E30" w:rsidP="00EB2E30">
            <w:r w:rsidRPr="006F6D1E">
              <w:t>Deleģētā lēmuma 1. pants, pielikuma 1.punkts</w:t>
            </w:r>
          </w:p>
        </w:tc>
        <w:tc>
          <w:tcPr>
            <w:tcW w:w="1420" w:type="pct"/>
            <w:gridSpan w:val="2"/>
          </w:tcPr>
          <w:p w14:paraId="04EB7FB5" w14:textId="1EF670BC" w:rsidR="00EB2E30" w:rsidRPr="006F6D1E" w:rsidRDefault="00EB2E30" w:rsidP="00EB2E30">
            <w:pPr>
              <w:ind w:left="57"/>
              <w:rPr>
                <w:spacing w:val="-2"/>
              </w:rPr>
            </w:pPr>
            <w:r w:rsidRPr="006F6D1E">
              <w:rPr>
                <w:spacing w:val="-2"/>
              </w:rPr>
              <w:t>Grozījumu noteikumos Nr. 207 12., 13., 14., 15., 16., 17., 18., 19., 20. punkts.</w:t>
            </w:r>
          </w:p>
        </w:tc>
        <w:tc>
          <w:tcPr>
            <w:tcW w:w="1191" w:type="pct"/>
            <w:gridSpan w:val="2"/>
          </w:tcPr>
          <w:p w14:paraId="598EE6CB" w14:textId="6F4FB010" w:rsidR="00EB2E30" w:rsidRPr="006F6D1E" w:rsidRDefault="00EB2E30" w:rsidP="00EB2E30">
            <w:pPr>
              <w:ind w:left="57"/>
            </w:pPr>
            <w:r w:rsidRPr="006F6D1E">
              <w:t>Tiks ieviesta pilnībā.</w:t>
            </w:r>
          </w:p>
        </w:tc>
        <w:tc>
          <w:tcPr>
            <w:tcW w:w="1270" w:type="pct"/>
          </w:tcPr>
          <w:p w14:paraId="5A38E1BF" w14:textId="5F2258DC" w:rsidR="00EB2E30" w:rsidRPr="006F6D1E" w:rsidRDefault="00EB2E30" w:rsidP="00EB2E30">
            <w:pPr>
              <w:ind w:left="57"/>
            </w:pPr>
            <w:r w:rsidRPr="006F6D1E">
              <w:t>Neparedzēs stingrākas prasības.</w:t>
            </w:r>
          </w:p>
        </w:tc>
      </w:tr>
      <w:tr w:rsidR="00EB2E30" w:rsidRPr="006F6D1E" w14:paraId="458C1AC8" w14:textId="77777777" w:rsidTr="00F8013D">
        <w:trPr>
          <w:cantSplit/>
        </w:trPr>
        <w:tc>
          <w:tcPr>
            <w:tcW w:w="1119" w:type="pct"/>
          </w:tcPr>
          <w:p w14:paraId="135753F5" w14:textId="43B7E449" w:rsidR="00EB2E30" w:rsidRPr="006F6D1E" w:rsidRDefault="00EB2E30" w:rsidP="00EB2E30">
            <w:r w:rsidRPr="006F6D1E">
              <w:t xml:space="preserve">Deleģētā lēmuma 1. pants, pielikuma 1.punkts </w:t>
            </w:r>
          </w:p>
        </w:tc>
        <w:tc>
          <w:tcPr>
            <w:tcW w:w="1420" w:type="pct"/>
            <w:gridSpan w:val="2"/>
          </w:tcPr>
          <w:p w14:paraId="183C8B7D" w14:textId="00BDA1BC" w:rsidR="00EB2E30" w:rsidRPr="006F6D1E" w:rsidRDefault="00EB2E30" w:rsidP="00EB2E30">
            <w:pPr>
              <w:ind w:left="57"/>
              <w:rPr>
                <w:spacing w:val="-2"/>
              </w:rPr>
            </w:pPr>
            <w:r w:rsidRPr="006F6D1E">
              <w:rPr>
                <w:spacing w:val="-2"/>
              </w:rPr>
              <w:t>Grozījumu noteikumos Nr. 207 21., 22., 23. punkts.</w:t>
            </w:r>
          </w:p>
        </w:tc>
        <w:tc>
          <w:tcPr>
            <w:tcW w:w="1191" w:type="pct"/>
            <w:gridSpan w:val="2"/>
          </w:tcPr>
          <w:p w14:paraId="65BFF7B3" w14:textId="05F25B47" w:rsidR="00EB2E30" w:rsidRPr="006F6D1E" w:rsidRDefault="00EB2E30" w:rsidP="00EB2E30">
            <w:pPr>
              <w:ind w:left="57"/>
            </w:pPr>
            <w:r w:rsidRPr="006F6D1E">
              <w:t>Tiks ieviesta pilnībā.</w:t>
            </w:r>
          </w:p>
        </w:tc>
        <w:tc>
          <w:tcPr>
            <w:tcW w:w="1270" w:type="pct"/>
          </w:tcPr>
          <w:p w14:paraId="108E7E33" w14:textId="3DA46C31" w:rsidR="00EB2E30" w:rsidRPr="006F6D1E" w:rsidRDefault="00EB2E30" w:rsidP="00EB2E30">
            <w:pPr>
              <w:ind w:left="57"/>
            </w:pPr>
            <w:r w:rsidRPr="006F6D1E">
              <w:t>Neparedzēs stingrākas prasības.</w:t>
            </w:r>
          </w:p>
        </w:tc>
      </w:tr>
      <w:tr w:rsidR="00EB2E30" w:rsidRPr="006F6D1E" w14:paraId="0617E192" w14:textId="77777777" w:rsidTr="00F8013D">
        <w:trPr>
          <w:cantSplit/>
        </w:trPr>
        <w:tc>
          <w:tcPr>
            <w:tcW w:w="1119" w:type="pct"/>
          </w:tcPr>
          <w:p w14:paraId="3EE17200" w14:textId="67D75804" w:rsidR="00EB2E30" w:rsidRPr="006F6D1E" w:rsidRDefault="00EB2E30" w:rsidP="00EB2E30">
            <w:r w:rsidRPr="006F6D1E">
              <w:t>Deleģētā lēmuma 1. pants, pielikuma 1.punkts</w:t>
            </w:r>
          </w:p>
        </w:tc>
        <w:tc>
          <w:tcPr>
            <w:tcW w:w="1420" w:type="pct"/>
            <w:gridSpan w:val="2"/>
          </w:tcPr>
          <w:p w14:paraId="69DF4DBA" w14:textId="4B588597" w:rsidR="00EB2E30" w:rsidRPr="006F6D1E" w:rsidRDefault="00EB2E30" w:rsidP="00EB2E30">
            <w:pPr>
              <w:ind w:left="57"/>
              <w:rPr>
                <w:spacing w:val="-2"/>
              </w:rPr>
            </w:pPr>
            <w:r w:rsidRPr="006F6D1E">
              <w:rPr>
                <w:spacing w:val="-2"/>
              </w:rPr>
              <w:t>Grozījumu noteikumos Nr. 207 24. punkts.</w:t>
            </w:r>
          </w:p>
        </w:tc>
        <w:tc>
          <w:tcPr>
            <w:tcW w:w="1191" w:type="pct"/>
            <w:gridSpan w:val="2"/>
          </w:tcPr>
          <w:p w14:paraId="36B5CFB5" w14:textId="1E09E087" w:rsidR="00EB2E30" w:rsidRPr="006F6D1E" w:rsidRDefault="00EB2E30" w:rsidP="00EB2E30">
            <w:pPr>
              <w:ind w:left="57"/>
            </w:pPr>
            <w:r w:rsidRPr="006F6D1E">
              <w:t>Tiks ieviesta pilnībā.</w:t>
            </w:r>
          </w:p>
        </w:tc>
        <w:tc>
          <w:tcPr>
            <w:tcW w:w="1270" w:type="pct"/>
          </w:tcPr>
          <w:p w14:paraId="77EE253F" w14:textId="7BF75961" w:rsidR="00EB2E30" w:rsidRPr="006F6D1E" w:rsidRDefault="00EB2E30" w:rsidP="00EB2E30">
            <w:pPr>
              <w:ind w:left="57"/>
            </w:pPr>
            <w:r w:rsidRPr="006F6D1E">
              <w:t>Neparedzēs stingrākas prasības.</w:t>
            </w:r>
          </w:p>
        </w:tc>
      </w:tr>
      <w:tr w:rsidR="00EB2E30" w:rsidRPr="006F6D1E" w14:paraId="79E6F2DC" w14:textId="77777777" w:rsidTr="00F8013D">
        <w:trPr>
          <w:cantSplit/>
        </w:trPr>
        <w:tc>
          <w:tcPr>
            <w:tcW w:w="1119" w:type="pct"/>
          </w:tcPr>
          <w:p w14:paraId="6023A87A" w14:textId="5A42EFFE" w:rsidR="00EB2E30" w:rsidRPr="006F6D1E" w:rsidRDefault="00EB2E30" w:rsidP="00EB2E30">
            <w:r w:rsidRPr="006F6D1E">
              <w:t>Deleģētā lēmuma 1. pants, pielikuma 3.punkts</w:t>
            </w:r>
          </w:p>
        </w:tc>
        <w:tc>
          <w:tcPr>
            <w:tcW w:w="1420" w:type="pct"/>
            <w:gridSpan w:val="2"/>
          </w:tcPr>
          <w:p w14:paraId="53034C53" w14:textId="29BC4020" w:rsidR="00EB2E30" w:rsidRPr="006F6D1E" w:rsidRDefault="00EB2E30" w:rsidP="00EB2E30">
            <w:pPr>
              <w:ind w:left="57"/>
              <w:rPr>
                <w:spacing w:val="-2"/>
              </w:rPr>
            </w:pPr>
            <w:r w:rsidRPr="006F6D1E">
              <w:rPr>
                <w:spacing w:val="-2"/>
              </w:rPr>
              <w:t>Grozījumu noteikumos Nr. 125 12., 13. punkts.</w:t>
            </w:r>
          </w:p>
        </w:tc>
        <w:tc>
          <w:tcPr>
            <w:tcW w:w="1191" w:type="pct"/>
            <w:gridSpan w:val="2"/>
          </w:tcPr>
          <w:p w14:paraId="4093FD98" w14:textId="2215C133" w:rsidR="00EB2E30" w:rsidRPr="006F6D1E" w:rsidRDefault="00EB2E30" w:rsidP="00EB2E30">
            <w:pPr>
              <w:ind w:left="57"/>
            </w:pPr>
            <w:r w:rsidRPr="006F6D1E">
              <w:t>Tiks ieviesta pilnībā.</w:t>
            </w:r>
          </w:p>
        </w:tc>
        <w:tc>
          <w:tcPr>
            <w:tcW w:w="1270" w:type="pct"/>
          </w:tcPr>
          <w:p w14:paraId="08748A36" w14:textId="500D9D51" w:rsidR="00EB2E30" w:rsidRPr="006F6D1E" w:rsidRDefault="00EB2E30" w:rsidP="00EB2E30">
            <w:pPr>
              <w:ind w:left="57"/>
            </w:pPr>
            <w:r w:rsidRPr="006F6D1E">
              <w:t>Neparedzēs stingrākas prasības.</w:t>
            </w:r>
          </w:p>
        </w:tc>
      </w:tr>
      <w:tr w:rsidR="00EB2E30" w:rsidRPr="006F6D1E" w14:paraId="3EDA86ED" w14:textId="77777777" w:rsidTr="00F8013D">
        <w:trPr>
          <w:cantSplit/>
        </w:trPr>
        <w:tc>
          <w:tcPr>
            <w:tcW w:w="1119" w:type="pct"/>
          </w:tcPr>
          <w:p w14:paraId="56A18439" w14:textId="529ABDCE" w:rsidR="00EB2E30" w:rsidRPr="006F6D1E" w:rsidRDefault="00EB2E30" w:rsidP="00EB2E30">
            <w:r w:rsidRPr="006F6D1E">
              <w:t>Deleģētā lēmuma 1. pants, pielikuma 3.punkts</w:t>
            </w:r>
          </w:p>
        </w:tc>
        <w:tc>
          <w:tcPr>
            <w:tcW w:w="1420" w:type="pct"/>
            <w:gridSpan w:val="2"/>
          </w:tcPr>
          <w:p w14:paraId="0D5A52DB" w14:textId="13AAB829" w:rsidR="00EB2E30" w:rsidRPr="006F6D1E" w:rsidRDefault="00EB2E30" w:rsidP="00EB2E30">
            <w:pPr>
              <w:ind w:left="57"/>
              <w:rPr>
                <w:spacing w:val="-2"/>
              </w:rPr>
            </w:pPr>
            <w:r w:rsidRPr="006F6D1E">
              <w:rPr>
                <w:spacing w:val="-2"/>
              </w:rPr>
              <w:t>Grozījumu noteikumos Nr. 125 14., 15. punkts.</w:t>
            </w:r>
          </w:p>
        </w:tc>
        <w:tc>
          <w:tcPr>
            <w:tcW w:w="1191" w:type="pct"/>
            <w:gridSpan w:val="2"/>
          </w:tcPr>
          <w:p w14:paraId="5D294E5C" w14:textId="37A18E08" w:rsidR="00EB2E30" w:rsidRPr="006F6D1E" w:rsidRDefault="00EB2E30" w:rsidP="00EB2E30">
            <w:pPr>
              <w:ind w:left="57"/>
            </w:pPr>
            <w:r w:rsidRPr="006F6D1E">
              <w:t>Tiks ieviesta pilnībā.</w:t>
            </w:r>
          </w:p>
        </w:tc>
        <w:tc>
          <w:tcPr>
            <w:tcW w:w="1270" w:type="pct"/>
          </w:tcPr>
          <w:p w14:paraId="14AFFF1C" w14:textId="72E96C74" w:rsidR="00EB2E30" w:rsidRPr="006F6D1E" w:rsidRDefault="00EB2E30" w:rsidP="00EB2E30">
            <w:pPr>
              <w:ind w:left="57"/>
            </w:pPr>
            <w:r w:rsidRPr="006F6D1E">
              <w:t>Neparedzēs stingrākas prasības.</w:t>
            </w:r>
          </w:p>
        </w:tc>
      </w:tr>
      <w:tr w:rsidR="00EB2E30" w:rsidRPr="006F6D1E" w14:paraId="38D83ECC" w14:textId="77777777" w:rsidTr="00F8013D">
        <w:trPr>
          <w:cantSplit/>
        </w:trPr>
        <w:tc>
          <w:tcPr>
            <w:tcW w:w="1119" w:type="pct"/>
          </w:tcPr>
          <w:p w14:paraId="0FAA5BD7" w14:textId="6C1068AD" w:rsidR="00EB2E30" w:rsidRPr="006F6D1E" w:rsidRDefault="00EB2E30" w:rsidP="00EB2E30">
            <w:r w:rsidRPr="006F6D1E">
              <w:t>Deleģētā lēmuma 1. pants, pielikuma 4.punkts</w:t>
            </w:r>
          </w:p>
        </w:tc>
        <w:tc>
          <w:tcPr>
            <w:tcW w:w="1420" w:type="pct"/>
            <w:gridSpan w:val="2"/>
          </w:tcPr>
          <w:p w14:paraId="1591FCE8" w14:textId="4C8CA2B1" w:rsidR="00EB2E30" w:rsidRPr="006F6D1E" w:rsidRDefault="00EB2E30" w:rsidP="00EB2E30">
            <w:pPr>
              <w:ind w:left="57"/>
              <w:rPr>
                <w:spacing w:val="-2"/>
              </w:rPr>
            </w:pPr>
            <w:r w:rsidRPr="006F6D1E">
              <w:rPr>
                <w:spacing w:val="-2"/>
              </w:rPr>
              <w:t>Grozījumu noteikumos Nr. 320 6. punkts.</w:t>
            </w:r>
          </w:p>
        </w:tc>
        <w:tc>
          <w:tcPr>
            <w:tcW w:w="1191" w:type="pct"/>
            <w:gridSpan w:val="2"/>
          </w:tcPr>
          <w:p w14:paraId="1CA013CB" w14:textId="4A4A453B" w:rsidR="00EB2E30" w:rsidRPr="006F6D1E" w:rsidRDefault="00EB2E30" w:rsidP="00EB2E30">
            <w:pPr>
              <w:ind w:left="57"/>
            </w:pPr>
            <w:r w:rsidRPr="006F6D1E">
              <w:t>Tiks ieviesta pilnībā.</w:t>
            </w:r>
          </w:p>
        </w:tc>
        <w:tc>
          <w:tcPr>
            <w:tcW w:w="1270" w:type="pct"/>
          </w:tcPr>
          <w:p w14:paraId="44241F79" w14:textId="1E4EB59D" w:rsidR="00EB2E30" w:rsidRPr="006F6D1E" w:rsidRDefault="00EB2E30" w:rsidP="00EB2E30">
            <w:pPr>
              <w:ind w:left="57"/>
            </w:pPr>
            <w:r w:rsidRPr="006F6D1E">
              <w:t>Neparedzēs stingrākas prasības.</w:t>
            </w:r>
          </w:p>
        </w:tc>
      </w:tr>
      <w:tr w:rsidR="00EB2E30" w:rsidRPr="006F6D1E" w14:paraId="083C7A71" w14:textId="77777777" w:rsidTr="00F8013D">
        <w:trPr>
          <w:cantSplit/>
        </w:trPr>
        <w:tc>
          <w:tcPr>
            <w:tcW w:w="1119" w:type="pct"/>
          </w:tcPr>
          <w:p w14:paraId="308BA63C" w14:textId="3B24305E" w:rsidR="00EB2E30" w:rsidRPr="006F6D1E" w:rsidRDefault="00EB2E30" w:rsidP="00EB2E30">
            <w:r w:rsidRPr="006F6D1E">
              <w:t>Deleģētā lēmuma 1. pants, pielikuma 5.punkts</w:t>
            </w:r>
          </w:p>
        </w:tc>
        <w:tc>
          <w:tcPr>
            <w:tcW w:w="1420" w:type="pct"/>
            <w:gridSpan w:val="2"/>
          </w:tcPr>
          <w:p w14:paraId="78751DD7" w14:textId="76605139" w:rsidR="00EB2E30" w:rsidRPr="006F6D1E" w:rsidRDefault="00EB2E30" w:rsidP="00EB2E30">
            <w:pPr>
              <w:ind w:left="57"/>
              <w:rPr>
                <w:spacing w:val="-2"/>
              </w:rPr>
            </w:pPr>
            <w:r w:rsidRPr="006F6D1E">
              <w:rPr>
                <w:spacing w:val="-2"/>
              </w:rPr>
              <w:t>Grozījumu noteikumos Nr. 149 9. punkts.</w:t>
            </w:r>
          </w:p>
        </w:tc>
        <w:tc>
          <w:tcPr>
            <w:tcW w:w="1191" w:type="pct"/>
            <w:gridSpan w:val="2"/>
          </w:tcPr>
          <w:p w14:paraId="4006BD56" w14:textId="6818F80F" w:rsidR="00EB2E30" w:rsidRPr="006F6D1E" w:rsidRDefault="00EB2E30" w:rsidP="00EB2E30">
            <w:pPr>
              <w:ind w:left="57"/>
            </w:pPr>
            <w:r w:rsidRPr="006F6D1E">
              <w:t>Tiks ieviesta pilnībā.</w:t>
            </w:r>
          </w:p>
        </w:tc>
        <w:tc>
          <w:tcPr>
            <w:tcW w:w="1270" w:type="pct"/>
          </w:tcPr>
          <w:p w14:paraId="5D9A6C60" w14:textId="20F13723" w:rsidR="00EB2E30" w:rsidRPr="006F6D1E" w:rsidRDefault="00EB2E30" w:rsidP="00EB2E30">
            <w:pPr>
              <w:ind w:left="57"/>
            </w:pPr>
            <w:r w:rsidRPr="006F6D1E">
              <w:t>Neparedzēs stingrākas prasības.</w:t>
            </w:r>
          </w:p>
        </w:tc>
      </w:tr>
      <w:tr w:rsidR="00EB2E30" w:rsidRPr="006F6D1E" w14:paraId="0A474F1F" w14:textId="77777777" w:rsidTr="0092169A">
        <w:tc>
          <w:tcPr>
            <w:tcW w:w="1119" w:type="pct"/>
            <w:hideMark/>
          </w:tcPr>
          <w:p w14:paraId="0A474F1D" w14:textId="77777777" w:rsidR="00EB2E30" w:rsidRPr="006F6D1E" w:rsidRDefault="00EB2E30" w:rsidP="00EB2E30">
            <w:r w:rsidRPr="006F6D1E">
              <w:t>Kā ir izmantota ES tiesību aktā paredzētā rīcības brīvība dalībvalstij pārņemt vai ieviest noteiktas ES tiesību akta normas? Kādēļ?</w:t>
            </w:r>
          </w:p>
        </w:tc>
        <w:tc>
          <w:tcPr>
            <w:tcW w:w="3881" w:type="pct"/>
            <w:gridSpan w:val="5"/>
            <w:hideMark/>
          </w:tcPr>
          <w:p w14:paraId="0A474F1E" w14:textId="50E9EADF" w:rsidR="00EB2E30" w:rsidRPr="006F6D1E" w:rsidRDefault="004E5A3A" w:rsidP="00EB2E30">
            <w:pPr>
              <w:jc w:val="both"/>
            </w:pPr>
            <w:r w:rsidRPr="006F6D1E">
              <w:t xml:space="preserve">     </w:t>
            </w:r>
            <w:r w:rsidR="00EB2E30" w:rsidRPr="006F6D1E">
              <w:t>Noteikumu projekti šo jomu neskar.</w:t>
            </w:r>
          </w:p>
        </w:tc>
      </w:tr>
      <w:tr w:rsidR="00EB2E30" w:rsidRPr="006F6D1E" w14:paraId="0A474F24" w14:textId="77777777" w:rsidTr="0092169A">
        <w:tc>
          <w:tcPr>
            <w:tcW w:w="1119" w:type="pct"/>
            <w:hideMark/>
          </w:tcPr>
          <w:p w14:paraId="0A474F20" w14:textId="77777777" w:rsidR="00EB2E30" w:rsidRPr="006F6D1E" w:rsidRDefault="00EB2E30" w:rsidP="00EB2E30">
            <w:r w:rsidRPr="006F6D1E">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81" w:type="pct"/>
            <w:gridSpan w:val="5"/>
            <w:hideMark/>
          </w:tcPr>
          <w:p w14:paraId="0A474F21" w14:textId="38E45FE1" w:rsidR="00EB2E30" w:rsidRPr="006F6D1E" w:rsidRDefault="004E5A3A" w:rsidP="00EB2E30">
            <w:r w:rsidRPr="006F6D1E">
              <w:t xml:space="preserve">     </w:t>
            </w:r>
            <w:r w:rsidR="00EB2E30" w:rsidRPr="006F6D1E">
              <w:t>Noteikumu projekti šo jomu neskar.</w:t>
            </w:r>
          </w:p>
          <w:p w14:paraId="0A474F22" w14:textId="77777777" w:rsidR="00EB2E30" w:rsidRPr="006F6D1E" w:rsidRDefault="00EB2E30" w:rsidP="00EB2E30">
            <w:pPr>
              <w:ind w:firstLine="108"/>
            </w:pPr>
          </w:p>
          <w:p w14:paraId="0A474F23" w14:textId="77777777" w:rsidR="00EB2E30" w:rsidRPr="006F6D1E" w:rsidRDefault="00EB2E30" w:rsidP="00EB2E30">
            <w:pPr>
              <w:ind w:firstLine="108"/>
            </w:pPr>
          </w:p>
        </w:tc>
      </w:tr>
      <w:tr w:rsidR="00EB2E30" w:rsidRPr="006F6D1E" w14:paraId="0A474F27" w14:textId="77777777" w:rsidTr="00AB1D6B">
        <w:trPr>
          <w:cantSplit/>
        </w:trPr>
        <w:tc>
          <w:tcPr>
            <w:tcW w:w="1119" w:type="pct"/>
            <w:hideMark/>
          </w:tcPr>
          <w:p w14:paraId="0A474F25" w14:textId="77777777" w:rsidR="00EB2E30" w:rsidRPr="006F6D1E" w:rsidRDefault="00EB2E30" w:rsidP="00EB2E30">
            <w:r w:rsidRPr="006F6D1E">
              <w:t>Cita info</w:t>
            </w:r>
            <w:r w:rsidRPr="006F6D1E">
              <w:rPr>
                <w:b/>
              </w:rPr>
              <w:t>r</w:t>
            </w:r>
            <w:r w:rsidRPr="006F6D1E">
              <w:t>mācija</w:t>
            </w:r>
          </w:p>
        </w:tc>
        <w:tc>
          <w:tcPr>
            <w:tcW w:w="3881" w:type="pct"/>
            <w:gridSpan w:val="5"/>
            <w:hideMark/>
          </w:tcPr>
          <w:p w14:paraId="0A474F26" w14:textId="77777777" w:rsidR="00EB2E30" w:rsidRPr="006F6D1E" w:rsidRDefault="00EB2E30" w:rsidP="00EB2E30">
            <w:r w:rsidRPr="006F6D1E">
              <w:t>Nav.</w:t>
            </w:r>
          </w:p>
        </w:tc>
      </w:tr>
      <w:tr w:rsidR="00EB2E30" w:rsidRPr="006F6D1E" w14:paraId="0A474F29" w14:textId="77777777" w:rsidTr="0057649F">
        <w:trPr>
          <w:cantSplit/>
        </w:trPr>
        <w:tc>
          <w:tcPr>
            <w:tcW w:w="5000" w:type="pct"/>
            <w:gridSpan w:val="6"/>
            <w:vAlign w:val="center"/>
            <w:hideMark/>
          </w:tcPr>
          <w:p w14:paraId="0A474F28" w14:textId="77777777" w:rsidR="00EB2E30" w:rsidRPr="006F6D1E" w:rsidRDefault="00EB2E30" w:rsidP="00EB2E30">
            <w:pPr>
              <w:jc w:val="center"/>
              <w:rPr>
                <w:b/>
                <w:bCs/>
              </w:rPr>
            </w:pPr>
            <w:r w:rsidRPr="006F6D1E">
              <w:rPr>
                <w:b/>
                <w:bCs/>
              </w:rPr>
              <w:t>2. tabula</w:t>
            </w:r>
            <w:r w:rsidRPr="006F6D1E">
              <w:rPr>
                <w:b/>
                <w:bCs/>
              </w:rPr>
              <w:br/>
              <w:t>Ar tiesību akta projektu izpildītās vai uzņemtās saistības, kas izriet no starptautiskajiem tiesību aktiem vai starptautiskas institūcijas vai organizācijas dokumentiem.</w:t>
            </w:r>
            <w:r w:rsidRPr="006F6D1E">
              <w:rPr>
                <w:b/>
                <w:bCs/>
              </w:rPr>
              <w:br/>
              <w:t>Pasākumi šo saistību izpildei</w:t>
            </w:r>
          </w:p>
        </w:tc>
      </w:tr>
      <w:tr w:rsidR="00EB2E30" w:rsidRPr="006F6D1E" w14:paraId="0A474F2C" w14:textId="77777777" w:rsidTr="0092169A">
        <w:trPr>
          <w:cantSplit/>
        </w:trPr>
        <w:tc>
          <w:tcPr>
            <w:tcW w:w="1119" w:type="pct"/>
            <w:vAlign w:val="center"/>
          </w:tcPr>
          <w:p w14:paraId="0A474F2A" w14:textId="77777777" w:rsidR="00EB2E30" w:rsidRPr="006F6D1E" w:rsidRDefault="00EB2E30" w:rsidP="00EB2E30">
            <w:pPr>
              <w:rPr>
                <w:bCs/>
              </w:rPr>
            </w:pPr>
            <w:r w:rsidRPr="006F6D1E">
              <w:rPr>
                <w:shd w:val="clear" w:color="auto" w:fill="FFFFFF"/>
              </w:rPr>
              <w:t>Attiecīgā starptautiskā tiesību akta vai starptautiskas institūcijas vai organizācijas dokumenta (turpmāk – starptautiskais dokuments) datums, numurs un nosaukums</w:t>
            </w:r>
          </w:p>
        </w:tc>
        <w:tc>
          <w:tcPr>
            <w:tcW w:w="3881" w:type="pct"/>
            <w:gridSpan w:val="5"/>
          </w:tcPr>
          <w:p w14:paraId="0A474F2B" w14:textId="2C3EFFAD" w:rsidR="00EB2E30" w:rsidRPr="006F6D1E" w:rsidRDefault="004E5A3A" w:rsidP="00EB2E30">
            <w:pPr>
              <w:rPr>
                <w:bCs/>
              </w:rPr>
            </w:pPr>
            <w:r w:rsidRPr="006F6D1E">
              <w:t xml:space="preserve">     </w:t>
            </w:r>
            <w:r w:rsidR="00EB2E30" w:rsidRPr="006F6D1E">
              <w:t>Noteikumu p</w:t>
            </w:r>
            <w:r w:rsidR="00EB2E30" w:rsidRPr="006F6D1E">
              <w:rPr>
                <w:bCs/>
              </w:rPr>
              <w:t>rojekti šo jomu neskar.</w:t>
            </w:r>
          </w:p>
        </w:tc>
      </w:tr>
      <w:tr w:rsidR="00EB2E30" w:rsidRPr="006F6D1E" w14:paraId="0A474F30" w14:textId="77777777" w:rsidTr="00AB1D6B">
        <w:trPr>
          <w:cantSplit/>
        </w:trPr>
        <w:tc>
          <w:tcPr>
            <w:tcW w:w="1758" w:type="pct"/>
            <w:gridSpan w:val="2"/>
            <w:vAlign w:val="center"/>
          </w:tcPr>
          <w:p w14:paraId="0A474F2D" w14:textId="77777777" w:rsidR="00EB2E30" w:rsidRPr="006F6D1E" w:rsidRDefault="00EB2E30" w:rsidP="00EB2E30">
            <w:pPr>
              <w:jc w:val="center"/>
              <w:rPr>
                <w:bCs/>
              </w:rPr>
            </w:pPr>
            <w:r w:rsidRPr="006F6D1E">
              <w:rPr>
                <w:bCs/>
              </w:rPr>
              <w:t>A</w:t>
            </w:r>
          </w:p>
        </w:tc>
        <w:tc>
          <w:tcPr>
            <w:tcW w:w="1620" w:type="pct"/>
            <w:gridSpan w:val="2"/>
            <w:vAlign w:val="center"/>
          </w:tcPr>
          <w:p w14:paraId="0A474F2E" w14:textId="77777777" w:rsidR="00EB2E30" w:rsidRPr="006F6D1E" w:rsidRDefault="00EB2E30" w:rsidP="00EB2E30">
            <w:pPr>
              <w:jc w:val="center"/>
              <w:rPr>
                <w:bCs/>
              </w:rPr>
            </w:pPr>
            <w:r w:rsidRPr="006F6D1E">
              <w:rPr>
                <w:bCs/>
              </w:rPr>
              <w:t>B</w:t>
            </w:r>
          </w:p>
        </w:tc>
        <w:tc>
          <w:tcPr>
            <w:tcW w:w="1622" w:type="pct"/>
            <w:gridSpan w:val="2"/>
            <w:vAlign w:val="center"/>
          </w:tcPr>
          <w:p w14:paraId="0A474F2F" w14:textId="77777777" w:rsidR="00EB2E30" w:rsidRPr="006F6D1E" w:rsidRDefault="00EB2E30" w:rsidP="00EB2E30">
            <w:pPr>
              <w:jc w:val="center"/>
              <w:rPr>
                <w:bCs/>
              </w:rPr>
            </w:pPr>
            <w:r w:rsidRPr="006F6D1E">
              <w:rPr>
                <w:bCs/>
              </w:rPr>
              <w:t>C</w:t>
            </w:r>
          </w:p>
        </w:tc>
      </w:tr>
      <w:tr w:rsidR="00EB2E30" w:rsidRPr="006F6D1E" w14:paraId="0A474F34" w14:textId="77777777" w:rsidTr="00AB1D6B">
        <w:trPr>
          <w:cantSplit/>
        </w:trPr>
        <w:tc>
          <w:tcPr>
            <w:tcW w:w="1758" w:type="pct"/>
            <w:gridSpan w:val="2"/>
          </w:tcPr>
          <w:p w14:paraId="0A474F31" w14:textId="77777777" w:rsidR="00EB2E30" w:rsidRPr="006F6D1E" w:rsidRDefault="00EB2E30" w:rsidP="00EB2E30">
            <w:pPr>
              <w:rPr>
                <w:bCs/>
              </w:rPr>
            </w:pPr>
            <w:r w:rsidRPr="006F6D1E">
              <w:rPr>
                <w:shd w:val="clear" w:color="auto" w:fill="FFFFFF"/>
              </w:rPr>
              <w:t>Starptautiskās saistības (pēc būtības), kas izriet no norādītā starptautiskā dokumenta.</w:t>
            </w:r>
            <w:r w:rsidRPr="006F6D1E">
              <w:br/>
            </w:r>
            <w:r w:rsidRPr="006F6D1E">
              <w:rPr>
                <w:shd w:val="clear" w:color="auto" w:fill="FFFFFF"/>
              </w:rPr>
              <w:t>Konkrēti veicamie pasākumi vai uzdevumi, kas nepieciešami šo starptautisko saistību izpildei</w:t>
            </w:r>
          </w:p>
        </w:tc>
        <w:tc>
          <w:tcPr>
            <w:tcW w:w="1620" w:type="pct"/>
            <w:gridSpan w:val="2"/>
          </w:tcPr>
          <w:p w14:paraId="0A474F32" w14:textId="77777777" w:rsidR="00EB2E30" w:rsidRPr="006F6D1E" w:rsidRDefault="00EB2E30" w:rsidP="00EB2E30">
            <w:pPr>
              <w:rPr>
                <w:bCs/>
              </w:rPr>
            </w:pPr>
            <w:r w:rsidRPr="006F6D1E">
              <w:rPr>
                <w:shd w:val="clear" w:color="auto" w:fill="FFFFFF"/>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622" w:type="pct"/>
            <w:gridSpan w:val="2"/>
          </w:tcPr>
          <w:p w14:paraId="0A474F33" w14:textId="77777777" w:rsidR="00EB2E30" w:rsidRPr="006F6D1E" w:rsidRDefault="00EB2E30" w:rsidP="00EB2E30">
            <w:pPr>
              <w:rPr>
                <w:bCs/>
              </w:rPr>
            </w:pPr>
            <w:r w:rsidRPr="006F6D1E">
              <w:rPr>
                <w:shd w:val="clear" w:color="auto" w:fill="FFFFFF"/>
              </w:rPr>
              <w:t>Informācija par to, vai starptautiskās saistības, kas minētas šīs tabulas A ailē, tiek izpildītas pilnībā vai daļēji.</w:t>
            </w:r>
            <w:r w:rsidRPr="006F6D1E">
              <w:br/>
            </w:r>
            <w:r w:rsidRPr="006F6D1E">
              <w:rPr>
                <w:shd w:val="clear" w:color="auto" w:fill="FFFFFF"/>
              </w:rPr>
              <w:t>Ja attiecīgās starptautiskās saistības tiek izpildītas daļēji, sniedz skaidrojumu, kā arī precīzi norāda, kad un kādā veidā starptautiskās saistības tiks izpildītas pilnībā.</w:t>
            </w:r>
            <w:r w:rsidRPr="006F6D1E">
              <w:br/>
            </w:r>
            <w:r w:rsidRPr="006F6D1E">
              <w:rPr>
                <w:shd w:val="clear" w:color="auto" w:fill="FFFFFF"/>
              </w:rPr>
              <w:t>Norāda institūciju, kas ir atbildīga par šo saistību izpildi pilnībā</w:t>
            </w:r>
          </w:p>
        </w:tc>
      </w:tr>
      <w:tr w:rsidR="00EB2E30" w:rsidRPr="006F6D1E" w14:paraId="0A474F39" w14:textId="77777777" w:rsidTr="0092169A">
        <w:trPr>
          <w:cantSplit/>
        </w:trPr>
        <w:tc>
          <w:tcPr>
            <w:tcW w:w="1758" w:type="pct"/>
            <w:gridSpan w:val="2"/>
            <w:vAlign w:val="center"/>
          </w:tcPr>
          <w:p w14:paraId="0A474F35" w14:textId="06763B41" w:rsidR="00EB2E30" w:rsidRPr="006F6D1E" w:rsidRDefault="00EB2E30" w:rsidP="00EB2E30">
            <w:pPr>
              <w:rPr>
                <w:shd w:val="clear" w:color="auto" w:fill="FFFFFF"/>
              </w:rPr>
            </w:pPr>
            <w:r w:rsidRPr="006F6D1E">
              <w:rPr>
                <w:shd w:val="clear" w:color="auto" w:fill="FFFFFF"/>
              </w:rPr>
              <w:lastRenderedPageBreak/>
              <w:t>-</w:t>
            </w:r>
          </w:p>
        </w:tc>
        <w:tc>
          <w:tcPr>
            <w:tcW w:w="1620" w:type="pct"/>
            <w:gridSpan w:val="2"/>
          </w:tcPr>
          <w:p w14:paraId="0A474F36" w14:textId="3FE332D9" w:rsidR="00EB2E30" w:rsidRPr="006F6D1E" w:rsidRDefault="00EB2E30" w:rsidP="00EB2E30">
            <w:pPr>
              <w:rPr>
                <w:shd w:val="clear" w:color="auto" w:fill="FFFFFF"/>
              </w:rPr>
            </w:pPr>
            <w:r w:rsidRPr="006F6D1E">
              <w:rPr>
                <w:shd w:val="clear" w:color="auto" w:fill="FFFFFF"/>
              </w:rPr>
              <w:t>-</w:t>
            </w:r>
          </w:p>
        </w:tc>
        <w:tc>
          <w:tcPr>
            <w:tcW w:w="1622" w:type="pct"/>
            <w:gridSpan w:val="2"/>
            <w:vAlign w:val="center"/>
          </w:tcPr>
          <w:p w14:paraId="0A474F38" w14:textId="0A22799D" w:rsidR="00EB2E30" w:rsidRPr="006F6D1E" w:rsidRDefault="00EB2E30" w:rsidP="00EB2E30">
            <w:pPr>
              <w:rPr>
                <w:shd w:val="clear" w:color="auto" w:fill="FFFFFF"/>
              </w:rPr>
            </w:pPr>
            <w:r w:rsidRPr="006F6D1E">
              <w:t>-</w:t>
            </w:r>
          </w:p>
        </w:tc>
      </w:tr>
      <w:tr w:rsidR="00EB2E30" w:rsidRPr="006F6D1E" w14:paraId="0A474F41" w14:textId="77777777" w:rsidTr="0092169A">
        <w:trPr>
          <w:cantSplit/>
        </w:trPr>
        <w:tc>
          <w:tcPr>
            <w:tcW w:w="1119" w:type="pct"/>
            <w:vAlign w:val="center"/>
          </w:tcPr>
          <w:p w14:paraId="0A474F3F" w14:textId="77777777" w:rsidR="00EB2E30" w:rsidRPr="006F6D1E" w:rsidRDefault="00EB2E30" w:rsidP="00EB2E30">
            <w:pPr>
              <w:rPr>
                <w:bCs/>
              </w:rPr>
            </w:pPr>
            <w:r w:rsidRPr="006F6D1E">
              <w:rPr>
                <w:shd w:val="clear" w:color="auto" w:fill="FFFFFF"/>
              </w:rPr>
              <w:t>Vai starptautiskajā dokumentā paredzētās saistības nav pretrunā ar jau esošajām Latvijas Republikas starptautiskajām saistībām</w:t>
            </w:r>
          </w:p>
        </w:tc>
        <w:tc>
          <w:tcPr>
            <w:tcW w:w="3881" w:type="pct"/>
            <w:gridSpan w:val="5"/>
          </w:tcPr>
          <w:p w14:paraId="0A474F40" w14:textId="07E34786" w:rsidR="00EB2E30" w:rsidRPr="006F6D1E" w:rsidRDefault="004E5A3A" w:rsidP="00EB2E30">
            <w:pPr>
              <w:rPr>
                <w:bCs/>
              </w:rPr>
            </w:pPr>
            <w:r w:rsidRPr="006F6D1E">
              <w:t xml:space="preserve">     </w:t>
            </w:r>
            <w:r w:rsidR="00EB2E30" w:rsidRPr="006F6D1E">
              <w:t>Noteikumu p</w:t>
            </w:r>
            <w:r w:rsidR="00EB2E30" w:rsidRPr="006F6D1E">
              <w:rPr>
                <w:bCs/>
              </w:rPr>
              <w:t>rojekti šo jomu neskar.</w:t>
            </w:r>
          </w:p>
        </w:tc>
      </w:tr>
      <w:tr w:rsidR="00EB2E30" w:rsidRPr="006F6D1E" w14:paraId="0A474F44" w14:textId="77777777" w:rsidTr="00AB1D6B">
        <w:trPr>
          <w:cantSplit/>
        </w:trPr>
        <w:tc>
          <w:tcPr>
            <w:tcW w:w="1119" w:type="pct"/>
            <w:vAlign w:val="center"/>
          </w:tcPr>
          <w:p w14:paraId="0A474F42" w14:textId="77777777" w:rsidR="00EB2E30" w:rsidRPr="006F6D1E" w:rsidRDefault="00EB2E30" w:rsidP="00EB2E30">
            <w:pPr>
              <w:rPr>
                <w:shd w:val="clear" w:color="auto" w:fill="FFFFFF"/>
              </w:rPr>
            </w:pPr>
            <w:r w:rsidRPr="006F6D1E">
              <w:rPr>
                <w:shd w:val="clear" w:color="auto" w:fill="FFFFFF"/>
              </w:rPr>
              <w:t>Cita informācija</w:t>
            </w:r>
          </w:p>
        </w:tc>
        <w:tc>
          <w:tcPr>
            <w:tcW w:w="3881" w:type="pct"/>
            <w:gridSpan w:val="5"/>
            <w:vAlign w:val="center"/>
          </w:tcPr>
          <w:p w14:paraId="0A474F43" w14:textId="353B9195" w:rsidR="00EB2E30" w:rsidRPr="006F6D1E" w:rsidRDefault="004E5A3A" w:rsidP="00EB2E30">
            <w:pPr>
              <w:rPr>
                <w:bCs/>
              </w:rPr>
            </w:pPr>
            <w:r w:rsidRPr="006F6D1E">
              <w:rPr>
                <w:bCs/>
              </w:rPr>
              <w:t xml:space="preserve">     </w:t>
            </w:r>
            <w:r w:rsidR="00EB2E30" w:rsidRPr="006F6D1E">
              <w:rPr>
                <w:bCs/>
              </w:rPr>
              <w:t>Nav.</w:t>
            </w:r>
          </w:p>
        </w:tc>
      </w:tr>
    </w:tbl>
    <w:p w14:paraId="0A474F45" w14:textId="77777777" w:rsidR="00161647" w:rsidRPr="006F6D1E" w:rsidRDefault="00161647" w:rsidP="00161647">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21"/>
        <w:gridCol w:w="1841"/>
        <w:gridCol w:w="6905"/>
      </w:tblGrid>
      <w:tr w:rsidR="00E3290D" w:rsidRPr="006F6D1E" w14:paraId="0A474F47" w14:textId="77777777" w:rsidTr="0057649F">
        <w:trPr>
          <w:cantSplit/>
        </w:trPr>
        <w:tc>
          <w:tcPr>
            <w:tcW w:w="5000" w:type="pct"/>
            <w:gridSpan w:val="3"/>
            <w:vAlign w:val="center"/>
            <w:hideMark/>
          </w:tcPr>
          <w:p w14:paraId="0A474F46" w14:textId="77777777" w:rsidR="00BD5588" w:rsidRPr="006F6D1E" w:rsidRDefault="00BC529D" w:rsidP="00E273A1">
            <w:pPr>
              <w:jc w:val="center"/>
              <w:rPr>
                <w:b/>
                <w:bCs/>
              </w:rPr>
            </w:pPr>
            <w:r w:rsidRPr="006F6D1E">
              <w:rPr>
                <w:b/>
                <w:bCs/>
              </w:rPr>
              <w:t>VI. Sabiedrības līdzdalība un komunikācijas aktivitātes</w:t>
            </w:r>
          </w:p>
        </w:tc>
      </w:tr>
      <w:tr w:rsidR="00E3290D" w:rsidRPr="006F6D1E" w14:paraId="0A474F4B" w14:textId="77777777" w:rsidTr="0035526D">
        <w:tc>
          <w:tcPr>
            <w:tcW w:w="230" w:type="pct"/>
            <w:hideMark/>
          </w:tcPr>
          <w:p w14:paraId="0A474F48" w14:textId="77777777" w:rsidR="00BD5588" w:rsidRPr="006F6D1E" w:rsidRDefault="00BC529D" w:rsidP="00E273A1">
            <w:pPr>
              <w:jc w:val="center"/>
            </w:pPr>
            <w:r w:rsidRPr="006F6D1E">
              <w:t>1.</w:t>
            </w:r>
          </w:p>
        </w:tc>
        <w:tc>
          <w:tcPr>
            <w:tcW w:w="1004" w:type="pct"/>
            <w:hideMark/>
          </w:tcPr>
          <w:p w14:paraId="0A474F49" w14:textId="77777777" w:rsidR="00BD5588" w:rsidRPr="006F6D1E" w:rsidRDefault="00BC529D" w:rsidP="00E273A1">
            <w:r w:rsidRPr="006F6D1E">
              <w:t>Plānotās sabiedrības līdzdalības un komunikācijas aktivitātes saistībā ar projektu</w:t>
            </w:r>
          </w:p>
        </w:tc>
        <w:tc>
          <w:tcPr>
            <w:tcW w:w="3766" w:type="pct"/>
          </w:tcPr>
          <w:p w14:paraId="2104B7BF" w14:textId="494CD9EB" w:rsidR="00C53A5C" w:rsidRPr="006F6D1E" w:rsidRDefault="004E5A3A" w:rsidP="00505983">
            <w:pPr>
              <w:jc w:val="both"/>
            </w:pPr>
            <w:r w:rsidRPr="006F6D1E">
              <w:t xml:space="preserve">     </w:t>
            </w:r>
            <w:r w:rsidR="00BD36B1" w:rsidRPr="006F6D1E">
              <w:t>Saistībā ar noteikumu projektu izstrādi tiks īstenoti šādi sabiedrības informēšanas pasākumi:</w:t>
            </w:r>
          </w:p>
          <w:p w14:paraId="68A0ACA1" w14:textId="66711BF5" w:rsidR="0035526D" w:rsidRPr="006F6D1E" w:rsidRDefault="00C53A5C" w:rsidP="00BD36B1">
            <w:pPr>
              <w:jc w:val="both"/>
            </w:pPr>
            <w:r w:rsidRPr="006F6D1E">
              <w:t>1.</w:t>
            </w:r>
            <w:r w:rsidR="00BD36B1" w:rsidRPr="006F6D1E">
              <w:t xml:space="preserve"> noteikumu projekti tiks publicēti ministrijas tīmekļa vietnē www.izm.gov.lv divas nedēļas pirms t</w:t>
            </w:r>
            <w:r w:rsidR="00E13539" w:rsidRPr="006F6D1E">
              <w:t>o</w:t>
            </w:r>
            <w:r w:rsidR="00BD36B1" w:rsidRPr="006F6D1E">
              <w:t xml:space="preserve"> izsludināšanas Valsts sekretāru sanāksmē</w:t>
            </w:r>
            <w:r w:rsidR="00960DA5" w:rsidRPr="006F6D1E">
              <w:t>;</w:t>
            </w:r>
          </w:p>
          <w:p w14:paraId="0E942F13" w14:textId="6E511BDC" w:rsidR="00BD36B1" w:rsidRPr="006F6D1E" w:rsidRDefault="00C53A5C" w:rsidP="00BD36B1">
            <w:pPr>
              <w:jc w:val="both"/>
            </w:pPr>
            <w:r w:rsidRPr="006F6D1E">
              <w:t>2.</w:t>
            </w:r>
            <w:r w:rsidR="00BD36B1" w:rsidRPr="006F6D1E">
              <w:t xml:space="preserve"> </w:t>
            </w:r>
            <w:r w:rsidR="00960DA5" w:rsidRPr="006F6D1E">
              <w:t>p</w:t>
            </w:r>
            <w:r w:rsidR="00BD36B1" w:rsidRPr="006F6D1E">
              <w:t>ēc noteikumu projektu pieņemšanas plānots organizēt šādus sabiedrības informēšanas pasākumus:</w:t>
            </w:r>
          </w:p>
          <w:p w14:paraId="65DE9DE1" w14:textId="47F42421" w:rsidR="00BD36B1" w:rsidRPr="006F6D1E" w:rsidRDefault="00C53A5C" w:rsidP="00BD36B1">
            <w:pPr>
              <w:jc w:val="both"/>
            </w:pPr>
            <w:r w:rsidRPr="006F6D1E">
              <w:t>2.1</w:t>
            </w:r>
            <w:r w:rsidR="00FF0951" w:rsidRPr="006F6D1E">
              <w:t>.</w:t>
            </w:r>
            <w:r w:rsidR="00BD36B1" w:rsidRPr="006F6D1E">
              <w:t xml:space="preserve"> </w:t>
            </w:r>
            <w:r w:rsidR="0092169A" w:rsidRPr="006F6D1E">
              <w:t>institūcijas, kas izsniedz profesionālās kvalifikācijas atzīšanas apliecības</w:t>
            </w:r>
            <w:r w:rsidR="00BD36B1" w:rsidRPr="006F6D1E">
              <w:t xml:space="preserve"> un informācijas institūcijas tiks informētas par </w:t>
            </w:r>
            <w:r w:rsidR="0092169A" w:rsidRPr="006F6D1E">
              <w:t xml:space="preserve">noteikumu projektiem </w:t>
            </w:r>
            <w:r w:rsidR="00BD36B1" w:rsidRPr="006F6D1E">
              <w:t>ar īpašu e-pastu,</w:t>
            </w:r>
          </w:p>
          <w:p w14:paraId="285BA080" w14:textId="6F323F64" w:rsidR="00BD36B1" w:rsidRPr="006F6D1E" w:rsidRDefault="00C53A5C" w:rsidP="00BD36B1">
            <w:pPr>
              <w:jc w:val="both"/>
            </w:pPr>
            <w:r w:rsidRPr="006F6D1E">
              <w:t>2.2.</w:t>
            </w:r>
            <w:r w:rsidR="00BD36B1" w:rsidRPr="006F6D1E">
              <w:t xml:space="preserve"> ikgadējā atzīšanas institūciju un informācijas institūciju seminārā ministrija ziņos par pieņemtajiem </w:t>
            </w:r>
            <w:r w:rsidR="009B767C" w:rsidRPr="006F6D1E">
              <w:t xml:space="preserve">Ministru kabineta </w:t>
            </w:r>
            <w:r w:rsidR="00BD36B1" w:rsidRPr="006F6D1E">
              <w:t>noteikumiem un skaidros to būtību un mērķi, kā arī piemērošanas veidu</w:t>
            </w:r>
            <w:r w:rsidR="00960DA5" w:rsidRPr="006F6D1E">
              <w:t>;</w:t>
            </w:r>
          </w:p>
          <w:p w14:paraId="0A474F4A" w14:textId="75B6C454" w:rsidR="00161647" w:rsidRPr="006F6D1E" w:rsidRDefault="00C53A5C" w:rsidP="0035526D">
            <w:r w:rsidRPr="006F6D1E">
              <w:t>2.3.</w:t>
            </w:r>
            <w:r w:rsidR="00BD36B1" w:rsidRPr="006F6D1E">
              <w:t xml:space="preserve"> ministrijas tīmekļvietnē www.izm.gov.lv tiks publicēta </w:t>
            </w:r>
            <w:proofErr w:type="spellStart"/>
            <w:r w:rsidR="00BD36B1" w:rsidRPr="006F6D1E">
              <w:t>relīze</w:t>
            </w:r>
            <w:proofErr w:type="spellEnd"/>
            <w:r w:rsidR="00BD36B1" w:rsidRPr="006F6D1E">
              <w:t xml:space="preserve"> par pieņemtajiem </w:t>
            </w:r>
            <w:r w:rsidR="00960DA5" w:rsidRPr="006F6D1E">
              <w:t xml:space="preserve">Ministru kabineta </w:t>
            </w:r>
            <w:r w:rsidR="00BD36B1" w:rsidRPr="006F6D1E">
              <w:t>noteikumiem.</w:t>
            </w:r>
          </w:p>
        </w:tc>
      </w:tr>
      <w:tr w:rsidR="00E3290D" w:rsidRPr="006F6D1E" w14:paraId="0A474F4F" w14:textId="77777777" w:rsidTr="0035526D">
        <w:trPr>
          <w:cantSplit/>
        </w:trPr>
        <w:tc>
          <w:tcPr>
            <w:tcW w:w="230" w:type="pct"/>
            <w:hideMark/>
          </w:tcPr>
          <w:p w14:paraId="0A474F4C" w14:textId="77777777" w:rsidR="00BD5588" w:rsidRPr="006F6D1E" w:rsidRDefault="00BC529D" w:rsidP="00E273A1">
            <w:pPr>
              <w:jc w:val="center"/>
            </w:pPr>
            <w:r w:rsidRPr="006F6D1E">
              <w:t>2.</w:t>
            </w:r>
          </w:p>
        </w:tc>
        <w:tc>
          <w:tcPr>
            <w:tcW w:w="1004" w:type="pct"/>
            <w:hideMark/>
          </w:tcPr>
          <w:p w14:paraId="0A474F4D" w14:textId="77777777" w:rsidR="00BD5588" w:rsidRPr="006F6D1E" w:rsidRDefault="00BC529D" w:rsidP="00E273A1">
            <w:r w:rsidRPr="006F6D1E">
              <w:t>Sabiedrības līdzdalība projekta izstrādē</w:t>
            </w:r>
          </w:p>
        </w:tc>
        <w:tc>
          <w:tcPr>
            <w:tcW w:w="3766" w:type="pct"/>
          </w:tcPr>
          <w:p w14:paraId="0A474F4E" w14:textId="2450EF94" w:rsidR="00161647" w:rsidRPr="006F6D1E" w:rsidRDefault="004E5A3A" w:rsidP="0035526D">
            <w:pPr>
              <w:pStyle w:val="naisnod"/>
              <w:spacing w:before="0" w:after="0"/>
              <w:ind w:right="57"/>
              <w:jc w:val="both"/>
              <w:rPr>
                <w:b w:val="0"/>
              </w:rPr>
            </w:pPr>
            <w:r w:rsidRPr="006F6D1E">
              <w:rPr>
                <w:b w:val="0"/>
              </w:rPr>
              <w:t xml:space="preserve">     </w:t>
            </w:r>
            <w:r w:rsidR="00BD36B1" w:rsidRPr="006F6D1E">
              <w:rPr>
                <w:b w:val="0"/>
              </w:rPr>
              <w:t xml:space="preserve">Sabiedrības līdzdalība </w:t>
            </w:r>
            <w:r w:rsidR="00960DA5" w:rsidRPr="006F6D1E">
              <w:rPr>
                <w:b w:val="0"/>
              </w:rPr>
              <w:t xml:space="preserve">noteikumu projektu </w:t>
            </w:r>
            <w:r w:rsidR="00BD36B1" w:rsidRPr="006F6D1E">
              <w:rPr>
                <w:b w:val="0"/>
              </w:rPr>
              <w:t>izstrādē tiek īstenota Ministru kabineta 2009.</w:t>
            </w:r>
            <w:r w:rsidR="00960DA5" w:rsidRPr="006F6D1E">
              <w:rPr>
                <w:b w:val="0"/>
              </w:rPr>
              <w:t> </w:t>
            </w:r>
            <w:r w:rsidR="00BD36B1" w:rsidRPr="006F6D1E">
              <w:rPr>
                <w:b w:val="0"/>
              </w:rPr>
              <w:t>gada 25.</w:t>
            </w:r>
            <w:r w:rsidR="00960DA5" w:rsidRPr="006F6D1E">
              <w:rPr>
                <w:b w:val="0"/>
              </w:rPr>
              <w:t> </w:t>
            </w:r>
            <w:r w:rsidR="00BD36B1" w:rsidRPr="006F6D1E">
              <w:rPr>
                <w:b w:val="0"/>
              </w:rPr>
              <w:t>augusta noteikumu Nr.</w:t>
            </w:r>
            <w:r w:rsidR="00960DA5" w:rsidRPr="006F6D1E">
              <w:rPr>
                <w:b w:val="0"/>
              </w:rPr>
              <w:t> </w:t>
            </w:r>
            <w:r w:rsidR="00BD36B1" w:rsidRPr="006F6D1E">
              <w:rPr>
                <w:b w:val="0"/>
              </w:rPr>
              <w:t>970 “Sabiedrības līdzdalības kārtība attīstības plānošanas procesā” 7.4.1, 7.5. un 7.6. apakšpunkt</w:t>
            </w:r>
            <w:r w:rsidR="00960DA5" w:rsidRPr="006F6D1E">
              <w:rPr>
                <w:b w:val="0"/>
              </w:rPr>
              <w:t>ā</w:t>
            </w:r>
            <w:r w:rsidR="00BD36B1" w:rsidRPr="006F6D1E">
              <w:rPr>
                <w:b w:val="0"/>
              </w:rPr>
              <w:t xml:space="preserve"> noteiktajā veidā.</w:t>
            </w:r>
          </w:p>
        </w:tc>
      </w:tr>
      <w:tr w:rsidR="00E3290D" w:rsidRPr="006F6D1E" w14:paraId="0A474F53" w14:textId="77777777" w:rsidTr="0035526D">
        <w:trPr>
          <w:cantSplit/>
        </w:trPr>
        <w:tc>
          <w:tcPr>
            <w:tcW w:w="230" w:type="pct"/>
            <w:hideMark/>
          </w:tcPr>
          <w:p w14:paraId="0A474F50" w14:textId="77777777" w:rsidR="00BD5588" w:rsidRPr="006F6D1E" w:rsidRDefault="00BC529D" w:rsidP="00E273A1">
            <w:pPr>
              <w:jc w:val="center"/>
            </w:pPr>
            <w:r w:rsidRPr="006F6D1E">
              <w:t>3.</w:t>
            </w:r>
          </w:p>
        </w:tc>
        <w:tc>
          <w:tcPr>
            <w:tcW w:w="1004" w:type="pct"/>
            <w:hideMark/>
          </w:tcPr>
          <w:p w14:paraId="0A474F51" w14:textId="77777777" w:rsidR="00BD5588" w:rsidRPr="006F6D1E" w:rsidRDefault="00BC529D" w:rsidP="00E273A1">
            <w:r w:rsidRPr="006F6D1E">
              <w:t>Sabiedrības līdzdalības rezultāti</w:t>
            </w:r>
          </w:p>
        </w:tc>
        <w:tc>
          <w:tcPr>
            <w:tcW w:w="3766" w:type="pct"/>
          </w:tcPr>
          <w:p w14:paraId="0A474F52" w14:textId="5003C71F" w:rsidR="00161647" w:rsidRPr="006F6D1E" w:rsidRDefault="004E5A3A" w:rsidP="0092169A">
            <w:pPr>
              <w:jc w:val="both"/>
            </w:pPr>
            <w:r w:rsidRPr="006F6D1E">
              <w:t xml:space="preserve">    </w:t>
            </w:r>
            <w:r w:rsidR="00BD36B1" w:rsidRPr="006F6D1E">
              <w:t xml:space="preserve">Sabiedrības informētība </w:t>
            </w:r>
            <w:r w:rsidR="00087120" w:rsidRPr="006F6D1E">
              <w:t>tiks</w:t>
            </w:r>
            <w:r w:rsidR="00BD36B1" w:rsidRPr="006F6D1E">
              <w:t xml:space="preserve"> nodrošināta, saņemtie viedokļi  </w:t>
            </w:r>
            <w:r w:rsidR="00960DA5" w:rsidRPr="006F6D1E">
              <w:t xml:space="preserve">tiks </w:t>
            </w:r>
            <w:r w:rsidR="00BD36B1" w:rsidRPr="006F6D1E">
              <w:t xml:space="preserve">izvērtēti un iespēju robežās ņemti vērā.  </w:t>
            </w:r>
          </w:p>
        </w:tc>
      </w:tr>
      <w:tr w:rsidR="0035526D" w:rsidRPr="006F6D1E" w14:paraId="0A474F58" w14:textId="77777777" w:rsidTr="0035526D">
        <w:trPr>
          <w:cantSplit/>
        </w:trPr>
        <w:tc>
          <w:tcPr>
            <w:tcW w:w="230" w:type="pct"/>
            <w:hideMark/>
          </w:tcPr>
          <w:p w14:paraId="0A474F54" w14:textId="77777777" w:rsidR="00BD5588" w:rsidRPr="006F6D1E" w:rsidRDefault="00BC529D" w:rsidP="00E273A1">
            <w:pPr>
              <w:jc w:val="center"/>
            </w:pPr>
            <w:r w:rsidRPr="006F6D1E">
              <w:t>4.</w:t>
            </w:r>
          </w:p>
        </w:tc>
        <w:tc>
          <w:tcPr>
            <w:tcW w:w="1004" w:type="pct"/>
            <w:hideMark/>
          </w:tcPr>
          <w:p w14:paraId="0A474F55" w14:textId="77777777" w:rsidR="00BD5588" w:rsidRPr="006F6D1E" w:rsidRDefault="00BC529D" w:rsidP="00E273A1">
            <w:r w:rsidRPr="006F6D1E">
              <w:t>Cita informācija</w:t>
            </w:r>
          </w:p>
        </w:tc>
        <w:tc>
          <w:tcPr>
            <w:tcW w:w="3766" w:type="pct"/>
            <w:hideMark/>
          </w:tcPr>
          <w:p w14:paraId="0A474F57" w14:textId="3BFADF9B" w:rsidR="00161647" w:rsidRPr="006F6D1E" w:rsidRDefault="004E5A3A" w:rsidP="00AB1D6B">
            <w:r w:rsidRPr="006F6D1E">
              <w:t xml:space="preserve">     </w:t>
            </w:r>
            <w:r w:rsidR="00BC529D" w:rsidRPr="006F6D1E">
              <w:t>Nav</w:t>
            </w:r>
            <w:r w:rsidR="00E3290D" w:rsidRPr="006F6D1E">
              <w:t>.</w:t>
            </w:r>
          </w:p>
        </w:tc>
      </w:tr>
    </w:tbl>
    <w:p w14:paraId="0A474F59" w14:textId="77777777" w:rsidR="00161647" w:rsidRPr="006F6D1E" w:rsidRDefault="00161647" w:rsidP="001E1EA0">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22"/>
        <w:gridCol w:w="2548"/>
        <w:gridCol w:w="6197"/>
      </w:tblGrid>
      <w:tr w:rsidR="00E3290D" w:rsidRPr="006F6D1E" w14:paraId="0A474F5B" w14:textId="77777777" w:rsidTr="0057649F">
        <w:trPr>
          <w:cantSplit/>
          <w:trHeight w:val="669"/>
        </w:trPr>
        <w:tc>
          <w:tcPr>
            <w:tcW w:w="5000" w:type="pct"/>
            <w:gridSpan w:val="3"/>
            <w:vAlign w:val="center"/>
            <w:hideMark/>
          </w:tcPr>
          <w:p w14:paraId="0A474F5A" w14:textId="77777777" w:rsidR="00BD5588" w:rsidRPr="006F6D1E" w:rsidRDefault="00BC529D" w:rsidP="0026564C">
            <w:pPr>
              <w:jc w:val="center"/>
              <w:rPr>
                <w:b/>
                <w:bCs/>
              </w:rPr>
            </w:pPr>
            <w:r w:rsidRPr="006F6D1E">
              <w:rPr>
                <w:b/>
                <w:bCs/>
              </w:rPr>
              <w:t>VII. Tiesību akta projekta izpildes nodrošināšan</w:t>
            </w:r>
            <w:r w:rsidR="00B76031" w:rsidRPr="006F6D1E">
              <w:rPr>
                <w:b/>
                <w:bCs/>
              </w:rPr>
              <w:t>a un tās ietekme uz institūcijām</w:t>
            </w:r>
          </w:p>
        </w:tc>
      </w:tr>
      <w:tr w:rsidR="00E3290D" w:rsidRPr="006F6D1E" w14:paraId="0A474F5F" w14:textId="77777777" w:rsidTr="0035526D">
        <w:trPr>
          <w:cantSplit/>
        </w:trPr>
        <w:tc>
          <w:tcPr>
            <w:tcW w:w="230" w:type="pct"/>
            <w:hideMark/>
          </w:tcPr>
          <w:p w14:paraId="0A474F5C" w14:textId="77777777" w:rsidR="00BD5588" w:rsidRPr="006F6D1E" w:rsidRDefault="00BC529D" w:rsidP="00E273A1">
            <w:pPr>
              <w:jc w:val="center"/>
            </w:pPr>
            <w:r w:rsidRPr="006F6D1E">
              <w:t>1.</w:t>
            </w:r>
          </w:p>
        </w:tc>
        <w:tc>
          <w:tcPr>
            <w:tcW w:w="1390" w:type="pct"/>
            <w:hideMark/>
          </w:tcPr>
          <w:p w14:paraId="0A474F5D" w14:textId="77777777" w:rsidR="00BD5588" w:rsidRPr="006F6D1E" w:rsidRDefault="00BC529D" w:rsidP="00E273A1">
            <w:r w:rsidRPr="006F6D1E">
              <w:t>Projekta izpildē iesaistītās institūcijas</w:t>
            </w:r>
          </w:p>
        </w:tc>
        <w:tc>
          <w:tcPr>
            <w:tcW w:w="3380" w:type="pct"/>
            <w:hideMark/>
          </w:tcPr>
          <w:p w14:paraId="0A474F5E" w14:textId="22611401" w:rsidR="00161647" w:rsidRPr="006F6D1E" w:rsidRDefault="004E5A3A" w:rsidP="001D02D5">
            <w:pPr>
              <w:jc w:val="both"/>
            </w:pPr>
            <w:r w:rsidRPr="006F6D1E">
              <w:t xml:space="preserve">     </w:t>
            </w:r>
            <w:r w:rsidR="00960DA5" w:rsidRPr="006F6D1E">
              <w:t>Noteikumu p</w:t>
            </w:r>
            <w:r w:rsidR="00BC529D" w:rsidRPr="006F6D1E">
              <w:t>rojekt</w:t>
            </w:r>
            <w:r w:rsidR="005A592F" w:rsidRPr="006F6D1E">
              <w:t>u</w:t>
            </w:r>
            <w:r w:rsidR="00BC529D" w:rsidRPr="006F6D1E">
              <w:t xml:space="preserve"> izpildi nodrošinās informācijas institūcijas un </w:t>
            </w:r>
            <w:r w:rsidR="001D02D5" w:rsidRPr="006F6D1E">
              <w:t>institūcijas</w:t>
            </w:r>
            <w:r w:rsidR="00BC529D" w:rsidRPr="006F6D1E">
              <w:t xml:space="preserve">, kas izsniedz ārvalstīs iegūtās profesionālās kvalifikācijas atzīšanas apliecības reglamentētajās profesijās, kas ir iesaistītas profesionālās kvalifikācijas atzīšanā </w:t>
            </w:r>
            <w:proofErr w:type="spellStart"/>
            <w:r w:rsidR="00BC529D" w:rsidRPr="006F6D1E">
              <w:t>sektoriālajās</w:t>
            </w:r>
            <w:proofErr w:type="spellEnd"/>
            <w:r w:rsidR="00BC529D" w:rsidRPr="006F6D1E">
              <w:t xml:space="preserve"> profesijās (norādītas šī </w:t>
            </w:r>
            <w:r w:rsidR="00960DA5" w:rsidRPr="006F6D1E">
              <w:t>sākotnējās (</w:t>
            </w:r>
            <w:proofErr w:type="spellStart"/>
            <w:r w:rsidR="00960DA5" w:rsidRPr="006F6D1E">
              <w:rPr>
                <w:i/>
                <w:iCs/>
              </w:rPr>
              <w:t>ex-</w:t>
            </w:r>
            <w:r w:rsidR="00960DA5" w:rsidRPr="006F6D1E">
              <w:t>ante</w:t>
            </w:r>
            <w:proofErr w:type="spellEnd"/>
            <w:r w:rsidR="00960DA5" w:rsidRPr="006F6D1E">
              <w:t>) ietekmes novērtējuma ziņojuma (</w:t>
            </w:r>
            <w:r w:rsidR="00BC529D" w:rsidRPr="006F6D1E">
              <w:t>anotācijas</w:t>
            </w:r>
            <w:r w:rsidR="00960DA5" w:rsidRPr="006F6D1E">
              <w:t>)</w:t>
            </w:r>
            <w:r w:rsidR="00BC529D" w:rsidRPr="006F6D1E">
              <w:t xml:space="preserve"> II sadaļas 1.</w:t>
            </w:r>
            <w:r w:rsidR="00960DA5" w:rsidRPr="006F6D1E">
              <w:t> </w:t>
            </w:r>
            <w:r w:rsidR="00BC529D" w:rsidRPr="006F6D1E">
              <w:t>punktā).</w:t>
            </w:r>
          </w:p>
        </w:tc>
      </w:tr>
      <w:tr w:rsidR="00E3290D" w:rsidRPr="006F6D1E" w14:paraId="0A474F63" w14:textId="77777777" w:rsidTr="0035526D">
        <w:tc>
          <w:tcPr>
            <w:tcW w:w="230" w:type="pct"/>
            <w:hideMark/>
          </w:tcPr>
          <w:p w14:paraId="0A474F60" w14:textId="77777777" w:rsidR="00BD5588" w:rsidRPr="006F6D1E" w:rsidRDefault="00BC529D" w:rsidP="00E273A1">
            <w:pPr>
              <w:jc w:val="center"/>
            </w:pPr>
            <w:r w:rsidRPr="006F6D1E">
              <w:lastRenderedPageBreak/>
              <w:t>2.</w:t>
            </w:r>
          </w:p>
        </w:tc>
        <w:tc>
          <w:tcPr>
            <w:tcW w:w="1390" w:type="pct"/>
            <w:hideMark/>
          </w:tcPr>
          <w:p w14:paraId="0A474F61" w14:textId="77777777" w:rsidR="00BD5588" w:rsidRPr="006F6D1E" w:rsidRDefault="00BC529D" w:rsidP="00E273A1">
            <w:r w:rsidRPr="006F6D1E">
              <w:t>Projekta izpildes ietekme uz pārvaldes funkcijām un institucionālo struktūru.</w:t>
            </w:r>
            <w:r w:rsidRPr="006F6D1E">
              <w:br/>
              <w:t>Jaunu institūciju izveide, esošu institūciju likvidācija vai reorganizācija, to ietekme uz institūcijas cilvēkresursiem</w:t>
            </w:r>
          </w:p>
        </w:tc>
        <w:tc>
          <w:tcPr>
            <w:tcW w:w="3380" w:type="pct"/>
            <w:hideMark/>
          </w:tcPr>
          <w:p w14:paraId="0A474F62" w14:textId="014923EA" w:rsidR="00CE664B" w:rsidRPr="006F6D1E" w:rsidRDefault="004E5A3A" w:rsidP="00AB1D6B">
            <w:pPr>
              <w:jc w:val="both"/>
            </w:pPr>
            <w:r w:rsidRPr="006F6D1E">
              <w:t xml:space="preserve">     </w:t>
            </w:r>
            <w:r w:rsidR="00BD36B1" w:rsidRPr="006F6D1E">
              <w:t>Noteikumu projekti neietekmēs pārvaldes funkcijas un institucionālo struktūru, kā arī cilvēkresursus. Nav nepieciešama jaunu institūciju izveide, esošu institūciju likvidācija vai reorganizācija</w:t>
            </w:r>
            <w:r w:rsidR="009B767C" w:rsidRPr="006F6D1E">
              <w:t>.</w:t>
            </w:r>
          </w:p>
        </w:tc>
      </w:tr>
      <w:tr w:rsidR="0035526D" w:rsidRPr="006F6D1E" w14:paraId="0A474F67" w14:textId="77777777" w:rsidTr="0035526D">
        <w:trPr>
          <w:cantSplit/>
        </w:trPr>
        <w:tc>
          <w:tcPr>
            <w:tcW w:w="230" w:type="pct"/>
            <w:hideMark/>
          </w:tcPr>
          <w:p w14:paraId="0A474F64" w14:textId="77777777" w:rsidR="00BD5588" w:rsidRPr="006F6D1E" w:rsidRDefault="00BC529D" w:rsidP="00E273A1">
            <w:pPr>
              <w:jc w:val="center"/>
            </w:pPr>
            <w:r w:rsidRPr="006F6D1E">
              <w:t>3.</w:t>
            </w:r>
          </w:p>
        </w:tc>
        <w:tc>
          <w:tcPr>
            <w:tcW w:w="1390" w:type="pct"/>
            <w:hideMark/>
          </w:tcPr>
          <w:p w14:paraId="0A474F65" w14:textId="77777777" w:rsidR="00BD5588" w:rsidRPr="006F6D1E" w:rsidRDefault="00BC529D" w:rsidP="00E273A1">
            <w:r w:rsidRPr="006F6D1E">
              <w:t>Cita informācija</w:t>
            </w:r>
          </w:p>
        </w:tc>
        <w:tc>
          <w:tcPr>
            <w:tcW w:w="3380" w:type="pct"/>
            <w:hideMark/>
          </w:tcPr>
          <w:p w14:paraId="0A474F66" w14:textId="6DF3684D" w:rsidR="00BD5588" w:rsidRPr="006F6D1E" w:rsidRDefault="004E5A3A" w:rsidP="0035526D">
            <w:r w:rsidRPr="006F6D1E">
              <w:t xml:space="preserve">     </w:t>
            </w:r>
            <w:r w:rsidR="00BC529D" w:rsidRPr="006F6D1E">
              <w:t>Nav</w:t>
            </w:r>
            <w:r w:rsidR="00EA3D31" w:rsidRPr="006F6D1E">
              <w:t>.</w:t>
            </w:r>
          </w:p>
        </w:tc>
      </w:tr>
    </w:tbl>
    <w:p w14:paraId="0A474F68" w14:textId="77777777" w:rsidR="00D21A8A" w:rsidRPr="006F6D1E" w:rsidRDefault="00D21A8A" w:rsidP="00D21A8A">
      <w:pPr>
        <w:tabs>
          <w:tab w:val="left" w:pos="6804"/>
        </w:tabs>
        <w:rPr>
          <w:lang w:eastAsia="ru-RU"/>
        </w:rPr>
      </w:pPr>
    </w:p>
    <w:p w14:paraId="0A474F69" w14:textId="77777777" w:rsidR="004E4DD9" w:rsidRPr="006F6D1E" w:rsidRDefault="004E4DD9" w:rsidP="00D21A8A">
      <w:pPr>
        <w:tabs>
          <w:tab w:val="left" w:pos="6804"/>
        </w:tabs>
        <w:rPr>
          <w:lang w:eastAsia="ru-RU"/>
        </w:rPr>
      </w:pPr>
    </w:p>
    <w:p w14:paraId="0A474F6A" w14:textId="59D703B0" w:rsidR="00D21A8A" w:rsidRPr="006F6D1E" w:rsidRDefault="00E3290D" w:rsidP="00466C3A">
      <w:pPr>
        <w:tabs>
          <w:tab w:val="left" w:pos="6946"/>
        </w:tabs>
        <w:rPr>
          <w:lang w:eastAsia="ru-RU"/>
        </w:rPr>
      </w:pPr>
      <w:r w:rsidRPr="006F6D1E">
        <w:rPr>
          <w:lang w:eastAsia="ru-RU"/>
        </w:rPr>
        <w:t xml:space="preserve">        </w:t>
      </w:r>
      <w:r w:rsidR="00BC529D" w:rsidRPr="006F6D1E">
        <w:rPr>
          <w:lang w:eastAsia="ru-RU"/>
        </w:rPr>
        <w:t xml:space="preserve">Izglītības un zinātnes ministrs                                                   </w:t>
      </w:r>
      <w:r w:rsidRPr="006F6D1E">
        <w:rPr>
          <w:lang w:eastAsia="ru-RU"/>
        </w:rPr>
        <w:t>I</w:t>
      </w:r>
      <w:r w:rsidR="00E71224" w:rsidRPr="006F6D1E">
        <w:rPr>
          <w:lang w:eastAsia="ru-RU"/>
        </w:rPr>
        <w:t>.</w:t>
      </w:r>
      <w:r w:rsidR="00CD5291" w:rsidRPr="006F6D1E">
        <w:rPr>
          <w:lang w:eastAsia="ru-RU"/>
        </w:rPr>
        <w:t xml:space="preserve"> Šuplinska</w:t>
      </w:r>
    </w:p>
    <w:p w14:paraId="0A474F6B" w14:textId="77777777" w:rsidR="00D21A8A" w:rsidRPr="006F6D1E" w:rsidRDefault="00D21A8A" w:rsidP="00D21A8A">
      <w:pPr>
        <w:rPr>
          <w:lang w:eastAsia="ru-RU"/>
        </w:rPr>
      </w:pPr>
    </w:p>
    <w:p w14:paraId="0A474F6C" w14:textId="3970AE45" w:rsidR="00D21A8A" w:rsidRPr="006F6D1E" w:rsidRDefault="00E3290D" w:rsidP="00D21A8A">
      <w:pPr>
        <w:rPr>
          <w:lang w:eastAsia="ru-RU"/>
        </w:rPr>
      </w:pPr>
      <w:r w:rsidRPr="006F6D1E">
        <w:rPr>
          <w:lang w:eastAsia="ru-RU"/>
        </w:rPr>
        <w:t xml:space="preserve">        </w:t>
      </w:r>
      <w:r w:rsidR="00BC529D" w:rsidRPr="006F6D1E">
        <w:rPr>
          <w:lang w:eastAsia="ru-RU"/>
        </w:rPr>
        <w:t xml:space="preserve">Vīza: </w:t>
      </w:r>
    </w:p>
    <w:p w14:paraId="0A474F6D" w14:textId="61E75D1F" w:rsidR="00D21A8A" w:rsidRPr="006F6D1E" w:rsidRDefault="00E3290D" w:rsidP="00466C3A">
      <w:pPr>
        <w:tabs>
          <w:tab w:val="left" w:pos="7371"/>
        </w:tabs>
        <w:rPr>
          <w:lang w:eastAsia="ru-RU"/>
        </w:rPr>
      </w:pPr>
      <w:r w:rsidRPr="006F6D1E">
        <w:rPr>
          <w:lang w:eastAsia="ru-RU"/>
        </w:rPr>
        <w:t xml:space="preserve">        </w:t>
      </w:r>
      <w:r w:rsidR="00BC529D" w:rsidRPr="006F6D1E">
        <w:rPr>
          <w:lang w:eastAsia="ru-RU"/>
        </w:rPr>
        <w:t xml:space="preserve">Valsts </w:t>
      </w:r>
      <w:r w:rsidR="00B16445" w:rsidRPr="006F6D1E">
        <w:rPr>
          <w:lang w:eastAsia="ru-RU"/>
        </w:rPr>
        <w:t xml:space="preserve">sekretāre                                           </w:t>
      </w:r>
      <w:r w:rsidRPr="006F6D1E">
        <w:rPr>
          <w:lang w:eastAsia="ru-RU"/>
        </w:rPr>
        <w:t xml:space="preserve">                               </w:t>
      </w:r>
      <w:r w:rsidR="00B16445" w:rsidRPr="006F6D1E">
        <w:rPr>
          <w:lang w:eastAsia="ru-RU"/>
        </w:rPr>
        <w:t>L</w:t>
      </w:r>
      <w:r w:rsidR="00E71224" w:rsidRPr="006F6D1E">
        <w:rPr>
          <w:lang w:eastAsia="ru-RU"/>
        </w:rPr>
        <w:t>.</w:t>
      </w:r>
      <w:r w:rsidR="00B16445" w:rsidRPr="006F6D1E">
        <w:rPr>
          <w:lang w:eastAsia="ru-RU"/>
        </w:rPr>
        <w:t xml:space="preserve"> Lejiņa</w:t>
      </w:r>
    </w:p>
    <w:p w14:paraId="0A474F6E" w14:textId="77777777" w:rsidR="00D21A8A" w:rsidRPr="006F6D1E" w:rsidRDefault="00D21A8A" w:rsidP="00D21A8A">
      <w:pPr>
        <w:suppressAutoHyphens/>
        <w:rPr>
          <w:lang w:eastAsia="ru-RU"/>
        </w:rPr>
      </w:pPr>
    </w:p>
    <w:p w14:paraId="0A474F6F" w14:textId="77777777" w:rsidR="004E4DD9" w:rsidRPr="006F6D1E" w:rsidRDefault="004E4DD9" w:rsidP="00D21A8A">
      <w:pPr>
        <w:suppressAutoHyphens/>
        <w:rPr>
          <w:lang w:eastAsia="ru-RU"/>
        </w:rPr>
      </w:pPr>
    </w:p>
    <w:p w14:paraId="0A474F70" w14:textId="77777777" w:rsidR="004E4DD9" w:rsidRPr="006F6D1E" w:rsidRDefault="004E4DD9" w:rsidP="00D21A8A">
      <w:pPr>
        <w:suppressAutoHyphens/>
        <w:rPr>
          <w:lang w:eastAsia="ru-RU"/>
        </w:rPr>
      </w:pPr>
    </w:p>
    <w:p w14:paraId="0A474F71" w14:textId="77777777" w:rsidR="004E4DD9" w:rsidRPr="006F6D1E" w:rsidRDefault="004E4DD9" w:rsidP="00D21A8A">
      <w:pPr>
        <w:suppressAutoHyphens/>
        <w:rPr>
          <w:lang w:eastAsia="ru-RU"/>
        </w:rPr>
      </w:pPr>
    </w:p>
    <w:p w14:paraId="0A474F72" w14:textId="77777777" w:rsidR="004E4DD9" w:rsidRPr="006F6D1E" w:rsidRDefault="004E4DD9" w:rsidP="00D21A8A">
      <w:pPr>
        <w:suppressAutoHyphens/>
        <w:rPr>
          <w:lang w:eastAsia="ru-RU"/>
        </w:rPr>
      </w:pPr>
    </w:p>
    <w:p w14:paraId="0A474F74" w14:textId="77777777" w:rsidR="005F11BD" w:rsidRPr="006F6D1E" w:rsidRDefault="00BC529D" w:rsidP="001E1EA0">
      <w:pPr>
        <w:tabs>
          <w:tab w:val="left" w:pos="0"/>
        </w:tabs>
        <w:jc w:val="both"/>
        <w:rPr>
          <w:sz w:val="22"/>
          <w:szCs w:val="22"/>
          <w:lang w:eastAsia="ru-RU"/>
        </w:rPr>
      </w:pPr>
      <w:r w:rsidRPr="006F6D1E">
        <w:rPr>
          <w:sz w:val="22"/>
          <w:szCs w:val="22"/>
          <w:lang w:eastAsia="ru-RU"/>
        </w:rPr>
        <w:t>Stūre, 67047899</w:t>
      </w:r>
    </w:p>
    <w:p w14:paraId="35806ABC" w14:textId="30DF1DCB" w:rsidR="005F11BD" w:rsidRPr="00E3290D" w:rsidRDefault="00BC529D" w:rsidP="002E43AB">
      <w:pPr>
        <w:tabs>
          <w:tab w:val="left" w:pos="0"/>
        </w:tabs>
        <w:jc w:val="both"/>
        <w:rPr>
          <w:sz w:val="22"/>
          <w:szCs w:val="22"/>
          <w:lang w:eastAsia="ru-RU"/>
        </w:rPr>
      </w:pPr>
      <w:r w:rsidRPr="006F6D1E">
        <w:rPr>
          <w:sz w:val="22"/>
          <w:szCs w:val="22"/>
          <w:lang w:eastAsia="ru-RU"/>
        </w:rPr>
        <w:t>Inese.Sture@izm.gov.lv</w:t>
      </w:r>
      <w:r w:rsidR="006824DE" w:rsidRPr="00E3290D">
        <w:rPr>
          <w:sz w:val="22"/>
          <w:szCs w:val="22"/>
          <w:lang w:eastAsia="ru-RU"/>
        </w:rPr>
        <w:tab/>
      </w:r>
    </w:p>
    <w:sectPr w:rsidR="005F11BD" w:rsidRPr="00E3290D" w:rsidSect="000148BB">
      <w:headerReference w:type="default" r:id="rId9"/>
      <w:footerReference w:type="defaul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2D860" w14:textId="77777777" w:rsidR="00B158DE" w:rsidRDefault="00B158DE">
      <w:r>
        <w:separator/>
      </w:r>
    </w:p>
  </w:endnote>
  <w:endnote w:type="continuationSeparator" w:id="0">
    <w:p w14:paraId="02CF310C" w14:textId="77777777" w:rsidR="00B158DE" w:rsidRDefault="00B1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16702"/>
      <w:docPartObj>
        <w:docPartGallery w:val="Page Numbers (Bottom of Page)"/>
        <w:docPartUnique/>
      </w:docPartObj>
    </w:sdtPr>
    <w:sdtEndPr/>
    <w:sdtContent>
      <w:p w14:paraId="0A474F7C" w14:textId="1C7129C8" w:rsidR="00F3269F" w:rsidRDefault="00F3269F" w:rsidP="006E44C9">
        <w:pPr>
          <w:pStyle w:val="NormalWeb"/>
          <w:spacing w:before="0" w:beforeAutospacing="0" w:after="0" w:afterAutospacing="0"/>
          <w:jc w:val="both"/>
        </w:pPr>
        <w:r>
          <w:rPr>
            <w:rFonts w:ascii="Times New Roman" w:hAnsi="Times New Roman"/>
            <w:sz w:val="20"/>
            <w:szCs w:val="20"/>
          </w:rPr>
          <w:t>IZMAnot_290719</w:t>
        </w:r>
        <w:r w:rsidRPr="006E44C9">
          <w:rPr>
            <w:rFonts w:ascii="Times New Roman" w:hAnsi="Times New Roman"/>
            <w:sz w:val="20"/>
            <w:szCs w:val="20"/>
          </w:rPr>
          <w:t>_groz</w:t>
        </w:r>
        <w:r>
          <w:rPr>
            <w:rFonts w:ascii="Times New Roman" w:hAnsi="Times New Roman"/>
            <w:sz w:val="20"/>
            <w:szCs w:val="20"/>
          </w:rPr>
          <w:t>dipl</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74F7D" w14:textId="77777777" w:rsidR="00F3269F" w:rsidRDefault="00F3269F" w:rsidP="00A05F72">
    <w:pPr>
      <w:pStyle w:val="Footer"/>
    </w:pPr>
  </w:p>
  <w:p w14:paraId="0A474F7E" w14:textId="47BCA590" w:rsidR="00F3269F" w:rsidRPr="00F263BE" w:rsidRDefault="00F3269F" w:rsidP="00A05F72">
    <w:pPr>
      <w:pStyle w:val="Footer"/>
      <w:rPr>
        <w:sz w:val="22"/>
        <w:szCs w:val="22"/>
      </w:rPr>
    </w:pPr>
    <w:r>
      <w:rPr>
        <w:sz w:val="22"/>
        <w:szCs w:val="22"/>
      </w:rPr>
      <w:t>IZMAnot_290719</w:t>
    </w:r>
    <w:r w:rsidRPr="00F263BE">
      <w:rPr>
        <w:sz w:val="22"/>
        <w:szCs w:val="22"/>
      </w:rPr>
      <w:t>_groz</w:t>
    </w:r>
    <w:r>
      <w:rPr>
        <w:sz w:val="22"/>
        <w:szCs w:val="22"/>
      </w:rPr>
      <w:t>dipl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7D638" w14:textId="77777777" w:rsidR="00B158DE" w:rsidRDefault="00B158DE">
      <w:r>
        <w:separator/>
      </w:r>
    </w:p>
  </w:footnote>
  <w:footnote w:type="continuationSeparator" w:id="0">
    <w:p w14:paraId="068B425B" w14:textId="77777777" w:rsidR="00B158DE" w:rsidRDefault="00B158DE">
      <w:r>
        <w:continuationSeparator/>
      </w:r>
    </w:p>
  </w:footnote>
  <w:footnote w:id="1">
    <w:p w14:paraId="15C30538" w14:textId="43C3B320" w:rsidR="00F3269F" w:rsidRPr="00E3290D" w:rsidRDefault="00F3269F" w:rsidP="00E3290D">
      <w:pPr>
        <w:pStyle w:val="FootnoteText"/>
        <w:jc w:val="both"/>
      </w:pPr>
      <w:r w:rsidRPr="00E3290D">
        <w:rPr>
          <w:rStyle w:val="FootnoteReference"/>
        </w:rPr>
        <w:footnoteRef/>
      </w:r>
      <w:r w:rsidRPr="00E3290D">
        <w:t xml:space="preserve"> Pie </w:t>
      </w:r>
      <w:proofErr w:type="spellStart"/>
      <w:r w:rsidRPr="00E3290D">
        <w:t>sektoriālajām</w:t>
      </w:r>
      <w:proofErr w:type="spellEnd"/>
      <w:r w:rsidRPr="00E3290D">
        <w:t xml:space="preserve"> profesijām pieder arī arhitekta profesija</w:t>
      </w:r>
      <w:r>
        <w:t>.</w:t>
      </w:r>
    </w:p>
  </w:footnote>
  <w:footnote w:id="2">
    <w:p w14:paraId="49B978B3" w14:textId="48D6B252" w:rsidR="00F3269F" w:rsidRDefault="00F3269F" w:rsidP="00E3290D">
      <w:pPr>
        <w:pStyle w:val="FootnoteText"/>
        <w:jc w:val="both"/>
      </w:pPr>
      <w:r>
        <w:rPr>
          <w:rStyle w:val="FootnoteReference"/>
        </w:rPr>
        <w:footnoteRef/>
      </w:r>
      <w:r>
        <w:t xml:space="preserve"> Tas, ka direktīvas 2005/36/EK V pielikumā minētie vārdi “Atsauces gads” attiecas uz mācību uzsākšanas nevis dokumenta izdošanas brīdi, izriet no direktīvas 2005/36/EK 23. panta 1. punkta.</w:t>
      </w:r>
    </w:p>
  </w:footnote>
  <w:footnote w:id="3">
    <w:p w14:paraId="1AE16789" w14:textId="21F4BF97" w:rsidR="00F3269F" w:rsidRPr="00AB1D6B" w:rsidRDefault="00F3269F" w:rsidP="002A5C03">
      <w:pPr>
        <w:pStyle w:val="CM1"/>
        <w:spacing w:before="200" w:after="200"/>
        <w:rPr>
          <w:color w:val="000000"/>
          <w:sz w:val="22"/>
          <w:szCs w:val="22"/>
        </w:rPr>
      </w:pPr>
      <w:r w:rsidRPr="00AB1D6B">
        <w:rPr>
          <w:rStyle w:val="FootnoteReference"/>
          <w:sz w:val="22"/>
          <w:szCs w:val="22"/>
        </w:rPr>
        <w:footnoteRef/>
      </w:r>
      <w:r w:rsidRPr="00AB1D6B">
        <w:rPr>
          <w:sz w:val="22"/>
          <w:szCs w:val="22"/>
        </w:rPr>
        <w:t xml:space="preserve"> Attiecībā uz direktīvas 2005/36/EK 41.panta 1.punkta b) un c) apakšpunktos noteikto ir jāņem vērā, ka direktīvas 2005/36/EK </w:t>
      </w:r>
      <w:r w:rsidRPr="002A5C03">
        <w:rPr>
          <w:sz w:val="22"/>
          <w:szCs w:val="22"/>
        </w:rPr>
        <w:t xml:space="preserve">oficiālais tulkojums latviešu valodā, kas pieejams vietnē </w:t>
      </w:r>
      <w:hyperlink r:id="rId1" w:history="1">
        <w:r w:rsidRPr="002A5C03">
          <w:rPr>
            <w:rStyle w:val="Hyperlink"/>
            <w:sz w:val="22"/>
            <w:szCs w:val="22"/>
          </w:rPr>
          <w:t>https://eur-lex.europa.eu/legal-content/LV/TXT/PDF/?uri=CELEX:02005L0036-20160524&amp;from=EN</w:t>
        </w:r>
      </w:hyperlink>
      <w:r w:rsidRPr="002A5C03">
        <w:rPr>
          <w:sz w:val="22"/>
          <w:szCs w:val="22"/>
        </w:rPr>
        <w:t xml:space="preserve">, ir uzskatāms par kļūdainu un nesakrīt ar angļu valodā izteiktajām tiesību normām (pieejams vietnē </w:t>
      </w:r>
      <w:hyperlink r:id="rId2" w:history="1">
        <w:r w:rsidRPr="002A5C03">
          <w:rPr>
            <w:rStyle w:val="Hyperlink"/>
            <w:sz w:val="22"/>
            <w:szCs w:val="22"/>
          </w:rPr>
          <w:t>https://eur-lex.europa.eu/legal-content/EN/TXT/PDF/?uri=CELEX:02005L0036-20160524&amp;from=EN</w:t>
        </w:r>
      </w:hyperlink>
      <w:r w:rsidRPr="002A5C03">
        <w:rPr>
          <w:sz w:val="22"/>
          <w:szCs w:val="22"/>
        </w:rPr>
        <w:t>). Kļūda direktīvas 2005/36/EK 41.panta 1.punkt b) apakšpunkta tulkojumā ir vārdu savienojums “</w:t>
      </w:r>
      <w:r w:rsidRPr="002A5C03">
        <w:rPr>
          <w:color w:val="000000"/>
          <w:sz w:val="22"/>
          <w:szCs w:val="22"/>
        </w:rPr>
        <w:t>vismaz divus gadus vai 3 600 stundu ilga”</w:t>
      </w:r>
      <w:r w:rsidRPr="002A5C03">
        <w:rPr>
          <w:sz w:val="22"/>
          <w:szCs w:val="22"/>
        </w:rPr>
        <w:t>, bet c) apakšpunktā – vārdu savienojum</w:t>
      </w:r>
      <w:r>
        <w:rPr>
          <w:sz w:val="22"/>
          <w:szCs w:val="22"/>
        </w:rPr>
        <w:t>s</w:t>
      </w:r>
      <w:r w:rsidRPr="002A5C03">
        <w:rPr>
          <w:sz w:val="22"/>
          <w:szCs w:val="22"/>
        </w:rPr>
        <w:t xml:space="preserve"> </w:t>
      </w:r>
      <w:r w:rsidRPr="00AB1D6B">
        <w:rPr>
          <w:sz w:val="22"/>
          <w:szCs w:val="22"/>
        </w:rPr>
        <w:t>“</w:t>
      </w:r>
      <w:r w:rsidRPr="00AB1D6B">
        <w:rPr>
          <w:color w:val="000000"/>
          <w:sz w:val="22"/>
          <w:szCs w:val="22"/>
        </w:rPr>
        <w:t xml:space="preserve">vismaz 18 mēnešus vai 3 000 stundu ilga”, jo norāda uz izvēli starp vienu prasībām, turpretī direktīvā 2005/36/EK ir noteikta obligāta abu šo prasību ievērošana, t.i. tās ir kumulatīvas prasības. </w:t>
      </w:r>
      <w:r w:rsidRPr="00AB1D6B">
        <w:rPr>
          <w:sz w:val="22"/>
          <w:szCs w:val="22"/>
        </w:rPr>
        <w:t xml:space="preserve">Grozījumi noteikumos Nr.149 ir sagatavoti, ņemot vērā direktīvas 2005/36/EK 41.panta 1.punkt b) un c) apakšpunktu tekstu angļu valodā. </w:t>
      </w:r>
    </w:p>
    <w:p w14:paraId="29C1B719" w14:textId="77777777" w:rsidR="00F3269F" w:rsidRDefault="00F3269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191959"/>
      <w:docPartObj>
        <w:docPartGallery w:val="Page Numbers (Top of Page)"/>
        <w:docPartUnique/>
      </w:docPartObj>
    </w:sdtPr>
    <w:sdtEndPr>
      <w:rPr>
        <w:noProof/>
      </w:rPr>
    </w:sdtEndPr>
    <w:sdtContent>
      <w:p w14:paraId="0A474F7B" w14:textId="0C515F66" w:rsidR="00F3269F" w:rsidRDefault="00F3269F" w:rsidP="00E3290D">
        <w:pPr>
          <w:pStyle w:val="Header"/>
          <w:jc w:val="center"/>
        </w:pPr>
        <w:r>
          <w:fldChar w:fldCharType="begin"/>
        </w:r>
        <w:r>
          <w:instrText xml:space="preserve"> PAGE   \* MERGEFORMAT </w:instrText>
        </w:r>
        <w:r>
          <w:fldChar w:fldCharType="separate"/>
        </w:r>
        <w:r w:rsidR="006F6D1E">
          <w:rPr>
            <w:noProof/>
          </w:rPr>
          <w:t>15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44E97"/>
    <w:multiLevelType w:val="hybridMultilevel"/>
    <w:tmpl w:val="F9A6E57C"/>
    <w:lvl w:ilvl="0" w:tplc="6130F59C">
      <w:start w:val="1"/>
      <w:numFmt w:val="decimal"/>
      <w:lvlText w:val="%1)"/>
      <w:lvlJc w:val="left"/>
      <w:pPr>
        <w:ind w:left="720" w:hanging="360"/>
      </w:pPr>
      <w:rPr>
        <w:rFonts w:hint="default"/>
      </w:rPr>
    </w:lvl>
    <w:lvl w:ilvl="1" w:tplc="FF94704A" w:tentative="1">
      <w:start w:val="1"/>
      <w:numFmt w:val="lowerLetter"/>
      <w:lvlText w:val="%2."/>
      <w:lvlJc w:val="left"/>
      <w:pPr>
        <w:ind w:left="1440" w:hanging="360"/>
      </w:pPr>
    </w:lvl>
    <w:lvl w:ilvl="2" w:tplc="61FA4A9E" w:tentative="1">
      <w:start w:val="1"/>
      <w:numFmt w:val="lowerRoman"/>
      <w:lvlText w:val="%3."/>
      <w:lvlJc w:val="right"/>
      <w:pPr>
        <w:ind w:left="2160" w:hanging="180"/>
      </w:pPr>
    </w:lvl>
    <w:lvl w:ilvl="3" w:tplc="EB8E61FE" w:tentative="1">
      <w:start w:val="1"/>
      <w:numFmt w:val="decimal"/>
      <w:lvlText w:val="%4."/>
      <w:lvlJc w:val="left"/>
      <w:pPr>
        <w:ind w:left="2880" w:hanging="360"/>
      </w:pPr>
    </w:lvl>
    <w:lvl w:ilvl="4" w:tplc="D338B718" w:tentative="1">
      <w:start w:val="1"/>
      <w:numFmt w:val="lowerLetter"/>
      <w:lvlText w:val="%5."/>
      <w:lvlJc w:val="left"/>
      <w:pPr>
        <w:ind w:left="3600" w:hanging="360"/>
      </w:pPr>
    </w:lvl>
    <w:lvl w:ilvl="5" w:tplc="86BE8B72" w:tentative="1">
      <w:start w:val="1"/>
      <w:numFmt w:val="lowerRoman"/>
      <w:lvlText w:val="%6."/>
      <w:lvlJc w:val="right"/>
      <w:pPr>
        <w:ind w:left="4320" w:hanging="180"/>
      </w:pPr>
    </w:lvl>
    <w:lvl w:ilvl="6" w:tplc="3E4E8F7C" w:tentative="1">
      <w:start w:val="1"/>
      <w:numFmt w:val="decimal"/>
      <w:lvlText w:val="%7."/>
      <w:lvlJc w:val="left"/>
      <w:pPr>
        <w:ind w:left="5040" w:hanging="360"/>
      </w:pPr>
    </w:lvl>
    <w:lvl w:ilvl="7" w:tplc="FF2E542A" w:tentative="1">
      <w:start w:val="1"/>
      <w:numFmt w:val="lowerLetter"/>
      <w:lvlText w:val="%8."/>
      <w:lvlJc w:val="left"/>
      <w:pPr>
        <w:ind w:left="5760" w:hanging="360"/>
      </w:pPr>
    </w:lvl>
    <w:lvl w:ilvl="8" w:tplc="42646C7C" w:tentative="1">
      <w:start w:val="1"/>
      <w:numFmt w:val="lowerRoman"/>
      <w:lvlText w:val="%9."/>
      <w:lvlJc w:val="right"/>
      <w:pPr>
        <w:ind w:left="6480" w:hanging="180"/>
      </w:pPr>
    </w:lvl>
  </w:abstractNum>
  <w:abstractNum w:abstractNumId="1" w15:restartNumberingAfterBreak="1">
    <w:nsid w:val="046008A9"/>
    <w:multiLevelType w:val="hybridMultilevel"/>
    <w:tmpl w:val="1A8CE766"/>
    <w:lvl w:ilvl="0" w:tplc="71ECE7DA">
      <w:start w:val="5"/>
      <w:numFmt w:val="decimal"/>
      <w:lvlText w:val="%1."/>
      <w:lvlJc w:val="left"/>
      <w:pPr>
        <w:ind w:left="720" w:hanging="360"/>
      </w:pPr>
      <w:rPr>
        <w:rFonts w:hint="default"/>
      </w:rPr>
    </w:lvl>
    <w:lvl w:ilvl="1" w:tplc="3134F7D4" w:tentative="1">
      <w:start w:val="1"/>
      <w:numFmt w:val="lowerLetter"/>
      <w:lvlText w:val="%2."/>
      <w:lvlJc w:val="left"/>
      <w:pPr>
        <w:ind w:left="1440" w:hanging="360"/>
      </w:pPr>
    </w:lvl>
    <w:lvl w:ilvl="2" w:tplc="43685AD8" w:tentative="1">
      <w:start w:val="1"/>
      <w:numFmt w:val="lowerRoman"/>
      <w:lvlText w:val="%3."/>
      <w:lvlJc w:val="right"/>
      <w:pPr>
        <w:ind w:left="2160" w:hanging="180"/>
      </w:pPr>
    </w:lvl>
    <w:lvl w:ilvl="3" w:tplc="AE743F20" w:tentative="1">
      <w:start w:val="1"/>
      <w:numFmt w:val="decimal"/>
      <w:lvlText w:val="%4."/>
      <w:lvlJc w:val="left"/>
      <w:pPr>
        <w:ind w:left="2880" w:hanging="360"/>
      </w:pPr>
    </w:lvl>
    <w:lvl w:ilvl="4" w:tplc="15BAF832" w:tentative="1">
      <w:start w:val="1"/>
      <w:numFmt w:val="lowerLetter"/>
      <w:lvlText w:val="%5."/>
      <w:lvlJc w:val="left"/>
      <w:pPr>
        <w:ind w:left="3600" w:hanging="360"/>
      </w:pPr>
    </w:lvl>
    <w:lvl w:ilvl="5" w:tplc="44CCC74A" w:tentative="1">
      <w:start w:val="1"/>
      <w:numFmt w:val="lowerRoman"/>
      <w:lvlText w:val="%6."/>
      <w:lvlJc w:val="right"/>
      <w:pPr>
        <w:ind w:left="4320" w:hanging="180"/>
      </w:pPr>
    </w:lvl>
    <w:lvl w:ilvl="6" w:tplc="DC8A56EA" w:tentative="1">
      <w:start w:val="1"/>
      <w:numFmt w:val="decimal"/>
      <w:lvlText w:val="%7."/>
      <w:lvlJc w:val="left"/>
      <w:pPr>
        <w:ind w:left="5040" w:hanging="360"/>
      </w:pPr>
    </w:lvl>
    <w:lvl w:ilvl="7" w:tplc="D96EFCAA" w:tentative="1">
      <w:start w:val="1"/>
      <w:numFmt w:val="lowerLetter"/>
      <w:lvlText w:val="%8."/>
      <w:lvlJc w:val="left"/>
      <w:pPr>
        <w:ind w:left="5760" w:hanging="360"/>
      </w:pPr>
    </w:lvl>
    <w:lvl w:ilvl="8" w:tplc="8C66961C" w:tentative="1">
      <w:start w:val="1"/>
      <w:numFmt w:val="lowerRoman"/>
      <w:lvlText w:val="%9."/>
      <w:lvlJc w:val="right"/>
      <w:pPr>
        <w:ind w:left="6480" w:hanging="180"/>
      </w:pPr>
    </w:lvl>
  </w:abstractNum>
  <w:abstractNum w:abstractNumId="2" w15:restartNumberingAfterBreak="1">
    <w:nsid w:val="05B52C5C"/>
    <w:multiLevelType w:val="hybridMultilevel"/>
    <w:tmpl w:val="11B244F0"/>
    <w:lvl w:ilvl="0" w:tplc="A184C432">
      <w:start w:val="2017"/>
      <w:numFmt w:val="bullet"/>
      <w:lvlText w:val="-"/>
      <w:lvlJc w:val="left"/>
      <w:pPr>
        <w:ind w:left="720" w:hanging="360"/>
      </w:pPr>
      <w:rPr>
        <w:rFonts w:ascii="Times New Roman" w:eastAsia="Calibri" w:hAnsi="Times New Roman" w:cs="Times New Roman" w:hint="default"/>
      </w:rPr>
    </w:lvl>
    <w:lvl w:ilvl="1" w:tplc="4BA8F730" w:tentative="1">
      <w:start w:val="1"/>
      <w:numFmt w:val="bullet"/>
      <w:lvlText w:val="o"/>
      <w:lvlJc w:val="left"/>
      <w:pPr>
        <w:ind w:left="1440" w:hanging="360"/>
      </w:pPr>
      <w:rPr>
        <w:rFonts w:ascii="Courier New" w:hAnsi="Courier New" w:cs="Courier New" w:hint="default"/>
      </w:rPr>
    </w:lvl>
    <w:lvl w:ilvl="2" w:tplc="A5E004FE" w:tentative="1">
      <w:start w:val="1"/>
      <w:numFmt w:val="bullet"/>
      <w:lvlText w:val=""/>
      <w:lvlJc w:val="left"/>
      <w:pPr>
        <w:ind w:left="2160" w:hanging="360"/>
      </w:pPr>
      <w:rPr>
        <w:rFonts w:ascii="Wingdings" w:hAnsi="Wingdings" w:hint="default"/>
      </w:rPr>
    </w:lvl>
    <w:lvl w:ilvl="3" w:tplc="BEECEF2A" w:tentative="1">
      <w:start w:val="1"/>
      <w:numFmt w:val="bullet"/>
      <w:lvlText w:val=""/>
      <w:lvlJc w:val="left"/>
      <w:pPr>
        <w:ind w:left="2880" w:hanging="360"/>
      </w:pPr>
      <w:rPr>
        <w:rFonts w:ascii="Symbol" w:hAnsi="Symbol" w:hint="default"/>
      </w:rPr>
    </w:lvl>
    <w:lvl w:ilvl="4" w:tplc="DD9AE32C" w:tentative="1">
      <w:start w:val="1"/>
      <w:numFmt w:val="bullet"/>
      <w:lvlText w:val="o"/>
      <w:lvlJc w:val="left"/>
      <w:pPr>
        <w:ind w:left="3600" w:hanging="360"/>
      </w:pPr>
      <w:rPr>
        <w:rFonts w:ascii="Courier New" w:hAnsi="Courier New" w:cs="Courier New" w:hint="default"/>
      </w:rPr>
    </w:lvl>
    <w:lvl w:ilvl="5" w:tplc="A50C4B68" w:tentative="1">
      <w:start w:val="1"/>
      <w:numFmt w:val="bullet"/>
      <w:lvlText w:val=""/>
      <w:lvlJc w:val="left"/>
      <w:pPr>
        <w:ind w:left="4320" w:hanging="360"/>
      </w:pPr>
      <w:rPr>
        <w:rFonts w:ascii="Wingdings" w:hAnsi="Wingdings" w:hint="default"/>
      </w:rPr>
    </w:lvl>
    <w:lvl w:ilvl="6" w:tplc="69925EEE" w:tentative="1">
      <w:start w:val="1"/>
      <w:numFmt w:val="bullet"/>
      <w:lvlText w:val=""/>
      <w:lvlJc w:val="left"/>
      <w:pPr>
        <w:ind w:left="5040" w:hanging="360"/>
      </w:pPr>
      <w:rPr>
        <w:rFonts w:ascii="Symbol" w:hAnsi="Symbol" w:hint="default"/>
      </w:rPr>
    </w:lvl>
    <w:lvl w:ilvl="7" w:tplc="4AFE4C26" w:tentative="1">
      <w:start w:val="1"/>
      <w:numFmt w:val="bullet"/>
      <w:lvlText w:val="o"/>
      <w:lvlJc w:val="left"/>
      <w:pPr>
        <w:ind w:left="5760" w:hanging="360"/>
      </w:pPr>
      <w:rPr>
        <w:rFonts w:ascii="Courier New" w:hAnsi="Courier New" w:cs="Courier New" w:hint="default"/>
      </w:rPr>
    </w:lvl>
    <w:lvl w:ilvl="8" w:tplc="B8D8C024" w:tentative="1">
      <w:start w:val="1"/>
      <w:numFmt w:val="bullet"/>
      <w:lvlText w:val=""/>
      <w:lvlJc w:val="left"/>
      <w:pPr>
        <w:ind w:left="6480" w:hanging="360"/>
      </w:pPr>
      <w:rPr>
        <w:rFonts w:ascii="Wingdings" w:hAnsi="Wingdings" w:hint="default"/>
      </w:rPr>
    </w:lvl>
  </w:abstractNum>
  <w:abstractNum w:abstractNumId="3" w15:restartNumberingAfterBreak="1">
    <w:nsid w:val="07882B2E"/>
    <w:multiLevelType w:val="hybridMultilevel"/>
    <w:tmpl w:val="CAFE16A0"/>
    <w:lvl w:ilvl="0" w:tplc="5C884156">
      <w:start w:val="5"/>
      <w:numFmt w:val="decimal"/>
      <w:lvlText w:val="%1."/>
      <w:lvlJc w:val="left"/>
      <w:pPr>
        <w:ind w:left="1085" w:hanging="360"/>
      </w:pPr>
      <w:rPr>
        <w:rFonts w:hint="default"/>
      </w:rPr>
    </w:lvl>
    <w:lvl w:ilvl="1" w:tplc="F904D166" w:tentative="1">
      <w:start w:val="1"/>
      <w:numFmt w:val="lowerLetter"/>
      <w:lvlText w:val="%2."/>
      <w:lvlJc w:val="left"/>
      <w:pPr>
        <w:ind w:left="1805" w:hanging="360"/>
      </w:pPr>
    </w:lvl>
    <w:lvl w:ilvl="2" w:tplc="ECAE76B8" w:tentative="1">
      <w:start w:val="1"/>
      <w:numFmt w:val="lowerRoman"/>
      <w:lvlText w:val="%3."/>
      <w:lvlJc w:val="right"/>
      <w:pPr>
        <w:ind w:left="2525" w:hanging="180"/>
      </w:pPr>
    </w:lvl>
    <w:lvl w:ilvl="3" w:tplc="03FC1820" w:tentative="1">
      <w:start w:val="1"/>
      <w:numFmt w:val="decimal"/>
      <w:lvlText w:val="%4."/>
      <w:lvlJc w:val="left"/>
      <w:pPr>
        <w:ind w:left="3245" w:hanging="360"/>
      </w:pPr>
    </w:lvl>
    <w:lvl w:ilvl="4" w:tplc="E52C70DA" w:tentative="1">
      <w:start w:val="1"/>
      <w:numFmt w:val="lowerLetter"/>
      <w:lvlText w:val="%5."/>
      <w:lvlJc w:val="left"/>
      <w:pPr>
        <w:ind w:left="3965" w:hanging="360"/>
      </w:pPr>
    </w:lvl>
    <w:lvl w:ilvl="5" w:tplc="C1E4DB42" w:tentative="1">
      <w:start w:val="1"/>
      <w:numFmt w:val="lowerRoman"/>
      <w:lvlText w:val="%6."/>
      <w:lvlJc w:val="right"/>
      <w:pPr>
        <w:ind w:left="4685" w:hanging="180"/>
      </w:pPr>
    </w:lvl>
    <w:lvl w:ilvl="6" w:tplc="34E45FFA" w:tentative="1">
      <w:start w:val="1"/>
      <w:numFmt w:val="decimal"/>
      <w:lvlText w:val="%7."/>
      <w:lvlJc w:val="left"/>
      <w:pPr>
        <w:ind w:left="5405" w:hanging="360"/>
      </w:pPr>
    </w:lvl>
    <w:lvl w:ilvl="7" w:tplc="96E8D0A0" w:tentative="1">
      <w:start w:val="1"/>
      <w:numFmt w:val="lowerLetter"/>
      <w:lvlText w:val="%8."/>
      <w:lvlJc w:val="left"/>
      <w:pPr>
        <w:ind w:left="6125" w:hanging="360"/>
      </w:pPr>
    </w:lvl>
    <w:lvl w:ilvl="8" w:tplc="2E1EB986" w:tentative="1">
      <w:start w:val="1"/>
      <w:numFmt w:val="lowerRoman"/>
      <w:lvlText w:val="%9."/>
      <w:lvlJc w:val="right"/>
      <w:pPr>
        <w:ind w:left="6845" w:hanging="180"/>
      </w:pPr>
    </w:lvl>
  </w:abstractNum>
  <w:abstractNum w:abstractNumId="4" w15:restartNumberingAfterBreak="1">
    <w:nsid w:val="26400F92"/>
    <w:multiLevelType w:val="hybridMultilevel"/>
    <w:tmpl w:val="E7EA9052"/>
    <w:lvl w:ilvl="0" w:tplc="205E2866">
      <w:start w:val="1"/>
      <w:numFmt w:val="bullet"/>
      <w:lvlText w:val=""/>
      <w:lvlJc w:val="left"/>
      <w:pPr>
        <w:ind w:left="1123" w:hanging="360"/>
      </w:pPr>
      <w:rPr>
        <w:rFonts w:ascii="Symbol" w:hAnsi="Symbol" w:hint="default"/>
      </w:rPr>
    </w:lvl>
    <w:lvl w:ilvl="1" w:tplc="377E3FF2" w:tentative="1">
      <w:start w:val="1"/>
      <w:numFmt w:val="bullet"/>
      <w:lvlText w:val="o"/>
      <w:lvlJc w:val="left"/>
      <w:pPr>
        <w:ind w:left="1843" w:hanging="360"/>
      </w:pPr>
      <w:rPr>
        <w:rFonts w:ascii="Courier New" w:hAnsi="Courier New" w:cs="Courier New" w:hint="default"/>
      </w:rPr>
    </w:lvl>
    <w:lvl w:ilvl="2" w:tplc="A90811F6" w:tentative="1">
      <w:start w:val="1"/>
      <w:numFmt w:val="bullet"/>
      <w:lvlText w:val=""/>
      <w:lvlJc w:val="left"/>
      <w:pPr>
        <w:ind w:left="2563" w:hanging="360"/>
      </w:pPr>
      <w:rPr>
        <w:rFonts w:ascii="Wingdings" w:hAnsi="Wingdings" w:hint="default"/>
      </w:rPr>
    </w:lvl>
    <w:lvl w:ilvl="3" w:tplc="8F147F9A" w:tentative="1">
      <w:start w:val="1"/>
      <w:numFmt w:val="bullet"/>
      <w:lvlText w:val=""/>
      <w:lvlJc w:val="left"/>
      <w:pPr>
        <w:ind w:left="3283" w:hanging="360"/>
      </w:pPr>
      <w:rPr>
        <w:rFonts w:ascii="Symbol" w:hAnsi="Symbol" w:hint="default"/>
      </w:rPr>
    </w:lvl>
    <w:lvl w:ilvl="4" w:tplc="D194CE7E" w:tentative="1">
      <w:start w:val="1"/>
      <w:numFmt w:val="bullet"/>
      <w:lvlText w:val="o"/>
      <w:lvlJc w:val="left"/>
      <w:pPr>
        <w:ind w:left="4003" w:hanging="360"/>
      </w:pPr>
      <w:rPr>
        <w:rFonts w:ascii="Courier New" w:hAnsi="Courier New" w:cs="Courier New" w:hint="default"/>
      </w:rPr>
    </w:lvl>
    <w:lvl w:ilvl="5" w:tplc="3EBE4B4C" w:tentative="1">
      <w:start w:val="1"/>
      <w:numFmt w:val="bullet"/>
      <w:lvlText w:val=""/>
      <w:lvlJc w:val="left"/>
      <w:pPr>
        <w:ind w:left="4723" w:hanging="360"/>
      </w:pPr>
      <w:rPr>
        <w:rFonts w:ascii="Wingdings" w:hAnsi="Wingdings" w:hint="default"/>
      </w:rPr>
    </w:lvl>
    <w:lvl w:ilvl="6" w:tplc="FC1C760E" w:tentative="1">
      <w:start w:val="1"/>
      <w:numFmt w:val="bullet"/>
      <w:lvlText w:val=""/>
      <w:lvlJc w:val="left"/>
      <w:pPr>
        <w:ind w:left="5443" w:hanging="360"/>
      </w:pPr>
      <w:rPr>
        <w:rFonts w:ascii="Symbol" w:hAnsi="Symbol" w:hint="default"/>
      </w:rPr>
    </w:lvl>
    <w:lvl w:ilvl="7" w:tplc="8050DA34" w:tentative="1">
      <w:start w:val="1"/>
      <w:numFmt w:val="bullet"/>
      <w:lvlText w:val="o"/>
      <w:lvlJc w:val="left"/>
      <w:pPr>
        <w:ind w:left="6163" w:hanging="360"/>
      </w:pPr>
      <w:rPr>
        <w:rFonts w:ascii="Courier New" w:hAnsi="Courier New" w:cs="Courier New" w:hint="default"/>
      </w:rPr>
    </w:lvl>
    <w:lvl w:ilvl="8" w:tplc="B1243CAE" w:tentative="1">
      <w:start w:val="1"/>
      <w:numFmt w:val="bullet"/>
      <w:lvlText w:val=""/>
      <w:lvlJc w:val="left"/>
      <w:pPr>
        <w:ind w:left="6883" w:hanging="360"/>
      </w:pPr>
      <w:rPr>
        <w:rFonts w:ascii="Wingdings" w:hAnsi="Wingdings" w:hint="default"/>
      </w:rPr>
    </w:lvl>
  </w:abstractNum>
  <w:abstractNum w:abstractNumId="5" w15:restartNumberingAfterBreak="1">
    <w:nsid w:val="29805287"/>
    <w:multiLevelType w:val="hybridMultilevel"/>
    <w:tmpl w:val="286880CC"/>
    <w:lvl w:ilvl="0" w:tplc="38E06844">
      <w:start w:val="5"/>
      <w:numFmt w:val="decimal"/>
      <w:lvlText w:val="%1."/>
      <w:lvlJc w:val="left"/>
      <w:pPr>
        <w:ind w:left="1445" w:hanging="360"/>
      </w:pPr>
      <w:rPr>
        <w:rFonts w:hint="default"/>
      </w:rPr>
    </w:lvl>
    <w:lvl w:ilvl="1" w:tplc="5C3CD8DA" w:tentative="1">
      <w:start w:val="1"/>
      <w:numFmt w:val="lowerLetter"/>
      <w:lvlText w:val="%2."/>
      <w:lvlJc w:val="left"/>
      <w:pPr>
        <w:ind w:left="2165" w:hanging="360"/>
      </w:pPr>
    </w:lvl>
    <w:lvl w:ilvl="2" w:tplc="CFBAB75A" w:tentative="1">
      <w:start w:val="1"/>
      <w:numFmt w:val="lowerRoman"/>
      <w:lvlText w:val="%3."/>
      <w:lvlJc w:val="right"/>
      <w:pPr>
        <w:ind w:left="2885" w:hanging="180"/>
      </w:pPr>
    </w:lvl>
    <w:lvl w:ilvl="3" w:tplc="981630B4" w:tentative="1">
      <w:start w:val="1"/>
      <w:numFmt w:val="decimal"/>
      <w:lvlText w:val="%4."/>
      <w:lvlJc w:val="left"/>
      <w:pPr>
        <w:ind w:left="3605" w:hanging="360"/>
      </w:pPr>
    </w:lvl>
    <w:lvl w:ilvl="4" w:tplc="E4CAAED8" w:tentative="1">
      <w:start w:val="1"/>
      <w:numFmt w:val="lowerLetter"/>
      <w:lvlText w:val="%5."/>
      <w:lvlJc w:val="left"/>
      <w:pPr>
        <w:ind w:left="4325" w:hanging="360"/>
      </w:pPr>
    </w:lvl>
    <w:lvl w:ilvl="5" w:tplc="0532C24A" w:tentative="1">
      <w:start w:val="1"/>
      <w:numFmt w:val="lowerRoman"/>
      <w:lvlText w:val="%6."/>
      <w:lvlJc w:val="right"/>
      <w:pPr>
        <w:ind w:left="5045" w:hanging="180"/>
      </w:pPr>
    </w:lvl>
    <w:lvl w:ilvl="6" w:tplc="09D21898" w:tentative="1">
      <w:start w:val="1"/>
      <w:numFmt w:val="decimal"/>
      <w:lvlText w:val="%7."/>
      <w:lvlJc w:val="left"/>
      <w:pPr>
        <w:ind w:left="5765" w:hanging="360"/>
      </w:pPr>
    </w:lvl>
    <w:lvl w:ilvl="7" w:tplc="C6A42D52" w:tentative="1">
      <w:start w:val="1"/>
      <w:numFmt w:val="lowerLetter"/>
      <w:lvlText w:val="%8."/>
      <w:lvlJc w:val="left"/>
      <w:pPr>
        <w:ind w:left="6485" w:hanging="360"/>
      </w:pPr>
    </w:lvl>
    <w:lvl w:ilvl="8" w:tplc="03D6A0C2" w:tentative="1">
      <w:start w:val="1"/>
      <w:numFmt w:val="lowerRoman"/>
      <w:lvlText w:val="%9."/>
      <w:lvlJc w:val="right"/>
      <w:pPr>
        <w:ind w:left="7205" w:hanging="180"/>
      </w:pPr>
    </w:lvl>
  </w:abstractNum>
  <w:abstractNum w:abstractNumId="6" w15:restartNumberingAfterBreak="0">
    <w:nsid w:val="2B5A5C7B"/>
    <w:multiLevelType w:val="hybridMultilevel"/>
    <w:tmpl w:val="C02A8E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40B46FDD"/>
    <w:multiLevelType w:val="hybridMultilevel"/>
    <w:tmpl w:val="A61ADA3E"/>
    <w:lvl w:ilvl="0" w:tplc="52982B46">
      <w:start w:val="1"/>
      <w:numFmt w:val="decimal"/>
      <w:lvlText w:val="%1)"/>
      <w:lvlJc w:val="left"/>
      <w:pPr>
        <w:ind w:left="792" w:hanging="564"/>
      </w:pPr>
      <w:rPr>
        <w:rFonts w:ascii="Times New Roman" w:eastAsia="Times New Roman" w:hAnsi="Times New Roman" w:cs="Times New Roman"/>
      </w:rPr>
    </w:lvl>
    <w:lvl w:ilvl="1" w:tplc="77EE85FE" w:tentative="1">
      <w:start w:val="1"/>
      <w:numFmt w:val="lowerLetter"/>
      <w:lvlText w:val="%2."/>
      <w:lvlJc w:val="left"/>
      <w:pPr>
        <w:ind w:left="1308" w:hanging="360"/>
      </w:pPr>
    </w:lvl>
    <w:lvl w:ilvl="2" w:tplc="0AC21378" w:tentative="1">
      <w:start w:val="1"/>
      <w:numFmt w:val="lowerRoman"/>
      <w:lvlText w:val="%3."/>
      <w:lvlJc w:val="right"/>
      <w:pPr>
        <w:ind w:left="2028" w:hanging="180"/>
      </w:pPr>
    </w:lvl>
    <w:lvl w:ilvl="3" w:tplc="59602B38" w:tentative="1">
      <w:start w:val="1"/>
      <w:numFmt w:val="decimal"/>
      <w:lvlText w:val="%4."/>
      <w:lvlJc w:val="left"/>
      <w:pPr>
        <w:ind w:left="2748" w:hanging="360"/>
      </w:pPr>
    </w:lvl>
    <w:lvl w:ilvl="4" w:tplc="7A42D1EA" w:tentative="1">
      <w:start w:val="1"/>
      <w:numFmt w:val="lowerLetter"/>
      <w:lvlText w:val="%5."/>
      <w:lvlJc w:val="left"/>
      <w:pPr>
        <w:ind w:left="3468" w:hanging="360"/>
      </w:pPr>
    </w:lvl>
    <w:lvl w:ilvl="5" w:tplc="9AE49BF0" w:tentative="1">
      <w:start w:val="1"/>
      <w:numFmt w:val="lowerRoman"/>
      <w:lvlText w:val="%6."/>
      <w:lvlJc w:val="right"/>
      <w:pPr>
        <w:ind w:left="4188" w:hanging="180"/>
      </w:pPr>
    </w:lvl>
    <w:lvl w:ilvl="6" w:tplc="E7C4F4D0" w:tentative="1">
      <w:start w:val="1"/>
      <w:numFmt w:val="decimal"/>
      <w:lvlText w:val="%7."/>
      <w:lvlJc w:val="left"/>
      <w:pPr>
        <w:ind w:left="4908" w:hanging="360"/>
      </w:pPr>
    </w:lvl>
    <w:lvl w:ilvl="7" w:tplc="93885700" w:tentative="1">
      <w:start w:val="1"/>
      <w:numFmt w:val="lowerLetter"/>
      <w:lvlText w:val="%8."/>
      <w:lvlJc w:val="left"/>
      <w:pPr>
        <w:ind w:left="5628" w:hanging="360"/>
      </w:pPr>
    </w:lvl>
    <w:lvl w:ilvl="8" w:tplc="32CC1DA6" w:tentative="1">
      <w:start w:val="1"/>
      <w:numFmt w:val="lowerRoman"/>
      <w:lvlText w:val="%9."/>
      <w:lvlJc w:val="right"/>
      <w:pPr>
        <w:ind w:left="6348" w:hanging="180"/>
      </w:pPr>
    </w:lvl>
  </w:abstractNum>
  <w:abstractNum w:abstractNumId="8" w15:restartNumberingAfterBreak="1">
    <w:nsid w:val="476525E6"/>
    <w:multiLevelType w:val="hybridMultilevel"/>
    <w:tmpl w:val="8C948B0C"/>
    <w:lvl w:ilvl="0" w:tplc="8C8E9D90">
      <w:numFmt w:val="bullet"/>
      <w:lvlText w:val="-"/>
      <w:lvlJc w:val="left"/>
      <w:pPr>
        <w:ind w:left="720" w:hanging="360"/>
      </w:pPr>
      <w:rPr>
        <w:rFonts w:ascii="Cambria" w:eastAsia="Times New Roman" w:hAnsi="Cambria" w:cs="Times New Roman" w:hint="default"/>
      </w:rPr>
    </w:lvl>
    <w:lvl w:ilvl="1" w:tplc="3E3CE136" w:tentative="1">
      <w:start w:val="1"/>
      <w:numFmt w:val="bullet"/>
      <w:lvlText w:val="o"/>
      <w:lvlJc w:val="left"/>
      <w:pPr>
        <w:ind w:left="1440" w:hanging="360"/>
      </w:pPr>
      <w:rPr>
        <w:rFonts w:ascii="Courier New" w:hAnsi="Courier New" w:cs="Courier New" w:hint="default"/>
      </w:rPr>
    </w:lvl>
    <w:lvl w:ilvl="2" w:tplc="831EA7BE" w:tentative="1">
      <w:start w:val="1"/>
      <w:numFmt w:val="bullet"/>
      <w:lvlText w:val=""/>
      <w:lvlJc w:val="left"/>
      <w:pPr>
        <w:ind w:left="2160" w:hanging="360"/>
      </w:pPr>
      <w:rPr>
        <w:rFonts w:ascii="Wingdings" w:hAnsi="Wingdings" w:hint="default"/>
      </w:rPr>
    </w:lvl>
    <w:lvl w:ilvl="3" w:tplc="C284BD36" w:tentative="1">
      <w:start w:val="1"/>
      <w:numFmt w:val="bullet"/>
      <w:lvlText w:val=""/>
      <w:lvlJc w:val="left"/>
      <w:pPr>
        <w:ind w:left="2880" w:hanging="360"/>
      </w:pPr>
      <w:rPr>
        <w:rFonts w:ascii="Symbol" w:hAnsi="Symbol" w:hint="default"/>
      </w:rPr>
    </w:lvl>
    <w:lvl w:ilvl="4" w:tplc="3E444C24" w:tentative="1">
      <w:start w:val="1"/>
      <w:numFmt w:val="bullet"/>
      <w:lvlText w:val="o"/>
      <w:lvlJc w:val="left"/>
      <w:pPr>
        <w:ind w:left="3600" w:hanging="360"/>
      </w:pPr>
      <w:rPr>
        <w:rFonts w:ascii="Courier New" w:hAnsi="Courier New" w:cs="Courier New" w:hint="default"/>
      </w:rPr>
    </w:lvl>
    <w:lvl w:ilvl="5" w:tplc="918E64E8" w:tentative="1">
      <w:start w:val="1"/>
      <w:numFmt w:val="bullet"/>
      <w:lvlText w:val=""/>
      <w:lvlJc w:val="left"/>
      <w:pPr>
        <w:ind w:left="4320" w:hanging="360"/>
      </w:pPr>
      <w:rPr>
        <w:rFonts w:ascii="Wingdings" w:hAnsi="Wingdings" w:hint="default"/>
      </w:rPr>
    </w:lvl>
    <w:lvl w:ilvl="6" w:tplc="A3DEF0DC" w:tentative="1">
      <w:start w:val="1"/>
      <w:numFmt w:val="bullet"/>
      <w:lvlText w:val=""/>
      <w:lvlJc w:val="left"/>
      <w:pPr>
        <w:ind w:left="5040" w:hanging="360"/>
      </w:pPr>
      <w:rPr>
        <w:rFonts w:ascii="Symbol" w:hAnsi="Symbol" w:hint="default"/>
      </w:rPr>
    </w:lvl>
    <w:lvl w:ilvl="7" w:tplc="BC2EAC34" w:tentative="1">
      <w:start w:val="1"/>
      <w:numFmt w:val="bullet"/>
      <w:lvlText w:val="o"/>
      <w:lvlJc w:val="left"/>
      <w:pPr>
        <w:ind w:left="5760" w:hanging="360"/>
      </w:pPr>
      <w:rPr>
        <w:rFonts w:ascii="Courier New" w:hAnsi="Courier New" w:cs="Courier New" w:hint="default"/>
      </w:rPr>
    </w:lvl>
    <w:lvl w:ilvl="8" w:tplc="C85031B4" w:tentative="1">
      <w:start w:val="1"/>
      <w:numFmt w:val="bullet"/>
      <w:lvlText w:val=""/>
      <w:lvlJc w:val="left"/>
      <w:pPr>
        <w:ind w:left="6480" w:hanging="360"/>
      </w:pPr>
      <w:rPr>
        <w:rFonts w:ascii="Wingdings" w:hAnsi="Wingdings" w:hint="default"/>
      </w:rPr>
    </w:lvl>
  </w:abstractNum>
  <w:abstractNum w:abstractNumId="9" w15:restartNumberingAfterBreak="1">
    <w:nsid w:val="49B56C57"/>
    <w:multiLevelType w:val="hybridMultilevel"/>
    <w:tmpl w:val="7D4072AE"/>
    <w:lvl w:ilvl="0" w:tplc="2B10816A">
      <w:start w:val="1"/>
      <w:numFmt w:val="decimal"/>
      <w:lvlText w:val="%1)"/>
      <w:lvlJc w:val="left"/>
      <w:pPr>
        <w:ind w:left="620" w:hanging="360"/>
      </w:pPr>
      <w:rPr>
        <w:rFonts w:hint="default"/>
      </w:rPr>
    </w:lvl>
    <w:lvl w:ilvl="1" w:tplc="290E7362" w:tentative="1">
      <w:start w:val="1"/>
      <w:numFmt w:val="lowerLetter"/>
      <w:lvlText w:val="%2."/>
      <w:lvlJc w:val="left"/>
      <w:pPr>
        <w:ind w:left="1340" w:hanging="360"/>
      </w:pPr>
    </w:lvl>
    <w:lvl w:ilvl="2" w:tplc="F0C07906" w:tentative="1">
      <w:start w:val="1"/>
      <w:numFmt w:val="lowerRoman"/>
      <w:lvlText w:val="%3."/>
      <w:lvlJc w:val="right"/>
      <w:pPr>
        <w:ind w:left="2060" w:hanging="180"/>
      </w:pPr>
    </w:lvl>
    <w:lvl w:ilvl="3" w:tplc="3DFAFA6E" w:tentative="1">
      <w:start w:val="1"/>
      <w:numFmt w:val="decimal"/>
      <w:lvlText w:val="%4."/>
      <w:lvlJc w:val="left"/>
      <w:pPr>
        <w:ind w:left="2780" w:hanging="360"/>
      </w:pPr>
    </w:lvl>
    <w:lvl w:ilvl="4" w:tplc="DA28D7C8" w:tentative="1">
      <w:start w:val="1"/>
      <w:numFmt w:val="lowerLetter"/>
      <w:lvlText w:val="%5."/>
      <w:lvlJc w:val="left"/>
      <w:pPr>
        <w:ind w:left="3500" w:hanging="360"/>
      </w:pPr>
    </w:lvl>
    <w:lvl w:ilvl="5" w:tplc="9E188B2E" w:tentative="1">
      <w:start w:val="1"/>
      <w:numFmt w:val="lowerRoman"/>
      <w:lvlText w:val="%6."/>
      <w:lvlJc w:val="right"/>
      <w:pPr>
        <w:ind w:left="4220" w:hanging="180"/>
      </w:pPr>
    </w:lvl>
    <w:lvl w:ilvl="6" w:tplc="EA6E326A" w:tentative="1">
      <w:start w:val="1"/>
      <w:numFmt w:val="decimal"/>
      <w:lvlText w:val="%7."/>
      <w:lvlJc w:val="left"/>
      <w:pPr>
        <w:ind w:left="4940" w:hanging="360"/>
      </w:pPr>
    </w:lvl>
    <w:lvl w:ilvl="7" w:tplc="83CCC8A6" w:tentative="1">
      <w:start w:val="1"/>
      <w:numFmt w:val="lowerLetter"/>
      <w:lvlText w:val="%8."/>
      <w:lvlJc w:val="left"/>
      <w:pPr>
        <w:ind w:left="5660" w:hanging="360"/>
      </w:pPr>
    </w:lvl>
    <w:lvl w:ilvl="8" w:tplc="FAB455C6" w:tentative="1">
      <w:start w:val="1"/>
      <w:numFmt w:val="lowerRoman"/>
      <w:lvlText w:val="%9."/>
      <w:lvlJc w:val="right"/>
      <w:pPr>
        <w:ind w:left="6380" w:hanging="180"/>
      </w:pPr>
    </w:lvl>
  </w:abstractNum>
  <w:abstractNum w:abstractNumId="10" w15:restartNumberingAfterBreak="1">
    <w:nsid w:val="566B07A4"/>
    <w:multiLevelType w:val="hybridMultilevel"/>
    <w:tmpl w:val="05F83E5C"/>
    <w:lvl w:ilvl="0" w:tplc="E3E4601A">
      <w:start w:val="1"/>
      <w:numFmt w:val="decimal"/>
      <w:lvlText w:val="%1)"/>
      <w:lvlJc w:val="left"/>
      <w:pPr>
        <w:ind w:left="720" w:hanging="360"/>
      </w:pPr>
      <w:rPr>
        <w:rFonts w:hint="default"/>
      </w:rPr>
    </w:lvl>
    <w:lvl w:ilvl="1" w:tplc="30547C16" w:tentative="1">
      <w:start w:val="1"/>
      <w:numFmt w:val="lowerLetter"/>
      <w:lvlText w:val="%2."/>
      <w:lvlJc w:val="left"/>
      <w:pPr>
        <w:ind w:left="1440" w:hanging="360"/>
      </w:pPr>
    </w:lvl>
    <w:lvl w:ilvl="2" w:tplc="F67821C0" w:tentative="1">
      <w:start w:val="1"/>
      <w:numFmt w:val="lowerRoman"/>
      <w:lvlText w:val="%3."/>
      <w:lvlJc w:val="right"/>
      <w:pPr>
        <w:ind w:left="2160" w:hanging="180"/>
      </w:pPr>
    </w:lvl>
    <w:lvl w:ilvl="3" w:tplc="34AC398C" w:tentative="1">
      <w:start w:val="1"/>
      <w:numFmt w:val="decimal"/>
      <w:lvlText w:val="%4."/>
      <w:lvlJc w:val="left"/>
      <w:pPr>
        <w:ind w:left="2880" w:hanging="360"/>
      </w:pPr>
    </w:lvl>
    <w:lvl w:ilvl="4" w:tplc="3F5E6DFE" w:tentative="1">
      <w:start w:val="1"/>
      <w:numFmt w:val="lowerLetter"/>
      <w:lvlText w:val="%5."/>
      <w:lvlJc w:val="left"/>
      <w:pPr>
        <w:ind w:left="3600" w:hanging="360"/>
      </w:pPr>
    </w:lvl>
    <w:lvl w:ilvl="5" w:tplc="3870A4B8" w:tentative="1">
      <w:start w:val="1"/>
      <w:numFmt w:val="lowerRoman"/>
      <w:lvlText w:val="%6."/>
      <w:lvlJc w:val="right"/>
      <w:pPr>
        <w:ind w:left="4320" w:hanging="180"/>
      </w:pPr>
    </w:lvl>
    <w:lvl w:ilvl="6" w:tplc="D1064870" w:tentative="1">
      <w:start w:val="1"/>
      <w:numFmt w:val="decimal"/>
      <w:lvlText w:val="%7."/>
      <w:lvlJc w:val="left"/>
      <w:pPr>
        <w:ind w:left="5040" w:hanging="360"/>
      </w:pPr>
    </w:lvl>
    <w:lvl w:ilvl="7" w:tplc="7B749E78" w:tentative="1">
      <w:start w:val="1"/>
      <w:numFmt w:val="lowerLetter"/>
      <w:lvlText w:val="%8."/>
      <w:lvlJc w:val="left"/>
      <w:pPr>
        <w:ind w:left="5760" w:hanging="360"/>
      </w:pPr>
    </w:lvl>
    <w:lvl w:ilvl="8" w:tplc="0DCA4ED6" w:tentative="1">
      <w:start w:val="1"/>
      <w:numFmt w:val="lowerRoman"/>
      <w:lvlText w:val="%9."/>
      <w:lvlJc w:val="right"/>
      <w:pPr>
        <w:ind w:left="6480" w:hanging="180"/>
      </w:pPr>
    </w:lvl>
  </w:abstractNum>
  <w:abstractNum w:abstractNumId="11" w15:restartNumberingAfterBreak="0">
    <w:nsid w:val="627029DB"/>
    <w:multiLevelType w:val="hybridMultilevel"/>
    <w:tmpl w:val="BBAC5C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1">
    <w:nsid w:val="66447E4B"/>
    <w:multiLevelType w:val="hybridMultilevel"/>
    <w:tmpl w:val="9CCCD376"/>
    <w:lvl w:ilvl="0" w:tplc="A858BCCE">
      <w:start w:val="3"/>
      <w:numFmt w:val="bullet"/>
      <w:lvlText w:val="-"/>
      <w:lvlJc w:val="left"/>
      <w:pPr>
        <w:ind w:left="720" w:hanging="360"/>
      </w:pPr>
      <w:rPr>
        <w:rFonts w:ascii="Times New Roman" w:eastAsia="Times New Roman" w:hAnsi="Times New Roman" w:cs="Times New Roman" w:hint="default"/>
      </w:rPr>
    </w:lvl>
    <w:lvl w:ilvl="1" w:tplc="AD16C9DE" w:tentative="1">
      <w:start w:val="1"/>
      <w:numFmt w:val="bullet"/>
      <w:lvlText w:val="o"/>
      <w:lvlJc w:val="left"/>
      <w:pPr>
        <w:ind w:left="1440" w:hanging="360"/>
      </w:pPr>
      <w:rPr>
        <w:rFonts w:ascii="Courier New" w:hAnsi="Courier New" w:cs="Courier New" w:hint="default"/>
      </w:rPr>
    </w:lvl>
    <w:lvl w:ilvl="2" w:tplc="D3B6A682" w:tentative="1">
      <w:start w:val="1"/>
      <w:numFmt w:val="bullet"/>
      <w:lvlText w:val=""/>
      <w:lvlJc w:val="left"/>
      <w:pPr>
        <w:ind w:left="2160" w:hanging="360"/>
      </w:pPr>
      <w:rPr>
        <w:rFonts w:ascii="Wingdings" w:hAnsi="Wingdings" w:hint="default"/>
      </w:rPr>
    </w:lvl>
    <w:lvl w:ilvl="3" w:tplc="69CAC632" w:tentative="1">
      <w:start w:val="1"/>
      <w:numFmt w:val="bullet"/>
      <w:lvlText w:val=""/>
      <w:lvlJc w:val="left"/>
      <w:pPr>
        <w:ind w:left="2880" w:hanging="360"/>
      </w:pPr>
      <w:rPr>
        <w:rFonts w:ascii="Symbol" w:hAnsi="Symbol" w:hint="default"/>
      </w:rPr>
    </w:lvl>
    <w:lvl w:ilvl="4" w:tplc="0BDAF22E" w:tentative="1">
      <w:start w:val="1"/>
      <w:numFmt w:val="bullet"/>
      <w:lvlText w:val="o"/>
      <w:lvlJc w:val="left"/>
      <w:pPr>
        <w:ind w:left="3600" w:hanging="360"/>
      </w:pPr>
      <w:rPr>
        <w:rFonts w:ascii="Courier New" w:hAnsi="Courier New" w:cs="Courier New" w:hint="default"/>
      </w:rPr>
    </w:lvl>
    <w:lvl w:ilvl="5" w:tplc="95542210" w:tentative="1">
      <w:start w:val="1"/>
      <w:numFmt w:val="bullet"/>
      <w:lvlText w:val=""/>
      <w:lvlJc w:val="left"/>
      <w:pPr>
        <w:ind w:left="4320" w:hanging="360"/>
      </w:pPr>
      <w:rPr>
        <w:rFonts w:ascii="Wingdings" w:hAnsi="Wingdings" w:hint="default"/>
      </w:rPr>
    </w:lvl>
    <w:lvl w:ilvl="6" w:tplc="06F2C4A2" w:tentative="1">
      <w:start w:val="1"/>
      <w:numFmt w:val="bullet"/>
      <w:lvlText w:val=""/>
      <w:lvlJc w:val="left"/>
      <w:pPr>
        <w:ind w:left="5040" w:hanging="360"/>
      </w:pPr>
      <w:rPr>
        <w:rFonts w:ascii="Symbol" w:hAnsi="Symbol" w:hint="default"/>
      </w:rPr>
    </w:lvl>
    <w:lvl w:ilvl="7" w:tplc="316444AE" w:tentative="1">
      <w:start w:val="1"/>
      <w:numFmt w:val="bullet"/>
      <w:lvlText w:val="o"/>
      <w:lvlJc w:val="left"/>
      <w:pPr>
        <w:ind w:left="5760" w:hanging="360"/>
      </w:pPr>
      <w:rPr>
        <w:rFonts w:ascii="Courier New" w:hAnsi="Courier New" w:cs="Courier New" w:hint="default"/>
      </w:rPr>
    </w:lvl>
    <w:lvl w:ilvl="8" w:tplc="3BFCC70A" w:tentative="1">
      <w:start w:val="1"/>
      <w:numFmt w:val="bullet"/>
      <w:lvlText w:val=""/>
      <w:lvlJc w:val="left"/>
      <w:pPr>
        <w:ind w:left="6480" w:hanging="360"/>
      </w:pPr>
      <w:rPr>
        <w:rFonts w:ascii="Wingdings" w:hAnsi="Wingdings" w:hint="default"/>
      </w:rPr>
    </w:lvl>
  </w:abstractNum>
  <w:abstractNum w:abstractNumId="13" w15:restartNumberingAfterBreak="1">
    <w:nsid w:val="6A633696"/>
    <w:multiLevelType w:val="hybridMultilevel"/>
    <w:tmpl w:val="258AA82C"/>
    <w:lvl w:ilvl="0" w:tplc="EEF4C7B6">
      <w:start w:val="5"/>
      <w:numFmt w:val="decimal"/>
      <w:lvlText w:val="%1."/>
      <w:lvlJc w:val="left"/>
      <w:pPr>
        <w:ind w:left="1445" w:hanging="360"/>
      </w:pPr>
      <w:rPr>
        <w:rFonts w:hint="default"/>
      </w:rPr>
    </w:lvl>
    <w:lvl w:ilvl="1" w:tplc="4B9C2C7A" w:tentative="1">
      <w:start w:val="1"/>
      <w:numFmt w:val="lowerLetter"/>
      <w:lvlText w:val="%2."/>
      <w:lvlJc w:val="left"/>
      <w:pPr>
        <w:ind w:left="2165" w:hanging="360"/>
      </w:pPr>
    </w:lvl>
    <w:lvl w:ilvl="2" w:tplc="C2F84E04" w:tentative="1">
      <w:start w:val="1"/>
      <w:numFmt w:val="lowerRoman"/>
      <w:lvlText w:val="%3."/>
      <w:lvlJc w:val="right"/>
      <w:pPr>
        <w:ind w:left="2885" w:hanging="180"/>
      </w:pPr>
    </w:lvl>
    <w:lvl w:ilvl="3" w:tplc="7EEA6144" w:tentative="1">
      <w:start w:val="1"/>
      <w:numFmt w:val="decimal"/>
      <w:lvlText w:val="%4."/>
      <w:lvlJc w:val="left"/>
      <w:pPr>
        <w:ind w:left="3605" w:hanging="360"/>
      </w:pPr>
    </w:lvl>
    <w:lvl w:ilvl="4" w:tplc="0668016A" w:tentative="1">
      <w:start w:val="1"/>
      <w:numFmt w:val="lowerLetter"/>
      <w:lvlText w:val="%5."/>
      <w:lvlJc w:val="left"/>
      <w:pPr>
        <w:ind w:left="4325" w:hanging="360"/>
      </w:pPr>
    </w:lvl>
    <w:lvl w:ilvl="5" w:tplc="BB262888" w:tentative="1">
      <w:start w:val="1"/>
      <w:numFmt w:val="lowerRoman"/>
      <w:lvlText w:val="%6."/>
      <w:lvlJc w:val="right"/>
      <w:pPr>
        <w:ind w:left="5045" w:hanging="180"/>
      </w:pPr>
    </w:lvl>
    <w:lvl w:ilvl="6" w:tplc="5B8213E8" w:tentative="1">
      <w:start w:val="1"/>
      <w:numFmt w:val="decimal"/>
      <w:lvlText w:val="%7."/>
      <w:lvlJc w:val="left"/>
      <w:pPr>
        <w:ind w:left="5765" w:hanging="360"/>
      </w:pPr>
    </w:lvl>
    <w:lvl w:ilvl="7" w:tplc="21B80698" w:tentative="1">
      <w:start w:val="1"/>
      <w:numFmt w:val="lowerLetter"/>
      <w:lvlText w:val="%8."/>
      <w:lvlJc w:val="left"/>
      <w:pPr>
        <w:ind w:left="6485" w:hanging="360"/>
      </w:pPr>
    </w:lvl>
    <w:lvl w:ilvl="8" w:tplc="3200AAFE" w:tentative="1">
      <w:start w:val="1"/>
      <w:numFmt w:val="lowerRoman"/>
      <w:lvlText w:val="%9."/>
      <w:lvlJc w:val="right"/>
      <w:pPr>
        <w:ind w:left="7205" w:hanging="180"/>
      </w:pPr>
    </w:lvl>
  </w:abstractNum>
  <w:abstractNum w:abstractNumId="14" w15:restartNumberingAfterBreak="1">
    <w:nsid w:val="6EAE4CDB"/>
    <w:multiLevelType w:val="hybridMultilevel"/>
    <w:tmpl w:val="BCFED5A0"/>
    <w:lvl w:ilvl="0" w:tplc="41B64AAA">
      <w:start w:val="1"/>
      <w:numFmt w:val="decimal"/>
      <w:lvlText w:val="%1)"/>
      <w:lvlJc w:val="left"/>
      <w:pPr>
        <w:ind w:left="620" w:hanging="360"/>
      </w:pPr>
      <w:rPr>
        <w:rFonts w:hint="default"/>
      </w:rPr>
    </w:lvl>
    <w:lvl w:ilvl="1" w:tplc="DDA48C2C" w:tentative="1">
      <w:start w:val="1"/>
      <w:numFmt w:val="lowerLetter"/>
      <w:lvlText w:val="%2."/>
      <w:lvlJc w:val="left"/>
      <w:pPr>
        <w:ind w:left="1340" w:hanging="360"/>
      </w:pPr>
    </w:lvl>
    <w:lvl w:ilvl="2" w:tplc="EB4EB41E" w:tentative="1">
      <w:start w:val="1"/>
      <w:numFmt w:val="lowerRoman"/>
      <w:lvlText w:val="%3."/>
      <w:lvlJc w:val="right"/>
      <w:pPr>
        <w:ind w:left="2060" w:hanging="180"/>
      </w:pPr>
    </w:lvl>
    <w:lvl w:ilvl="3" w:tplc="79FAD24C" w:tentative="1">
      <w:start w:val="1"/>
      <w:numFmt w:val="decimal"/>
      <w:lvlText w:val="%4."/>
      <w:lvlJc w:val="left"/>
      <w:pPr>
        <w:ind w:left="2780" w:hanging="360"/>
      </w:pPr>
    </w:lvl>
    <w:lvl w:ilvl="4" w:tplc="43326962" w:tentative="1">
      <w:start w:val="1"/>
      <w:numFmt w:val="lowerLetter"/>
      <w:lvlText w:val="%5."/>
      <w:lvlJc w:val="left"/>
      <w:pPr>
        <w:ind w:left="3500" w:hanging="360"/>
      </w:pPr>
    </w:lvl>
    <w:lvl w:ilvl="5" w:tplc="3B1AA420" w:tentative="1">
      <w:start w:val="1"/>
      <w:numFmt w:val="lowerRoman"/>
      <w:lvlText w:val="%6."/>
      <w:lvlJc w:val="right"/>
      <w:pPr>
        <w:ind w:left="4220" w:hanging="180"/>
      </w:pPr>
    </w:lvl>
    <w:lvl w:ilvl="6" w:tplc="08866C10" w:tentative="1">
      <w:start w:val="1"/>
      <w:numFmt w:val="decimal"/>
      <w:lvlText w:val="%7."/>
      <w:lvlJc w:val="left"/>
      <w:pPr>
        <w:ind w:left="4940" w:hanging="360"/>
      </w:pPr>
    </w:lvl>
    <w:lvl w:ilvl="7" w:tplc="3B92BF8C" w:tentative="1">
      <w:start w:val="1"/>
      <w:numFmt w:val="lowerLetter"/>
      <w:lvlText w:val="%8."/>
      <w:lvlJc w:val="left"/>
      <w:pPr>
        <w:ind w:left="5660" w:hanging="360"/>
      </w:pPr>
    </w:lvl>
    <w:lvl w:ilvl="8" w:tplc="E29ACC00" w:tentative="1">
      <w:start w:val="1"/>
      <w:numFmt w:val="lowerRoman"/>
      <w:lvlText w:val="%9."/>
      <w:lvlJc w:val="right"/>
      <w:pPr>
        <w:ind w:left="6380" w:hanging="180"/>
      </w:pPr>
    </w:lvl>
  </w:abstractNum>
  <w:abstractNum w:abstractNumId="15" w15:restartNumberingAfterBreak="1">
    <w:nsid w:val="72D94001"/>
    <w:multiLevelType w:val="hybridMultilevel"/>
    <w:tmpl w:val="2EACC2A8"/>
    <w:lvl w:ilvl="0" w:tplc="5B124822">
      <w:start w:val="1"/>
      <w:numFmt w:val="decimal"/>
      <w:lvlText w:val="%1."/>
      <w:lvlJc w:val="left"/>
      <w:pPr>
        <w:ind w:left="1085" w:hanging="360"/>
      </w:pPr>
      <w:rPr>
        <w:rFonts w:hint="default"/>
      </w:rPr>
    </w:lvl>
    <w:lvl w:ilvl="1" w:tplc="B5A4083C" w:tentative="1">
      <w:start w:val="1"/>
      <w:numFmt w:val="lowerLetter"/>
      <w:lvlText w:val="%2."/>
      <w:lvlJc w:val="left"/>
      <w:pPr>
        <w:ind w:left="1805" w:hanging="360"/>
      </w:pPr>
    </w:lvl>
    <w:lvl w:ilvl="2" w:tplc="3D869AF4" w:tentative="1">
      <w:start w:val="1"/>
      <w:numFmt w:val="lowerRoman"/>
      <w:lvlText w:val="%3."/>
      <w:lvlJc w:val="right"/>
      <w:pPr>
        <w:ind w:left="2525" w:hanging="180"/>
      </w:pPr>
    </w:lvl>
    <w:lvl w:ilvl="3" w:tplc="1C4C1AB2" w:tentative="1">
      <w:start w:val="1"/>
      <w:numFmt w:val="decimal"/>
      <w:lvlText w:val="%4."/>
      <w:lvlJc w:val="left"/>
      <w:pPr>
        <w:ind w:left="3245" w:hanging="360"/>
      </w:pPr>
    </w:lvl>
    <w:lvl w:ilvl="4" w:tplc="6F0E0392" w:tentative="1">
      <w:start w:val="1"/>
      <w:numFmt w:val="lowerLetter"/>
      <w:lvlText w:val="%5."/>
      <w:lvlJc w:val="left"/>
      <w:pPr>
        <w:ind w:left="3965" w:hanging="360"/>
      </w:pPr>
    </w:lvl>
    <w:lvl w:ilvl="5" w:tplc="3D52FE66" w:tentative="1">
      <w:start w:val="1"/>
      <w:numFmt w:val="lowerRoman"/>
      <w:lvlText w:val="%6."/>
      <w:lvlJc w:val="right"/>
      <w:pPr>
        <w:ind w:left="4685" w:hanging="180"/>
      </w:pPr>
    </w:lvl>
    <w:lvl w:ilvl="6" w:tplc="3E640B6A" w:tentative="1">
      <w:start w:val="1"/>
      <w:numFmt w:val="decimal"/>
      <w:lvlText w:val="%7."/>
      <w:lvlJc w:val="left"/>
      <w:pPr>
        <w:ind w:left="5405" w:hanging="360"/>
      </w:pPr>
    </w:lvl>
    <w:lvl w:ilvl="7" w:tplc="479CAF50" w:tentative="1">
      <w:start w:val="1"/>
      <w:numFmt w:val="lowerLetter"/>
      <w:lvlText w:val="%8."/>
      <w:lvlJc w:val="left"/>
      <w:pPr>
        <w:ind w:left="6125" w:hanging="360"/>
      </w:pPr>
    </w:lvl>
    <w:lvl w:ilvl="8" w:tplc="1138D48E" w:tentative="1">
      <w:start w:val="1"/>
      <w:numFmt w:val="lowerRoman"/>
      <w:lvlText w:val="%9."/>
      <w:lvlJc w:val="right"/>
      <w:pPr>
        <w:ind w:left="6845" w:hanging="180"/>
      </w:pPr>
    </w:lvl>
  </w:abstractNum>
  <w:abstractNum w:abstractNumId="16" w15:restartNumberingAfterBreak="1">
    <w:nsid w:val="7B931034"/>
    <w:multiLevelType w:val="hybridMultilevel"/>
    <w:tmpl w:val="7E70226E"/>
    <w:lvl w:ilvl="0" w:tplc="E67E3550">
      <w:start w:val="2017"/>
      <w:numFmt w:val="bullet"/>
      <w:lvlText w:val="-"/>
      <w:lvlJc w:val="left"/>
      <w:pPr>
        <w:ind w:left="360" w:hanging="360"/>
      </w:pPr>
      <w:rPr>
        <w:rFonts w:ascii="Times New Roman" w:eastAsia="Calibri" w:hAnsi="Times New Roman" w:cs="Times New Roman" w:hint="default"/>
      </w:rPr>
    </w:lvl>
    <w:lvl w:ilvl="1" w:tplc="D06A0992" w:tentative="1">
      <w:start w:val="1"/>
      <w:numFmt w:val="bullet"/>
      <w:lvlText w:val="o"/>
      <w:lvlJc w:val="left"/>
      <w:pPr>
        <w:ind w:left="1080" w:hanging="360"/>
      </w:pPr>
      <w:rPr>
        <w:rFonts w:ascii="Courier New" w:hAnsi="Courier New" w:cs="Courier New" w:hint="default"/>
      </w:rPr>
    </w:lvl>
    <w:lvl w:ilvl="2" w:tplc="79367CB6" w:tentative="1">
      <w:start w:val="1"/>
      <w:numFmt w:val="bullet"/>
      <w:lvlText w:val=""/>
      <w:lvlJc w:val="left"/>
      <w:pPr>
        <w:ind w:left="1800" w:hanging="360"/>
      </w:pPr>
      <w:rPr>
        <w:rFonts w:ascii="Wingdings" w:hAnsi="Wingdings" w:hint="default"/>
      </w:rPr>
    </w:lvl>
    <w:lvl w:ilvl="3" w:tplc="DEE0DEA4" w:tentative="1">
      <w:start w:val="1"/>
      <w:numFmt w:val="bullet"/>
      <w:lvlText w:val=""/>
      <w:lvlJc w:val="left"/>
      <w:pPr>
        <w:ind w:left="2520" w:hanging="360"/>
      </w:pPr>
      <w:rPr>
        <w:rFonts w:ascii="Symbol" w:hAnsi="Symbol" w:hint="default"/>
      </w:rPr>
    </w:lvl>
    <w:lvl w:ilvl="4" w:tplc="D57C71A8" w:tentative="1">
      <w:start w:val="1"/>
      <w:numFmt w:val="bullet"/>
      <w:lvlText w:val="o"/>
      <w:lvlJc w:val="left"/>
      <w:pPr>
        <w:ind w:left="3240" w:hanging="360"/>
      </w:pPr>
      <w:rPr>
        <w:rFonts w:ascii="Courier New" w:hAnsi="Courier New" w:cs="Courier New" w:hint="default"/>
      </w:rPr>
    </w:lvl>
    <w:lvl w:ilvl="5" w:tplc="C4DCD720" w:tentative="1">
      <w:start w:val="1"/>
      <w:numFmt w:val="bullet"/>
      <w:lvlText w:val=""/>
      <w:lvlJc w:val="left"/>
      <w:pPr>
        <w:ind w:left="3960" w:hanging="360"/>
      </w:pPr>
      <w:rPr>
        <w:rFonts w:ascii="Wingdings" w:hAnsi="Wingdings" w:hint="default"/>
      </w:rPr>
    </w:lvl>
    <w:lvl w:ilvl="6" w:tplc="7794085E" w:tentative="1">
      <w:start w:val="1"/>
      <w:numFmt w:val="bullet"/>
      <w:lvlText w:val=""/>
      <w:lvlJc w:val="left"/>
      <w:pPr>
        <w:ind w:left="4680" w:hanging="360"/>
      </w:pPr>
      <w:rPr>
        <w:rFonts w:ascii="Symbol" w:hAnsi="Symbol" w:hint="default"/>
      </w:rPr>
    </w:lvl>
    <w:lvl w:ilvl="7" w:tplc="821E16EC" w:tentative="1">
      <w:start w:val="1"/>
      <w:numFmt w:val="bullet"/>
      <w:lvlText w:val="o"/>
      <w:lvlJc w:val="left"/>
      <w:pPr>
        <w:ind w:left="5400" w:hanging="360"/>
      </w:pPr>
      <w:rPr>
        <w:rFonts w:ascii="Courier New" w:hAnsi="Courier New" w:cs="Courier New" w:hint="default"/>
      </w:rPr>
    </w:lvl>
    <w:lvl w:ilvl="8" w:tplc="D29C5930"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9"/>
  </w:num>
  <w:num w:numId="4">
    <w:abstractNumId w:val="14"/>
  </w:num>
  <w:num w:numId="5">
    <w:abstractNumId w:val="4"/>
  </w:num>
  <w:num w:numId="6">
    <w:abstractNumId w:val="8"/>
  </w:num>
  <w:num w:numId="7">
    <w:abstractNumId w:val="3"/>
  </w:num>
  <w:num w:numId="8">
    <w:abstractNumId w:val="1"/>
  </w:num>
  <w:num w:numId="9">
    <w:abstractNumId w:val="13"/>
  </w:num>
  <w:num w:numId="10">
    <w:abstractNumId w:val="5"/>
  </w:num>
  <w:num w:numId="11">
    <w:abstractNumId w:val="12"/>
  </w:num>
  <w:num w:numId="12">
    <w:abstractNumId w:val="7"/>
  </w:num>
  <w:num w:numId="13">
    <w:abstractNumId w:val="10"/>
  </w:num>
  <w:num w:numId="14">
    <w:abstractNumId w:val="0"/>
  </w:num>
  <w:num w:numId="15">
    <w:abstractNumId w:val="16"/>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88"/>
    <w:rsid w:val="000007E3"/>
    <w:rsid w:val="000070DC"/>
    <w:rsid w:val="00013A83"/>
    <w:rsid w:val="000148BB"/>
    <w:rsid w:val="000177DF"/>
    <w:rsid w:val="0002014F"/>
    <w:rsid w:val="00020CF1"/>
    <w:rsid w:val="00024837"/>
    <w:rsid w:val="000259BE"/>
    <w:rsid w:val="00030191"/>
    <w:rsid w:val="0003391E"/>
    <w:rsid w:val="00035E96"/>
    <w:rsid w:val="00041B91"/>
    <w:rsid w:val="000452C8"/>
    <w:rsid w:val="00046789"/>
    <w:rsid w:val="00047406"/>
    <w:rsid w:val="00050444"/>
    <w:rsid w:val="00052657"/>
    <w:rsid w:val="00056E71"/>
    <w:rsid w:val="00064AFF"/>
    <w:rsid w:val="000660CA"/>
    <w:rsid w:val="00071F2C"/>
    <w:rsid w:val="00072313"/>
    <w:rsid w:val="00074EF9"/>
    <w:rsid w:val="00082E5D"/>
    <w:rsid w:val="00084438"/>
    <w:rsid w:val="00087120"/>
    <w:rsid w:val="0008718F"/>
    <w:rsid w:val="00087451"/>
    <w:rsid w:val="00087AE9"/>
    <w:rsid w:val="00090084"/>
    <w:rsid w:val="0009085E"/>
    <w:rsid w:val="000908AB"/>
    <w:rsid w:val="00093458"/>
    <w:rsid w:val="00093FAA"/>
    <w:rsid w:val="000949DF"/>
    <w:rsid w:val="00094F41"/>
    <w:rsid w:val="00096FAA"/>
    <w:rsid w:val="000B2F0A"/>
    <w:rsid w:val="000B495F"/>
    <w:rsid w:val="000B5349"/>
    <w:rsid w:val="000C44E4"/>
    <w:rsid w:val="000C4D2D"/>
    <w:rsid w:val="000E056E"/>
    <w:rsid w:val="000E2028"/>
    <w:rsid w:val="000E7589"/>
    <w:rsid w:val="000F5C17"/>
    <w:rsid w:val="001060DC"/>
    <w:rsid w:val="00106E39"/>
    <w:rsid w:val="00106F94"/>
    <w:rsid w:val="00111311"/>
    <w:rsid w:val="00113C64"/>
    <w:rsid w:val="00114640"/>
    <w:rsid w:val="001164D7"/>
    <w:rsid w:val="00123B02"/>
    <w:rsid w:val="00124B8F"/>
    <w:rsid w:val="00126BD3"/>
    <w:rsid w:val="00140E78"/>
    <w:rsid w:val="00141DD2"/>
    <w:rsid w:val="001454E2"/>
    <w:rsid w:val="00145D96"/>
    <w:rsid w:val="00146229"/>
    <w:rsid w:val="00146382"/>
    <w:rsid w:val="00150544"/>
    <w:rsid w:val="00155D7A"/>
    <w:rsid w:val="00156487"/>
    <w:rsid w:val="00156750"/>
    <w:rsid w:val="00156BC5"/>
    <w:rsid w:val="0016015E"/>
    <w:rsid w:val="00161647"/>
    <w:rsid w:val="00170B58"/>
    <w:rsid w:val="00171C87"/>
    <w:rsid w:val="00175F3C"/>
    <w:rsid w:val="00177449"/>
    <w:rsid w:val="0018035F"/>
    <w:rsid w:val="001807BB"/>
    <w:rsid w:val="00184EF2"/>
    <w:rsid w:val="00186300"/>
    <w:rsid w:val="001A1B4D"/>
    <w:rsid w:val="001A4BA3"/>
    <w:rsid w:val="001B3E57"/>
    <w:rsid w:val="001B50DA"/>
    <w:rsid w:val="001B75CC"/>
    <w:rsid w:val="001C2FA6"/>
    <w:rsid w:val="001C45AC"/>
    <w:rsid w:val="001D02D5"/>
    <w:rsid w:val="001E1EA0"/>
    <w:rsid w:val="001F3847"/>
    <w:rsid w:val="001F5971"/>
    <w:rsid w:val="0020255C"/>
    <w:rsid w:val="002029AA"/>
    <w:rsid w:val="002160E3"/>
    <w:rsid w:val="00217FD6"/>
    <w:rsid w:val="0022197C"/>
    <w:rsid w:val="00223F45"/>
    <w:rsid w:val="00224FF8"/>
    <w:rsid w:val="002318C8"/>
    <w:rsid w:val="00234F34"/>
    <w:rsid w:val="00237943"/>
    <w:rsid w:val="0024179D"/>
    <w:rsid w:val="002450F0"/>
    <w:rsid w:val="00247D4A"/>
    <w:rsid w:val="00251FBE"/>
    <w:rsid w:val="00262845"/>
    <w:rsid w:val="0026564C"/>
    <w:rsid w:val="00286F08"/>
    <w:rsid w:val="00286F87"/>
    <w:rsid w:val="00293120"/>
    <w:rsid w:val="002960B7"/>
    <w:rsid w:val="00296D5C"/>
    <w:rsid w:val="002A234A"/>
    <w:rsid w:val="002A5C03"/>
    <w:rsid w:val="002B7526"/>
    <w:rsid w:val="002C0ACD"/>
    <w:rsid w:val="002C3432"/>
    <w:rsid w:val="002C56BC"/>
    <w:rsid w:val="002C6A4B"/>
    <w:rsid w:val="002D67D8"/>
    <w:rsid w:val="002D7166"/>
    <w:rsid w:val="002D7B0B"/>
    <w:rsid w:val="002E13B4"/>
    <w:rsid w:val="002E264C"/>
    <w:rsid w:val="002E43AB"/>
    <w:rsid w:val="002E50CB"/>
    <w:rsid w:val="002E57EC"/>
    <w:rsid w:val="002E5A01"/>
    <w:rsid w:val="002E5A95"/>
    <w:rsid w:val="002E6364"/>
    <w:rsid w:val="002E717A"/>
    <w:rsid w:val="002E7481"/>
    <w:rsid w:val="002F090B"/>
    <w:rsid w:val="002F28E3"/>
    <w:rsid w:val="002F3C1D"/>
    <w:rsid w:val="002F4B13"/>
    <w:rsid w:val="002F4D09"/>
    <w:rsid w:val="002F6CDE"/>
    <w:rsid w:val="00301726"/>
    <w:rsid w:val="00305FDF"/>
    <w:rsid w:val="00327B93"/>
    <w:rsid w:val="003309C1"/>
    <w:rsid w:val="00330B03"/>
    <w:rsid w:val="00330B78"/>
    <w:rsid w:val="0034126A"/>
    <w:rsid w:val="00351A96"/>
    <w:rsid w:val="0035526D"/>
    <w:rsid w:val="00355C28"/>
    <w:rsid w:val="00367545"/>
    <w:rsid w:val="00371A18"/>
    <w:rsid w:val="00372D24"/>
    <w:rsid w:val="00374CAD"/>
    <w:rsid w:val="00374FF7"/>
    <w:rsid w:val="00387BE6"/>
    <w:rsid w:val="003A11FA"/>
    <w:rsid w:val="003A3110"/>
    <w:rsid w:val="003A66F2"/>
    <w:rsid w:val="003A71C2"/>
    <w:rsid w:val="003B044A"/>
    <w:rsid w:val="003C0A0C"/>
    <w:rsid w:val="003C3CD9"/>
    <w:rsid w:val="003C4B61"/>
    <w:rsid w:val="003C4DC4"/>
    <w:rsid w:val="003D1F6B"/>
    <w:rsid w:val="003D1F8A"/>
    <w:rsid w:val="003D1FED"/>
    <w:rsid w:val="003D589A"/>
    <w:rsid w:val="003E40F9"/>
    <w:rsid w:val="003E71C5"/>
    <w:rsid w:val="003E74DB"/>
    <w:rsid w:val="003E7785"/>
    <w:rsid w:val="003F5F7A"/>
    <w:rsid w:val="00402E72"/>
    <w:rsid w:val="00407ED1"/>
    <w:rsid w:val="00411543"/>
    <w:rsid w:val="004147C8"/>
    <w:rsid w:val="00415FCD"/>
    <w:rsid w:val="0041652A"/>
    <w:rsid w:val="00431188"/>
    <w:rsid w:val="00432AF4"/>
    <w:rsid w:val="00432DB5"/>
    <w:rsid w:val="004330F8"/>
    <w:rsid w:val="00441EE8"/>
    <w:rsid w:val="00446DAB"/>
    <w:rsid w:val="00447527"/>
    <w:rsid w:val="0045563C"/>
    <w:rsid w:val="00466C3A"/>
    <w:rsid w:val="00470BD4"/>
    <w:rsid w:val="00471C87"/>
    <w:rsid w:val="0047219F"/>
    <w:rsid w:val="00473AEE"/>
    <w:rsid w:val="00473ED4"/>
    <w:rsid w:val="00473F9D"/>
    <w:rsid w:val="00475BFF"/>
    <w:rsid w:val="0048309D"/>
    <w:rsid w:val="00485510"/>
    <w:rsid w:val="00485616"/>
    <w:rsid w:val="00492D15"/>
    <w:rsid w:val="00493A83"/>
    <w:rsid w:val="00496D93"/>
    <w:rsid w:val="004A74F5"/>
    <w:rsid w:val="004B03DA"/>
    <w:rsid w:val="004B4668"/>
    <w:rsid w:val="004B5C5E"/>
    <w:rsid w:val="004C5DAC"/>
    <w:rsid w:val="004D2D34"/>
    <w:rsid w:val="004D5914"/>
    <w:rsid w:val="004D6E6B"/>
    <w:rsid w:val="004E0BC5"/>
    <w:rsid w:val="004E1F8F"/>
    <w:rsid w:val="004E4DD9"/>
    <w:rsid w:val="004E5A3A"/>
    <w:rsid w:val="004E638D"/>
    <w:rsid w:val="004F37AE"/>
    <w:rsid w:val="004F429E"/>
    <w:rsid w:val="004F5AD6"/>
    <w:rsid w:val="00502F05"/>
    <w:rsid w:val="00505983"/>
    <w:rsid w:val="00506FE5"/>
    <w:rsid w:val="00511426"/>
    <w:rsid w:val="00511F5D"/>
    <w:rsid w:val="00514689"/>
    <w:rsid w:val="00516AE1"/>
    <w:rsid w:val="00522D8C"/>
    <w:rsid w:val="00522DC9"/>
    <w:rsid w:val="00524102"/>
    <w:rsid w:val="005241EF"/>
    <w:rsid w:val="0052495E"/>
    <w:rsid w:val="00525FA9"/>
    <w:rsid w:val="00526EAD"/>
    <w:rsid w:val="00527968"/>
    <w:rsid w:val="00541303"/>
    <w:rsid w:val="00550F7C"/>
    <w:rsid w:val="00553C06"/>
    <w:rsid w:val="00555D79"/>
    <w:rsid w:val="005615CB"/>
    <w:rsid w:val="00570249"/>
    <w:rsid w:val="00570CF2"/>
    <w:rsid w:val="00572803"/>
    <w:rsid w:val="005762CA"/>
    <w:rsid w:val="0057649F"/>
    <w:rsid w:val="00581FC7"/>
    <w:rsid w:val="00585498"/>
    <w:rsid w:val="0058735D"/>
    <w:rsid w:val="00587D93"/>
    <w:rsid w:val="00593FA7"/>
    <w:rsid w:val="00595340"/>
    <w:rsid w:val="005A2E16"/>
    <w:rsid w:val="005A592F"/>
    <w:rsid w:val="005B4660"/>
    <w:rsid w:val="005B49CC"/>
    <w:rsid w:val="005C6BC0"/>
    <w:rsid w:val="005C6D85"/>
    <w:rsid w:val="005D5231"/>
    <w:rsid w:val="005D70DF"/>
    <w:rsid w:val="005E3730"/>
    <w:rsid w:val="005E76FE"/>
    <w:rsid w:val="005F11BD"/>
    <w:rsid w:val="005F1B02"/>
    <w:rsid w:val="005F1B3A"/>
    <w:rsid w:val="005F2C4A"/>
    <w:rsid w:val="005F3F6F"/>
    <w:rsid w:val="005F7BB7"/>
    <w:rsid w:val="006004F9"/>
    <w:rsid w:val="00601C5C"/>
    <w:rsid w:val="0060267E"/>
    <w:rsid w:val="00604CFB"/>
    <w:rsid w:val="00607D08"/>
    <w:rsid w:val="00624073"/>
    <w:rsid w:val="006275F0"/>
    <w:rsid w:val="006305B5"/>
    <w:rsid w:val="006339F7"/>
    <w:rsid w:val="00635522"/>
    <w:rsid w:val="00636693"/>
    <w:rsid w:val="0064251E"/>
    <w:rsid w:val="00653B64"/>
    <w:rsid w:val="00656B5C"/>
    <w:rsid w:val="006572B3"/>
    <w:rsid w:val="00662942"/>
    <w:rsid w:val="00662B82"/>
    <w:rsid w:val="0066352D"/>
    <w:rsid w:val="00666B6E"/>
    <w:rsid w:val="006707EB"/>
    <w:rsid w:val="006716A3"/>
    <w:rsid w:val="00675275"/>
    <w:rsid w:val="006824DE"/>
    <w:rsid w:val="0068447A"/>
    <w:rsid w:val="006858C4"/>
    <w:rsid w:val="006859A7"/>
    <w:rsid w:val="00687679"/>
    <w:rsid w:val="006910CD"/>
    <w:rsid w:val="00691AE1"/>
    <w:rsid w:val="00691F40"/>
    <w:rsid w:val="00694072"/>
    <w:rsid w:val="006A24B2"/>
    <w:rsid w:val="006A3533"/>
    <w:rsid w:val="006A3B4E"/>
    <w:rsid w:val="006A71B4"/>
    <w:rsid w:val="006B0078"/>
    <w:rsid w:val="006B1C47"/>
    <w:rsid w:val="006B234A"/>
    <w:rsid w:val="006B2F64"/>
    <w:rsid w:val="006B469B"/>
    <w:rsid w:val="006C47D1"/>
    <w:rsid w:val="006C7AA3"/>
    <w:rsid w:val="006E44C9"/>
    <w:rsid w:val="006E6E12"/>
    <w:rsid w:val="006E7A69"/>
    <w:rsid w:val="006F23A5"/>
    <w:rsid w:val="006F4D0D"/>
    <w:rsid w:val="006F6D1E"/>
    <w:rsid w:val="00700D72"/>
    <w:rsid w:val="00704509"/>
    <w:rsid w:val="007067FA"/>
    <w:rsid w:val="00712191"/>
    <w:rsid w:val="00722572"/>
    <w:rsid w:val="0072529D"/>
    <w:rsid w:val="00730A4F"/>
    <w:rsid w:val="00741E41"/>
    <w:rsid w:val="00746AD8"/>
    <w:rsid w:val="00746B81"/>
    <w:rsid w:val="00751CA6"/>
    <w:rsid w:val="007563AC"/>
    <w:rsid w:val="007611AE"/>
    <w:rsid w:val="00770594"/>
    <w:rsid w:val="00770D1F"/>
    <w:rsid w:val="00770F3A"/>
    <w:rsid w:val="007716F1"/>
    <w:rsid w:val="00772DC0"/>
    <w:rsid w:val="00775A9E"/>
    <w:rsid w:val="00780392"/>
    <w:rsid w:val="00783DED"/>
    <w:rsid w:val="00784041"/>
    <w:rsid w:val="00786BB7"/>
    <w:rsid w:val="00793205"/>
    <w:rsid w:val="007A009D"/>
    <w:rsid w:val="007A0521"/>
    <w:rsid w:val="007A29DE"/>
    <w:rsid w:val="007A62C0"/>
    <w:rsid w:val="007B4430"/>
    <w:rsid w:val="007C0208"/>
    <w:rsid w:val="007D3238"/>
    <w:rsid w:val="007E1B0F"/>
    <w:rsid w:val="007E24E1"/>
    <w:rsid w:val="007E607E"/>
    <w:rsid w:val="007F1945"/>
    <w:rsid w:val="007F2A67"/>
    <w:rsid w:val="007F42E4"/>
    <w:rsid w:val="007F6FF2"/>
    <w:rsid w:val="007F7FCB"/>
    <w:rsid w:val="008010CA"/>
    <w:rsid w:val="0080387F"/>
    <w:rsid w:val="00804B70"/>
    <w:rsid w:val="00812398"/>
    <w:rsid w:val="00820521"/>
    <w:rsid w:val="00821081"/>
    <w:rsid w:val="008259FF"/>
    <w:rsid w:val="008277CD"/>
    <w:rsid w:val="00832C3B"/>
    <w:rsid w:val="008345B3"/>
    <w:rsid w:val="008406CB"/>
    <w:rsid w:val="00850617"/>
    <w:rsid w:val="0085447F"/>
    <w:rsid w:val="00857D89"/>
    <w:rsid w:val="00863647"/>
    <w:rsid w:val="008654CD"/>
    <w:rsid w:val="00867792"/>
    <w:rsid w:val="0087237C"/>
    <w:rsid w:val="00872A5F"/>
    <w:rsid w:val="00881140"/>
    <w:rsid w:val="008817F9"/>
    <w:rsid w:val="00882E11"/>
    <w:rsid w:val="0088692A"/>
    <w:rsid w:val="008876FC"/>
    <w:rsid w:val="00891401"/>
    <w:rsid w:val="008943E4"/>
    <w:rsid w:val="008C0542"/>
    <w:rsid w:val="008C5979"/>
    <w:rsid w:val="008C5990"/>
    <w:rsid w:val="008D0205"/>
    <w:rsid w:val="008D1931"/>
    <w:rsid w:val="008D3B43"/>
    <w:rsid w:val="008D6FAB"/>
    <w:rsid w:val="008E58DB"/>
    <w:rsid w:val="008E63BA"/>
    <w:rsid w:val="008E6669"/>
    <w:rsid w:val="008F0CC7"/>
    <w:rsid w:val="008F23C3"/>
    <w:rsid w:val="008F2F1B"/>
    <w:rsid w:val="008F5572"/>
    <w:rsid w:val="009023FD"/>
    <w:rsid w:val="00905240"/>
    <w:rsid w:val="009124E8"/>
    <w:rsid w:val="00917E28"/>
    <w:rsid w:val="00920431"/>
    <w:rsid w:val="0092169A"/>
    <w:rsid w:val="00922B83"/>
    <w:rsid w:val="009237F5"/>
    <w:rsid w:val="009237FC"/>
    <w:rsid w:val="00924425"/>
    <w:rsid w:val="009277E1"/>
    <w:rsid w:val="00933EC4"/>
    <w:rsid w:val="009358A1"/>
    <w:rsid w:val="00940094"/>
    <w:rsid w:val="00945599"/>
    <w:rsid w:val="0095309E"/>
    <w:rsid w:val="009553FA"/>
    <w:rsid w:val="00960DA5"/>
    <w:rsid w:val="009622FD"/>
    <w:rsid w:val="009626CE"/>
    <w:rsid w:val="00963AD9"/>
    <w:rsid w:val="00967A53"/>
    <w:rsid w:val="00981F86"/>
    <w:rsid w:val="00982CD7"/>
    <w:rsid w:val="00985F34"/>
    <w:rsid w:val="00986EC2"/>
    <w:rsid w:val="009878D6"/>
    <w:rsid w:val="00987919"/>
    <w:rsid w:val="00987C08"/>
    <w:rsid w:val="00990A88"/>
    <w:rsid w:val="009926C6"/>
    <w:rsid w:val="0099293D"/>
    <w:rsid w:val="0099664D"/>
    <w:rsid w:val="009A2CF5"/>
    <w:rsid w:val="009A6152"/>
    <w:rsid w:val="009B381F"/>
    <w:rsid w:val="009B3BA6"/>
    <w:rsid w:val="009B6339"/>
    <w:rsid w:val="009B6C25"/>
    <w:rsid w:val="009B767C"/>
    <w:rsid w:val="009C4532"/>
    <w:rsid w:val="009C52A5"/>
    <w:rsid w:val="009C750C"/>
    <w:rsid w:val="009D14CE"/>
    <w:rsid w:val="009D201B"/>
    <w:rsid w:val="009D5BBB"/>
    <w:rsid w:val="009D6904"/>
    <w:rsid w:val="009E0B3F"/>
    <w:rsid w:val="009E1D20"/>
    <w:rsid w:val="009E1FBE"/>
    <w:rsid w:val="009F0B72"/>
    <w:rsid w:val="009F734F"/>
    <w:rsid w:val="00A00CBC"/>
    <w:rsid w:val="00A05F72"/>
    <w:rsid w:val="00A06383"/>
    <w:rsid w:val="00A16122"/>
    <w:rsid w:val="00A25225"/>
    <w:rsid w:val="00A313A1"/>
    <w:rsid w:val="00A3410C"/>
    <w:rsid w:val="00A35D30"/>
    <w:rsid w:val="00A36CD8"/>
    <w:rsid w:val="00A434D7"/>
    <w:rsid w:val="00A47E8E"/>
    <w:rsid w:val="00A51B31"/>
    <w:rsid w:val="00A53CB3"/>
    <w:rsid w:val="00A64F0D"/>
    <w:rsid w:val="00A66DBA"/>
    <w:rsid w:val="00A7594E"/>
    <w:rsid w:val="00A8049D"/>
    <w:rsid w:val="00A85954"/>
    <w:rsid w:val="00A86CA4"/>
    <w:rsid w:val="00A8798F"/>
    <w:rsid w:val="00A929A6"/>
    <w:rsid w:val="00A95BEA"/>
    <w:rsid w:val="00AA2B92"/>
    <w:rsid w:val="00AA3E19"/>
    <w:rsid w:val="00AA61B5"/>
    <w:rsid w:val="00AA63A1"/>
    <w:rsid w:val="00AB1D6B"/>
    <w:rsid w:val="00AB362F"/>
    <w:rsid w:val="00AB7F20"/>
    <w:rsid w:val="00AC12C3"/>
    <w:rsid w:val="00AC144B"/>
    <w:rsid w:val="00AC2EAD"/>
    <w:rsid w:val="00AC550B"/>
    <w:rsid w:val="00AC589F"/>
    <w:rsid w:val="00AD7A91"/>
    <w:rsid w:val="00AD7B2D"/>
    <w:rsid w:val="00AE2E51"/>
    <w:rsid w:val="00AE48DB"/>
    <w:rsid w:val="00AE4C68"/>
    <w:rsid w:val="00AF1640"/>
    <w:rsid w:val="00B0555F"/>
    <w:rsid w:val="00B06CE2"/>
    <w:rsid w:val="00B10316"/>
    <w:rsid w:val="00B12B2D"/>
    <w:rsid w:val="00B1333E"/>
    <w:rsid w:val="00B14F37"/>
    <w:rsid w:val="00B158DE"/>
    <w:rsid w:val="00B16445"/>
    <w:rsid w:val="00B16DAF"/>
    <w:rsid w:val="00B17D1A"/>
    <w:rsid w:val="00B20AA5"/>
    <w:rsid w:val="00B252D0"/>
    <w:rsid w:val="00B26B4A"/>
    <w:rsid w:val="00B27F75"/>
    <w:rsid w:val="00B3287C"/>
    <w:rsid w:val="00B36241"/>
    <w:rsid w:val="00B37988"/>
    <w:rsid w:val="00B50311"/>
    <w:rsid w:val="00B54AF3"/>
    <w:rsid w:val="00B57BC8"/>
    <w:rsid w:val="00B6029B"/>
    <w:rsid w:val="00B66B08"/>
    <w:rsid w:val="00B670D1"/>
    <w:rsid w:val="00B673F0"/>
    <w:rsid w:val="00B7077E"/>
    <w:rsid w:val="00B76031"/>
    <w:rsid w:val="00B76386"/>
    <w:rsid w:val="00B77DC8"/>
    <w:rsid w:val="00B826F6"/>
    <w:rsid w:val="00B91BB4"/>
    <w:rsid w:val="00B94112"/>
    <w:rsid w:val="00B9422A"/>
    <w:rsid w:val="00B96E3C"/>
    <w:rsid w:val="00B97899"/>
    <w:rsid w:val="00BB0AE1"/>
    <w:rsid w:val="00BB1B72"/>
    <w:rsid w:val="00BB73D5"/>
    <w:rsid w:val="00BC5121"/>
    <w:rsid w:val="00BC529D"/>
    <w:rsid w:val="00BD1F3B"/>
    <w:rsid w:val="00BD36B1"/>
    <w:rsid w:val="00BD49FB"/>
    <w:rsid w:val="00BD5588"/>
    <w:rsid w:val="00BD7871"/>
    <w:rsid w:val="00BE2CB0"/>
    <w:rsid w:val="00BF0DEC"/>
    <w:rsid w:val="00BF212C"/>
    <w:rsid w:val="00BF29F3"/>
    <w:rsid w:val="00C00CE3"/>
    <w:rsid w:val="00C01833"/>
    <w:rsid w:val="00C02C98"/>
    <w:rsid w:val="00C05693"/>
    <w:rsid w:val="00C07AD6"/>
    <w:rsid w:val="00C10161"/>
    <w:rsid w:val="00C11F43"/>
    <w:rsid w:val="00C12CE2"/>
    <w:rsid w:val="00C250AC"/>
    <w:rsid w:val="00C271AB"/>
    <w:rsid w:val="00C321D3"/>
    <w:rsid w:val="00C324B3"/>
    <w:rsid w:val="00C32595"/>
    <w:rsid w:val="00C32F8D"/>
    <w:rsid w:val="00C36D50"/>
    <w:rsid w:val="00C40E5C"/>
    <w:rsid w:val="00C46A26"/>
    <w:rsid w:val="00C50AA7"/>
    <w:rsid w:val="00C50D47"/>
    <w:rsid w:val="00C520B3"/>
    <w:rsid w:val="00C53A5C"/>
    <w:rsid w:val="00C56F8C"/>
    <w:rsid w:val="00C5785A"/>
    <w:rsid w:val="00C60815"/>
    <w:rsid w:val="00C7285D"/>
    <w:rsid w:val="00C767E1"/>
    <w:rsid w:val="00C82C91"/>
    <w:rsid w:val="00C842D4"/>
    <w:rsid w:val="00C866B4"/>
    <w:rsid w:val="00C978B3"/>
    <w:rsid w:val="00CA52A7"/>
    <w:rsid w:val="00CA5A47"/>
    <w:rsid w:val="00CB0DBE"/>
    <w:rsid w:val="00CB50D4"/>
    <w:rsid w:val="00CB635C"/>
    <w:rsid w:val="00CC0370"/>
    <w:rsid w:val="00CC4E7F"/>
    <w:rsid w:val="00CD5291"/>
    <w:rsid w:val="00CE664B"/>
    <w:rsid w:val="00CE691A"/>
    <w:rsid w:val="00CF0B22"/>
    <w:rsid w:val="00CF157D"/>
    <w:rsid w:val="00CF3773"/>
    <w:rsid w:val="00CF3872"/>
    <w:rsid w:val="00CF6BA4"/>
    <w:rsid w:val="00D0220C"/>
    <w:rsid w:val="00D056B4"/>
    <w:rsid w:val="00D10449"/>
    <w:rsid w:val="00D158E8"/>
    <w:rsid w:val="00D161CF"/>
    <w:rsid w:val="00D21A8A"/>
    <w:rsid w:val="00D22D7A"/>
    <w:rsid w:val="00D26CF3"/>
    <w:rsid w:val="00D30614"/>
    <w:rsid w:val="00D436F5"/>
    <w:rsid w:val="00D47FE6"/>
    <w:rsid w:val="00D51BAC"/>
    <w:rsid w:val="00D635D1"/>
    <w:rsid w:val="00D70A87"/>
    <w:rsid w:val="00D70DBF"/>
    <w:rsid w:val="00D739E1"/>
    <w:rsid w:val="00D81C99"/>
    <w:rsid w:val="00D822BE"/>
    <w:rsid w:val="00D86996"/>
    <w:rsid w:val="00D90BEC"/>
    <w:rsid w:val="00D932D5"/>
    <w:rsid w:val="00D93D24"/>
    <w:rsid w:val="00D974B9"/>
    <w:rsid w:val="00DA353B"/>
    <w:rsid w:val="00DA4DD4"/>
    <w:rsid w:val="00DA64BC"/>
    <w:rsid w:val="00DB4FB9"/>
    <w:rsid w:val="00DC55B5"/>
    <w:rsid w:val="00DC74B2"/>
    <w:rsid w:val="00DD14EA"/>
    <w:rsid w:val="00DD38DC"/>
    <w:rsid w:val="00DE32AA"/>
    <w:rsid w:val="00DF07CB"/>
    <w:rsid w:val="00DF2DA5"/>
    <w:rsid w:val="00DF3715"/>
    <w:rsid w:val="00DF68DC"/>
    <w:rsid w:val="00E026B7"/>
    <w:rsid w:val="00E0514E"/>
    <w:rsid w:val="00E051B0"/>
    <w:rsid w:val="00E072D8"/>
    <w:rsid w:val="00E11D85"/>
    <w:rsid w:val="00E13539"/>
    <w:rsid w:val="00E13684"/>
    <w:rsid w:val="00E226C5"/>
    <w:rsid w:val="00E265D9"/>
    <w:rsid w:val="00E273A1"/>
    <w:rsid w:val="00E30236"/>
    <w:rsid w:val="00E3290D"/>
    <w:rsid w:val="00E37CCB"/>
    <w:rsid w:val="00E40162"/>
    <w:rsid w:val="00E44034"/>
    <w:rsid w:val="00E44472"/>
    <w:rsid w:val="00E46753"/>
    <w:rsid w:val="00E477BF"/>
    <w:rsid w:val="00E51670"/>
    <w:rsid w:val="00E538DD"/>
    <w:rsid w:val="00E53EAB"/>
    <w:rsid w:val="00E6203D"/>
    <w:rsid w:val="00E62ABA"/>
    <w:rsid w:val="00E647BE"/>
    <w:rsid w:val="00E65BA1"/>
    <w:rsid w:val="00E71224"/>
    <w:rsid w:val="00E71382"/>
    <w:rsid w:val="00E72185"/>
    <w:rsid w:val="00E75142"/>
    <w:rsid w:val="00E94166"/>
    <w:rsid w:val="00E96134"/>
    <w:rsid w:val="00E961BD"/>
    <w:rsid w:val="00EA0BC6"/>
    <w:rsid w:val="00EA3D31"/>
    <w:rsid w:val="00EA410A"/>
    <w:rsid w:val="00EA4F58"/>
    <w:rsid w:val="00EB1171"/>
    <w:rsid w:val="00EB2E30"/>
    <w:rsid w:val="00EC271D"/>
    <w:rsid w:val="00ED0C44"/>
    <w:rsid w:val="00EE43A3"/>
    <w:rsid w:val="00EE59E4"/>
    <w:rsid w:val="00EE640D"/>
    <w:rsid w:val="00EE6C56"/>
    <w:rsid w:val="00EE7616"/>
    <w:rsid w:val="00EF1283"/>
    <w:rsid w:val="00EF1EE3"/>
    <w:rsid w:val="00EF3D6C"/>
    <w:rsid w:val="00F00FD4"/>
    <w:rsid w:val="00F02991"/>
    <w:rsid w:val="00F05CA2"/>
    <w:rsid w:val="00F15682"/>
    <w:rsid w:val="00F213DD"/>
    <w:rsid w:val="00F258FE"/>
    <w:rsid w:val="00F263BE"/>
    <w:rsid w:val="00F3269F"/>
    <w:rsid w:val="00F360B5"/>
    <w:rsid w:val="00F42A15"/>
    <w:rsid w:val="00F478A2"/>
    <w:rsid w:val="00F517BA"/>
    <w:rsid w:val="00F51D52"/>
    <w:rsid w:val="00F52FEE"/>
    <w:rsid w:val="00F54498"/>
    <w:rsid w:val="00F544AD"/>
    <w:rsid w:val="00F54AD8"/>
    <w:rsid w:val="00F56764"/>
    <w:rsid w:val="00F607B7"/>
    <w:rsid w:val="00F6090A"/>
    <w:rsid w:val="00F6379B"/>
    <w:rsid w:val="00F652A5"/>
    <w:rsid w:val="00F71F8F"/>
    <w:rsid w:val="00F8013D"/>
    <w:rsid w:val="00F806DC"/>
    <w:rsid w:val="00F8623D"/>
    <w:rsid w:val="00F90202"/>
    <w:rsid w:val="00F932BA"/>
    <w:rsid w:val="00F95E8A"/>
    <w:rsid w:val="00FA2C27"/>
    <w:rsid w:val="00FA3B65"/>
    <w:rsid w:val="00FB1B35"/>
    <w:rsid w:val="00FC5111"/>
    <w:rsid w:val="00FE0E49"/>
    <w:rsid w:val="00FE1131"/>
    <w:rsid w:val="00FE2CD5"/>
    <w:rsid w:val="00FE6D6A"/>
    <w:rsid w:val="00FF0951"/>
    <w:rsid w:val="00FF78F2"/>
  </w:rsids>
  <m:mathPr>
    <m:mathFont m:val="Cambria Math"/>
    <m:brkBin m:val="before"/>
    <m:brkBinSub m:val="--"/>
    <m:smallFrac/>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2F277-CD7D-4EB4-8E7F-3A64003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NormalWeb">
    <w:name w:val="Normal (Web)"/>
    <w:basedOn w:val="Normal"/>
    <w:unhideWhenUsed/>
    <w:rsid w:val="00C50D47"/>
    <w:pPr>
      <w:spacing w:before="100" w:beforeAutospacing="1" w:after="100" w:afterAutospacing="1"/>
    </w:pPr>
    <w:rPr>
      <w:rFonts w:ascii="Verdana" w:hAnsi="Verdana"/>
      <w:sz w:val="18"/>
      <w:szCs w:val="18"/>
      <w:lang w:val="en-US" w:eastAsia="en-US"/>
    </w:rPr>
  </w:style>
  <w:style w:type="character" w:styleId="CommentReference">
    <w:name w:val="annotation reference"/>
    <w:uiPriority w:val="99"/>
    <w:semiHidden/>
    <w:unhideWhenUsed/>
    <w:rsid w:val="00E273A1"/>
    <w:rPr>
      <w:sz w:val="16"/>
      <w:szCs w:val="16"/>
    </w:rPr>
  </w:style>
  <w:style w:type="paragraph" w:styleId="CommentText">
    <w:name w:val="annotation text"/>
    <w:basedOn w:val="Normal"/>
    <w:link w:val="CommentTextChar"/>
    <w:uiPriority w:val="99"/>
    <w:unhideWhenUsed/>
    <w:rsid w:val="00E273A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E273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1"/>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E273A1"/>
    <w:pPr>
      <w:ind w:left="720"/>
      <w:contextualSpacing/>
    </w:pPr>
  </w:style>
  <w:style w:type="paragraph" w:customStyle="1" w:styleId="naiskr">
    <w:name w:val="naiskr"/>
    <w:basedOn w:val="Normal"/>
    <w:rsid w:val="003D1F6B"/>
    <w:pPr>
      <w:spacing w:before="75" w:after="75"/>
    </w:pPr>
  </w:style>
  <w:style w:type="paragraph" w:styleId="CommentSubject">
    <w:name w:val="annotation subject"/>
    <w:basedOn w:val="CommentText"/>
    <w:next w:val="CommentText"/>
    <w:link w:val="CommentSubjectChar"/>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C6D85"/>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D21A8A"/>
    <w:pPr>
      <w:tabs>
        <w:tab w:val="center" w:pos="4153"/>
        <w:tab w:val="right" w:pos="8306"/>
      </w:tabs>
    </w:pPr>
  </w:style>
  <w:style w:type="character" w:customStyle="1" w:styleId="HeaderChar">
    <w:name w:val="Header Char"/>
    <w:basedOn w:val="DefaultParagraphFont"/>
    <w:link w:val="Header"/>
    <w:uiPriority w:val="99"/>
    <w:rsid w:val="00D21A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1A8A"/>
    <w:pPr>
      <w:tabs>
        <w:tab w:val="center" w:pos="4153"/>
        <w:tab w:val="right" w:pos="8306"/>
      </w:tabs>
    </w:pPr>
  </w:style>
  <w:style w:type="character" w:customStyle="1" w:styleId="FooterChar">
    <w:name w:val="Footer Char"/>
    <w:basedOn w:val="DefaultParagraphFont"/>
    <w:link w:val="Footer"/>
    <w:uiPriority w:val="99"/>
    <w:rsid w:val="00D21A8A"/>
    <w:rPr>
      <w:rFonts w:ascii="Times New Roman" w:eastAsia="Times New Roman" w:hAnsi="Times New Roman" w:cs="Times New Roman"/>
      <w:sz w:val="24"/>
      <w:szCs w:val="24"/>
      <w:lang w:eastAsia="lv-LV"/>
    </w:rPr>
  </w:style>
  <w:style w:type="paragraph" w:customStyle="1" w:styleId="naisnod">
    <w:name w:val="naisnod"/>
    <w:basedOn w:val="Normal"/>
    <w:rsid w:val="00502F05"/>
    <w:pPr>
      <w:spacing w:before="131" w:after="131"/>
      <w:jc w:val="center"/>
    </w:pPr>
    <w:rPr>
      <w:b/>
      <w:bCs/>
    </w:rPr>
  </w:style>
  <w:style w:type="character" w:styleId="Strong">
    <w:name w:val="Strong"/>
    <w:basedOn w:val="DefaultParagraphFont"/>
    <w:uiPriority w:val="22"/>
    <w:qFormat/>
    <w:rsid w:val="00502F05"/>
    <w:rPr>
      <w:b/>
      <w:bCs/>
    </w:rPr>
  </w:style>
  <w:style w:type="paragraph" w:customStyle="1" w:styleId="tv213">
    <w:name w:val="tv213"/>
    <w:basedOn w:val="Normal"/>
    <w:rsid w:val="00374CAD"/>
    <w:pPr>
      <w:spacing w:before="100" w:beforeAutospacing="1" w:after="100" w:afterAutospacing="1"/>
    </w:pPr>
    <w:rPr>
      <w:lang w:val="en-US" w:eastAsia="en-US"/>
    </w:rPr>
  </w:style>
  <w:style w:type="table" w:styleId="TableGridLight">
    <w:name w:val="Grid Table Light"/>
    <w:basedOn w:val="TableNormal"/>
    <w:uiPriority w:val="40"/>
    <w:rsid w:val="00F54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D5914"/>
    <w:rPr>
      <w:sz w:val="20"/>
      <w:szCs w:val="20"/>
    </w:rPr>
  </w:style>
  <w:style w:type="character" w:customStyle="1" w:styleId="FootnoteTextChar">
    <w:name w:val="Footnote Text Char"/>
    <w:basedOn w:val="DefaultParagraphFont"/>
    <w:link w:val="FootnoteText"/>
    <w:uiPriority w:val="99"/>
    <w:semiHidden/>
    <w:rsid w:val="004D591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D5914"/>
    <w:rPr>
      <w:vertAlign w:val="superscript"/>
    </w:rPr>
  </w:style>
  <w:style w:type="paragraph" w:customStyle="1" w:styleId="Default">
    <w:name w:val="Default"/>
    <w:rsid w:val="00A95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22B83"/>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rsid w:val="00EE640D"/>
    <w:pPr>
      <w:spacing w:after="120"/>
      <w:ind w:firstLine="709"/>
      <w:jc w:val="both"/>
    </w:pPr>
    <w:rPr>
      <w:sz w:val="28"/>
      <w:szCs w:val="28"/>
      <w:lang w:val="en-US" w:eastAsia="ar-SA"/>
    </w:rPr>
  </w:style>
  <w:style w:type="character" w:customStyle="1" w:styleId="BodyTextIndent2Char">
    <w:name w:val="Body Text Indent 2 Char"/>
    <w:basedOn w:val="DefaultParagraphFont"/>
    <w:link w:val="BodyTextIndent2"/>
    <w:uiPriority w:val="99"/>
    <w:semiHidden/>
    <w:rsid w:val="00EE640D"/>
    <w:rPr>
      <w:rFonts w:ascii="Times New Roman" w:eastAsia="Times New Roman" w:hAnsi="Times New Roman" w:cs="Times New Roman"/>
      <w:sz w:val="28"/>
      <w:szCs w:val="28"/>
      <w:lang w:val="en-US" w:eastAsia="ar-SA"/>
    </w:rPr>
  </w:style>
  <w:style w:type="paragraph" w:customStyle="1" w:styleId="CM1">
    <w:name w:val="CM1"/>
    <w:basedOn w:val="Default"/>
    <w:next w:val="Default"/>
    <w:uiPriority w:val="99"/>
    <w:rsid w:val="00DA353B"/>
    <w:rPr>
      <w:color w:val="auto"/>
    </w:rPr>
  </w:style>
  <w:style w:type="paragraph" w:customStyle="1" w:styleId="CM3">
    <w:name w:val="CM3"/>
    <w:basedOn w:val="Default"/>
    <w:next w:val="Default"/>
    <w:uiPriority w:val="99"/>
    <w:rsid w:val="00DA353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05/36/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PDF/?uri=CELEX:02005L0036-20160524&amp;from=EN" TargetMode="External"/><Relationship Id="rId1" Type="http://schemas.openxmlformats.org/officeDocument/2006/relationships/hyperlink" Target="https://eur-lex.europa.eu/legal-content/LV/TXT/PDF/?uri=CELEX:02005L0036-20160524&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BAAA-BFB5-4EA6-93F4-E8948045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15</Pages>
  <Words>21291</Words>
  <Characters>12137</Characters>
  <Application>Microsoft Office Word</Application>
  <DocSecurity>0</DocSecurity>
  <Lines>101</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Ministru kabineta noteikumu projekta “Noteikumi par neatkarīgiem ekspertiem ēku energoefektivitātes jomā” sākotnējās ietekmes novērtējuma ziņojums</vt:lpstr>
    </vt:vector>
  </TitlesOfParts>
  <Company>Ekonomikas ministrija</Company>
  <LinksUpToDate>false</LinksUpToDate>
  <CharactersWithSpaces>33362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Anotācija</dc:subject>
  <dc:creator>Inese Stūre</dc:creator>
  <dc:description>I.Stūre
Inese.Sture@izm.gov.lv
t. 67047899</dc:description>
  <cp:lastModifiedBy>Inese Stūre</cp:lastModifiedBy>
  <cp:revision>39</cp:revision>
  <cp:lastPrinted>2019-07-29T12:37:00Z</cp:lastPrinted>
  <dcterms:created xsi:type="dcterms:W3CDTF">2019-07-24T07:57:00Z</dcterms:created>
  <dcterms:modified xsi:type="dcterms:W3CDTF">2019-07-31T08:00:00Z</dcterms:modified>
</cp:coreProperties>
</file>