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F506B" w14:textId="047140CF" w:rsidR="00325677" w:rsidRPr="00BB0E6D" w:rsidRDefault="00325677" w:rsidP="00AD23FB">
      <w:pPr>
        <w:spacing w:after="0" w:line="240" w:lineRule="auto"/>
        <w:jc w:val="center"/>
        <w:rPr>
          <w:rFonts w:ascii="Times New Roman" w:hAnsi="Times New Roman"/>
          <w:b/>
          <w:bCs/>
          <w:sz w:val="28"/>
          <w:szCs w:val="28"/>
        </w:rPr>
      </w:pPr>
      <w:r w:rsidRPr="00BB0E6D">
        <w:rPr>
          <w:rFonts w:ascii="Times New Roman" w:hAnsi="Times New Roman"/>
          <w:b/>
          <w:sz w:val="28"/>
          <w:szCs w:val="28"/>
        </w:rPr>
        <w:t>Apvienot</w:t>
      </w:r>
      <w:r w:rsidR="00A0332E">
        <w:rPr>
          <w:rFonts w:ascii="Times New Roman" w:hAnsi="Times New Roman"/>
          <w:b/>
          <w:sz w:val="28"/>
          <w:szCs w:val="28"/>
        </w:rPr>
        <w:t>ā</w:t>
      </w:r>
      <w:r w:rsidRPr="00BB0E6D">
        <w:rPr>
          <w:rFonts w:ascii="Times New Roman" w:hAnsi="Times New Roman"/>
          <w:b/>
          <w:sz w:val="28"/>
          <w:szCs w:val="28"/>
        </w:rPr>
        <w:t xml:space="preserve"> Ministru kabineta noteikumu </w:t>
      </w:r>
      <w:r w:rsidR="0051068A">
        <w:rPr>
          <w:rFonts w:ascii="Times New Roman" w:hAnsi="Times New Roman"/>
          <w:b/>
          <w:sz w:val="28"/>
          <w:szCs w:val="28"/>
        </w:rPr>
        <w:t xml:space="preserve">projektu par grozījumiem </w:t>
      </w:r>
      <w:r w:rsidR="00084355">
        <w:rPr>
          <w:rFonts w:ascii="Times New Roman" w:hAnsi="Times New Roman"/>
          <w:b/>
          <w:sz w:val="28"/>
          <w:szCs w:val="28"/>
        </w:rPr>
        <w:t xml:space="preserve">Ministru kabineta noteikumos par </w:t>
      </w:r>
      <w:r w:rsidR="0051068A">
        <w:rPr>
          <w:rFonts w:ascii="Times New Roman" w:hAnsi="Times New Roman"/>
          <w:b/>
          <w:sz w:val="28"/>
          <w:szCs w:val="28"/>
        </w:rPr>
        <w:t xml:space="preserve"> </w:t>
      </w:r>
      <w:r w:rsidR="00084355">
        <w:rPr>
          <w:rFonts w:ascii="Times New Roman" w:hAnsi="Times New Roman"/>
          <w:b/>
          <w:sz w:val="28"/>
          <w:szCs w:val="28"/>
        </w:rPr>
        <w:t xml:space="preserve">augstskolu un koledžu ekspertu darba grupas sastāvu </w:t>
      </w:r>
      <w:r w:rsidRPr="00BB0E6D">
        <w:rPr>
          <w:rFonts w:ascii="Times New Roman" w:hAnsi="Times New Roman"/>
          <w:b/>
          <w:bCs/>
          <w:sz w:val="28"/>
          <w:szCs w:val="28"/>
        </w:rPr>
        <w:t>sākotnējās ietekmes novērtējuma ziņojums (anotācija)</w:t>
      </w:r>
    </w:p>
    <w:p w14:paraId="2F1CFCAD" w14:textId="77777777" w:rsidR="00325677" w:rsidRPr="00AD23FB" w:rsidRDefault="00325677" w:rsidP="004B33BE">
      <w:pPr>
        <w:spacing w:after="0" w:line="240" w:lineRule="auto"/>
        <w:outlineLvl w:val="3"/>
        <w:rPr>
          <w:rFonts w:ascii="Times New Roman" w:eastAsia="Times New Roman" w:hAnsi="Times New Roman"/>
          <w:b/>
          <w:bCs/>
          <w:sz w:val="26"/>
          <w:szCs w:val="28"/>
          <w:lang w:eastAsia="lv-LV"/>
        </w:rPr>
      </w:pPr>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2452"/>
        <w:gridCol w:w="6609"/>
      </w:tblGrid>
      <w:tr w:rsidR="00BB0E6D" w:rsidRPr="00084355" w14:paraId="50CB3348" w14:textId="77777777" w:rsidTr="00BF7BBB">
        <w:tc>
          <w:tcPr>
            <w:tcW w:w="5000" w:type="pct"/>
            <w:gridSpan w:val="2"/>
            <w:vAlign w:val="center"/>
            <w:hideMark/>
          </w:tcPr>
          <w:p w14:paraId="5BA47FE4" w14:textId="458FA892" w:rsidR="00A92049" w:rsidRPr="00AD23FB" w:rsidRDefault="00A92049" w:rsidP="0030421F">
            <w:pPr>
              <w:spacing w:after="0" w:line="240" w:lineRule="auto"/>
              <w:jc w:val="center"/>
              <w:rPr>
                <w:rFonts w:ascii="Times New Roman" w:eastAsia="Times New Roman" w:hAnsi="Times New Roman"/>
                <w:b/>
                <w:bCs/>
                <w:sz w:val="26"/>
                <w:szCs w:val="28"/>
                <w:lang w:eastAsia="lv-LV"/>
              </w:rPr>
            </w:pPr>
            <w:r w:rsidRPr="00AD23FB">
              <w:rPr>
                <w:rFonts w:ascii="Times New Roman" w:eastAsia="Times New Roman" w:hAnsi="Times New Roman"/>
                <w:b/>
                <w:bCs/>
                <w:iCs/>
                <w:sz w:val="26"/>
                <w:szCs w:val="28"/>
                <w:lang w:eastAsia="lv-LV"/>
              </w:rPr>
              <w:t>Tiesību akt</w:t>
            </w:r>
            <w:r w:rsidR="0030421F" w:rsidRPr="00AD23FB">
              <w:rPr>
                <w:rFonts w:ascii="Times New Roman" w:eastAsia="Times New Roman" w:hAnsi="Times New Roman"/>
                <w:b/>
                <w:bCs/>
                <w:iCs/>
                <w:sz w:val="26"/>
                <w:szCs w:val="28"/>
                <w:lang w:eastAsia="lv-LV"/>
              </w:rPr>
              <w:t>u</w:t>
            </w:r>
            <w:r w:rsidRPr="00AD23FB">
              <w:rPr>
                <w:rFonts w:ascii="Times New Roman" w:eastAsia="Times New Roman" w:hAnsi="Times New Roman"/>
                <w:b/>
                <w:bCs/>
                <w:iCs/>
                <w:sz w:val="26"/>
                <w:szCs w:val="28"/>
                <w:lang w:eastAsia="lv-LV"/>
              </w:rPr>
              <w:t xml:space="preserve"> projekt</w:t>
            </w:r>
            <w:r w:rsidR="0030421F" w:rsidRPr="00AD23FB">
              <w:rPr>
                <w:rFonts w:ascii="Times New Roman" w:eastAsia="Times New Roman" w:hAnsi="Times New Roman"/>
                <w:b/>
                <w:bCs/>
                <w:iCs/>
                <w:sz w:val="26"/>
                <w:szCs w:val="28"/>
                <w:lang w:eastAsia="lv-LV"/>
              </w:rPr>
              <w:t>u</w:t>
            </w:r>
            <w:r w:rsidRPr="00AD23FB">
              <w:rPr>
                <w:rFonts w:ascii="Times New Roman" w:eastAsia="Times New Roman" w:hAnsi="Times New Roman"/>
                <w:b/>
                <w:bCs/>
                <w:iCs/>
                <w:sz w:val="26"/>
                <w:szCs w:val="28"/>
                <w:lang w:eastAsia="lv-LV"/>
              </w:rPr>
              <w:t xml:space="preserve"> anotācijas kopsavilkums</w:t>
            </w:r>
          </w:p>
        </w:tc>
      </w:tr>
      <w:tr w:rsidR="00BB0E6D" w:rsidRPr="00084355" w14:paraId="11B8A4AF" w14:textId="77777777" w:rsidTr="00A92049">
        <w:tc>
          <w:tcPr>
            <w:tcW w:w="1353" w:type="pct"/>
            <w:hideMark/>
          </w:tcPr>
          <w:p w14:paraId="75D70E2F" w14:textId="7DF20DB5" w:rsidR="00A92049" w:rsidRPr="00AD23FB" w:rsidRDefault="001532AA" w:rsidP="00A92049">
            <w:pPr>
              <w:spacing w:after="0" w:line="240" w:lineRule="auto"/>
              <w:rPr>
                <w:rFonts w:ascii="Times New Roman" w:eastAsia="Times New Roman" w:hAnsi="Times New Roman"/>
                <w:sz w:val="26"/>
                <w:szCs w:val="28"/>
                <w:lang w:eastAsia="lv-LV"/>
              </w:rPr>
            </w:pPr>
            <w:r w:rsidRPr="00AD23FB">
              <w:rPr>
                <w:rFonts w:ascii="Times New Roman" w:eastAsia="Times New Roman" w:hAnsi="Times New Roman"/>
                <w:iCs/>
                <w:sz w:val="26"/>
                <w:szCs w:val="28"/>
                <w:lang w:eastAsia="lv-LV"/>
              </w:rPr>
              <w:t>Mērķis, risinājums un projektu</w:t>
            </w:r>
            <w:r w:rsidR="00A92049" w:rsidRPr="00AD23FB">
              <w:rPr>
                <w:rFonts w:ascii="Times New Roman" w:eastAsia="Times New Roman" w:hAnsi="Times New Roman"/>
                <w:iCs/>
                <w:sz w:val="26"/>
                <w:szCs w:val="28"/>
                <w:lang w:eastAsia="lv-LV"/>
              </w:rPr>
              <w:t xml:space="preserve"> spēkā stāšanās laiks (500 zīmes bez atstarpēm)</w:t>
            </w:r>
          </w:p>
        </w:tc>
        <w:tc>
          <w:tcPr>
            <w:tcW w:w="3647" w:type="pct"/>
            <w:hideMark/>
          </w:tcPr>
          <w:p w14:paraId="0C02B2EF" w14:textId="74969ED4" w:rsidR="006F1311" w:rsidRDefault="00325677" w:rsidP="00084355">
            <w:pPr>
              <w:spacing w:after="0" w:line="240" w:lineRule="auto"/>
              <w:jc w:val="both"/>
              <w:rPr>
                <w:rFonts w:ascii="Times New Roman" w:hAnsi="Times New Roman"/>
                <w:sz w:val="26"/>
                <w:szCs w:val="28"/>
              </w:rPr>
            </w:pPr>
            <w:r w:rsidRPr="00AD23FB">
              <w:rPr>
                <w:rFonts w:ascii="Times New Roman" w:hAnsi="Times New Roman"/>
                <w:sz w:val="26"/>
                <w:szCs w:val="28"/>
              </w:rPr>
              <w:t>Ministru kabineta noteikumu projekta “</w:t>
            </w:r>
            <w:r w:rsidRPr="00AD23FB">
              <w:rPr>
                <w:rFonts w:ascii="Times New Roman" w:hAnsi="Times New Roman"/>
                <w:bCs/>
                <w:sz w:val="26"/>
                <w:szCs w:val="28"/>
              </w:rPr>
              <w:t xml:space="preserve">Grozījumi </w:t>
            </w:r>
            <w:r w:rsidRPr="00AD23FB">
              <w:rPr>
                <w:rFonts w:ascii="Times New Roman" w:hAnsi="Times New Roman"/>
                <w:sz w:val="26"/>
                <w:szCs w:val="28"/>
              </w:rPr>
              <w:t>Ministru kabineta 2018. gada 11. decembra noteikumos Nr. 793 “</w:t>
            </w:r>
            <w:r w:rsidR="00AC6246" w:rsidRPr="00AD23FB">
              <w:rPr>
                <w:rFonts w:ascii="Times New Roman" w:hAnsi="Times New Roman"/>
                <w:bCs/>
                <w:sz w:val="26"/>
                <w:szCs w:val="28"/>
                <w:shd w:val="clear" w:color="auto" w:fill="FFFFFF"/>
              </w:rPr>
              <w:t>Studiju virzienu atvēršanas un akreditācijas noteikumi</w:t>
            </w:r>
            <w:r w:rsidRPr="00AD23FB">
              <w:rPr>
                <w:rFonts w:ascii="Times New Roman" w:hAnsi="Times New Roman"/>
                <w:sz w:val="26"/>
                <w:szCs w:val="28"/>
              </w:rPr>
              <w:t>”” (turpmāk – projekts Nr.1), Ministru kabineta noteikumu projekta „</w:t>
            </w:r>
            <w:r w:rsidRPr="00AD23FB">
              <w:rPr>
                <w:rFonts w:ascii="Times New Roman" w:hAnsi="Times New Roman"/>
                <w:bCs/>
                <w:sz w:val="26"/>
                <w:szCs w:val="28"/>
              </w:rPr>
              <w:t>Grozījum</w:t>
            </w:r>
            <w:r w:rsidR="005D3B12">
              <w:rPr>
                <w:rFonts w:ascii="Times New Roman" w:hAnsi="Times New Roman"/>
                <w:bCs/>
                <w:sz w:val="26"/>
                <w:szCs w:val="28"/>
              </w:rPr>
              <w:t>s</w:t>
            </w:r>
            <w:bookmarkStart w:id="0" w:name="_GoBack"/>
            <w:bookmarkEnd w:id="0"/>
            <w:r w:rsidRPr="00AD23FB">
              <w:rPr>
                <w:rFonts w:ascii="Times New Roman" w:hAnsi="Times New Roman"/>
                <w:bCs/>
                <w:sz w:val="26"/>
                <w:szCs w:val="28"/>
              </w:rPr>
              <w:t xml:space="preserve"> </w:t>
            </w:r>
            <w:r w:rsidRPr="00AD23FB">
              <w:rPr>
                <w:rFonts w:ascii="Times New Roman" w:hAnsi="Times New Roman"/>
                <w:sz w:val="26"/>
                <w:szCs w:val="28"/>
              </w:rPr>
              <w:t>Ministru kabineta 2018. gada 11. decembra noteikumos Nr. 794 “</w:t>
            </w:r>
            <w:r w:rsidRPr="00AD23FB">
              <w:rPr>
                <w:rFonts w:ascii="Times New Roman" w:hAnsi="Times New Roman"/>
                <w:bCs/>
                <w:sz w:val="26"/>
                <w:szCs w:val="28"/>
                <w:shd w:val="clear" w:color="auto" w:fill="FFFFFF"/>
              </w:rPr>
              <w:t>Augstskolu un koledžu akreditācijas noteikumi</w:t>
            </w:r>
            <w:r w:rsidRPr="00AD23FB">
              <w:rPr>
                <w:rFonts w:ascii="Times New Roman" w:hAnsi="Times New Roman"/>
                <w:sz w:val="26"/>
                <w:szCs w:val="28"/>
              </w:rPr>
              <w:t xml:space="preserve">”” </w:t>
            </w:r>
            <w:r w:rsidR="00707CE5" w:rsidRPr="00AD23FB">
              <w:rPr>
                <w:rFonts w:ascii="Times New Roman" w:hAnsi="Times New Roman"/>
                <w:sz w:val="26"/>
                <w:szCs w:val="28"/>
              </w:rPr>
              <w:t xml:space="preserve">(turpmāk – projekts Nr.2) </w:t>
            </w:r>
            <w:r w:rsidRPr="00AD23FB">
              <w:rPr>
                <w:rFonts w:ascii="Times New Roman" w:hAnsi="Times New Roman"/>
                <w:sz w:val="26"/>
                <w:szCs w:val="28"/>
              </w:rPr>
              <w:t xml:space="preserve">un Ministru kabineta noteikumu projekta </w:t>
            </w:r>
            <w:r w:rsidRPr="00AD23FB">
              <w:rPr>
                <w:rFonts w:ascii="Times New Roman" w:hAnsi="Times New Roman"/>
                <w:bCs/>
                <w:sz w:val="26"/>
                <w:szCs w:val="28"/>
              </w:rPr>
              <w:t xml:space="preserve">„Grozījums </w:t>
            </w:r>
            <w:r w:rsidRPr="00AD23FB">
              <w:rPr>
                <w:rFonts w:ascii="Times New Roman" w:hAnsi="Times New Roman"/>
                <w:sz w:val="26"/>
                <w:szCs w:val="28"/>
              </w:rPr>
              <w:t>Ministru kabineta 2018. gada 11. decembra noteikumos Nr. 795 “</w:t>
            </w:r>
            <w:r w:rsidRPr="00AD23FB">
              <w:rPr>
                <w:rFonts w:ascii="Times New Roman" w:hAnsi="Times New Roman"/>
                <w:bCs/>
                <w:sz w:val="26"/>
                <w:szCs w:val="28"/>
              </w:rPr>
              <w:t>Studiju programmu licencēšanas noteikumi</w:t>
            </w:r>
            <w:r w:rsidRPr="00AD23FB">
              <w:rPr>
                <w:rFonts w:ascii="Times New Roman" w:hAnsi="Times New Roman"/>
                <w:sz w:val="26"/>
                <w:szCs w:val="28"/>
              </w:rPr>
              <w:t>””</w:t>
            </w:r>
            <w:r w:rsidR="00707CE5" w:rsidRPr="00AD23FB">
              <w:rPr>
                <w:rFonts w:ascii="Times New Roman" w:hAnsi="Times New Roman"/>
                <w:sz w:val="26"/>
                <w:szCs w:val="28"/>
              </w:rPr>
              <w:t xml:space="preserve"> (turpmāk – projekts Nr.3)</w:t>
            </w:r>
            <w:r w:rsidRPr="00AD23FB">
              <w:rPr>
                <w:rFonts w:ascii="Times New Roman" w:hAnsi="Times New Roman"/>
                <w:sz w:val="26"/>
                <w:szCs w:val="28"/>
              </w:rPr>
              <w:t xml:space="preserve"> (</w:t>
            </w:r>
            <w:r w:rsidR="006F1311">
              <w:rPr>
                <w:rFonts w:ascii="Times New Roman" w:hAnsi="Times New Roman"/>
                <w:sz w:val="26"/>
                <w:szCs w:val="28"/>
              </w:rPr>
              <w:t xml:space="preserve">turpmāk </w:t>
            </w:r>
            <w:r w:rsidRPr="00AD23FB">
              <w:rPr>
                <w:rFonts w:ascii="Times New Roman" w:hAnsi="Times New Roman"/>
                <w:sz w:val="26"/>
                <w:szCs w:val="28"/>
              </w:rPr>
              <w:t>kopā</w:t>
            </w:r>
            <w:r w:rsidR="006F1311">
              <w:rPr>
                <w:rFonts w:ascii="Times New Roman" w:hAnsi="Times New Roman"/>
                <w:sz w:val="26"/>
                <w:szCs w:val="28"/>
              </w:rPr>
              <w:t xml:space="preserve"> – </w:t>
            </w:r>
            <w:r w:rsidRPr="00AD23FB">
              <w:rPr>
                <w:rFonts w:ascii="Times New Roman" w:hAnsi="Times New Roman"/>
                <w:sz w:val="26"/>
                <w:szCs w:val="28"/>
              </w:rPr>
              <w:t xml:space="preserve">projekti) mērķis ir </w:t>
            </w:r>
            <w:r w:rsidR="00084355" w:rsidRPr="00AD23FB">
              <w:rPr>
                <w:rFonts w:ascii="Times New Roman" w:hAnsi="Times New Roman"/>
                <w:sz w:val="26"/>
                <w:szCs w:val="28"/>
              </w:rPr>
              <w:t xml:space="preserve">nodrošināt optimālu darboties spējīgu augstskolu un koledžu </w:t>
            </w:r>
            <w:r w:rsidR="00DE3E54" w:rsidRPr="00AD23FB">
              <w:rPr>
                <w:rFonts w:ascii="Times New Roman" w:hAnsi="Times New Roman"/>
                <w:sz w:val="26"/>
                <w:szCs w:val="28"/>
              </w:rPr>
              <w:t xml:space="preserve">ekspertu darba grupas </w:t>
            </w:r>
            <w:r w:rsidR="00084355" w:rsidRPr="00AD23FB">
              <w:rPr>
                <w:rFonts w:ascii="Times New Roman" w:hAnsi="Times New Roman"/>
                <w:sz w:val="26"/>
                <w:szCs w:val="28"/>
              </w:rPr>
              <w:t xml:space="preserve">sastāvu. </w:t>
            </w:r>
          </w:p>
          <w:p w14:paraId="2967E493" w14:textId="00010801" w:rsidR="00A92049" w:rsidRPr="00AD23FB" w:rsidRDefault="006F1311" w:rsidP="00084355">
            <w:pPr>
              <w:spacing w:after="0" w:line="240" w:lineRule="auto"/>
              <w:jc w:val="both"/>
              <w:rPr>
                <w:rFonts w:ascii="Times New Roman" w:eastAsia="Times New Roman" w:hAnsi="Times New Roman"/>
                <w:b/>
                <w:bCs/>
                <w:sz w:val="26"/>
                <w:szCs w:val="28"/>
                <w:lang w:eastAsia="lv-LV"/>
              </w:rPr>
            </w:pPr>
            <w:r>
              <w:rPr>
                <w:rFonts w:ascii="Times New Roman" w:hAnsi="Times New Roman"/>
                <w:sz w:val="26"/>
                <w:szCs w:val="28"/>
              </w:rPr>
              <w:t>Projekti stāsies spēkā nākamajā dienā pēc to izsludināšanas.</w:t>
            </w:r>
          </w:p>
        </w:tc>
      </w:tr>
    </w:tbl>
    <w:p w14:paraId="272899E4" w14:textId="77777777" w:rsidR="00A92049" w:rsidRPr="00BB0E6D" w:rsidRDefault="00A92049" w:rsidP="00A0332E">
      <w:pPr>
        <w:rPr>
          <w:lang w:eastAsia="lv-LV"/>
        </w:rPr>
      </w:pPr>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529"/>
        <w:gridCol w:w="1923"/>
        <w:gridCol w:w="6609"/>
      </w:tblGrid>
      <w:tr w:rsidR="00BB0E6D" w:rsidRPr="00084355" w14:paraId="22166710" w14:textId="77777777" w:rsidTr="00661520">
        <w:tc>
          <w:tcPr>
            <w:tcW w:w="5000" w:type="pct"/>
            <w:gridSpan w:val="3"/>
            <w:hideMark/>
          </w:tcPr>
          <w:p w14:paraId="2216670F" w14:textId="53B92FB5" w:rsidR="00392D00" w:rsidRPr="00AD23FB" w:rsidRDefault="00363BB6" w:rsidP="003367EF">
            <w:pPr>
              <w:spacing w:after="0" w:line="240" w:lineRule="auto"/>
              <w:jc w:val="center"/>
              <w:rPr>
                <w:rFonts w:ascii="Times New Roman" w:eastAsia="Times New Roman" w:hAnsi="Times New Roman"/>
                <w:b/>
                <w:bCs/>
                <w:sz w:val="26"/>
                <w:szCs w:val="28"/>
                <w:lang w:eastAsia="lv-LV"/>
              </w:rPr>
            </w:pPr>
            <w:r w:rsidRPr="00AD23FB">
              <w:rPr>
                <w:rFonts w:ascii="Times New Roman" w:eastAsia="Times New Roman" w:hAnsi="Times New Roman"/>
                <w:b/>
                <w:bCs/>
                <w:sz w:val="26"/>
                <w:szCs w:val="28"/>
                <w:lang w:eastAsia="lv-LV"/>
              </w:rPr>
              <w:t>I. Tiesību akt</w:t>
            </w:r>
            <w:r w:rsidR="003367EF" w:rsidRPr="00AD23FB">
              <w:rPr>
                <w:rFonts w:ascii="Times New Roman" w:eastAsia="Times New Roman" w:hAnsi="Times New Roman"/>
                <w:b/>
                <w:bCs/>
                <w:sz w:val="26"/>
                <w:szCs w:val="28"/>
                <w:lang w:eastAsia="lv-LV"/>
              </w:rPr>
              <w:t>u</w:t>
            </w:r>
            <w:r w:rsidRPr="00AD23FB">
              <w:rPr>
                <w:rFonts w:ascii="Times New Roman" w:eastAsia="Times New Roman" w:hAnsi="Times New Roman"/>
                <w:b/>
                <w:bCs/>
                <w:sz w:val="26"/>
                <w:szCs w:val="28"/>
                <w:lang w:eastAsia="lv-LV"/>
              </w:rPr>
              <w:t xml:space="preserve"> projekt</w:t>
            </w:r>
            <w:r w:rsidR="003367EF" w:rsidRPr="00AD23FB">
              <w:rPr>
                <w:rFonts w:ascii="Times New Roman" w:eastAsia="Times New Roman" w:hAnsi="Times New Roman"/>
                <w:b/>
                <w:bCs/>
                <w:sz w:val="26"/>
                <w:szCs w:val="28"/>
                <w:lang w:eastAsia="lv-LV"/>
              </w:rPr>
              <w:t>u</w:t>
            </w:r>
            <w:r w:rsidRPr="00AD23FB">
              <w:rPr>
                <w:rFonts w:ascii="Times New Roman" w:eastAsia="Times New Roman" w:hAnsi="Times New Roman"/>
                <w:b/>
                <w:bCs/>
                <w:sz w:val="26"/>
                <w:szCs w:val="28"/>
                <w:lang w:eastAsia="lv-LV"/>
              </w:rPr>
              <w:t xml:space="preserve"> izstrādes nepieciešamība</w:t>
            </w:r>
          </w:p>
        </w:tc>
      </w:tr>
      <w:tr w:rsidR="00BB0E6D" w:rsidRPr="00084355" w14:paraId="22166715" w14:textId="77777777" w:rsidTr="001C3940">
        <w:trPr>
          <w:trHeight w:val="700"/>
        </w:trPr>
        <w:tc>
          <w:tcPr>
            <w:tcW w:w="292" w:type="pct"/>
            <w:hideMark/>
          </w:tcPr>
          <w:p w14:paraId="22166711" w14:textId="77777777" w:rsidR="00392D00" w:rsidRPr="00AD23FB" w:rsidRDefault="00363BB6" w:rsidP="00AF6AED">
            <w:pPr>
              <w:spacing w:after="0" w:line="240" w:lineRule="auto"/>
              <w:rPr>
                <w:rFonts w:ascii="Times New Roman" w:eastAsia="Times New Roman" w:hAnsi="Times New Roman"/>
                <w:sz w:val="26"/>
                <w:szCs w:val="28"/>
                <w:lang w:eastAsia="lv-LV"/>
              </w:rPr>
            </w:pPr>
            <w:r w:rsidRPr="00AD23FB">
              <w:rPr>
                <w:rFonts w:ascii="Times New Roman" w:eastAsia="Times New Roman" w:hAnsi="Times New Roman"/>
                <w:sz w:val="26"/>
                <w:szCs w:val="28"/>
                <w:lang w:eastAsia="lv-LV"/>
              </w:rPr>
              <w:t>1.</w:t>
            </w:r>
          </w:p>
        </w:tc>
        <w:tc>
          <w:tcPr>
            <w:tcW w:w="1061" w:type="pct"/>
            <w:hideMark/>
          </w:tcPr>
          <w:p w14:paraId="22166712" w14:textId="77777777" w:rsidR="00392D00" w:rsidRPr="00AD23FB" w:rsidRDefault="00363BB6" w:rsidP="00AF6AED">
            <w:pPr>
              <w:spacing w:after="0" w:line="240" w:lineRule="auto"/>
              <w:rPr>
                <w:rFonts w:ascii="Times New Roman" w:eastAsia="Times New Roman" w:hAnsi="Times New Roman"/>
                <w:sz w:val="26"/>
                <w:szCs w:val="28"/>
                <w:lang w:eastAsia="lv-LV"/>
              </w:rPr>
            </w:pPr>
            <w:r w:rsidRPr="00AD23FB">
              <w:rPr>
                <w:rFonts w:ascii="Times New Roman" w:eastAsia="Times New Roman" w:hAnsi="Times New Roman"/>
                <w:sz w:val="26"/>
                <w:szCs w:val="28"/>
                <w:lang w:eastAsia="lv-LV"/>
              </w:rPr>
              <w:t>Pamatojums</w:t>
            </w:r>
          </w:p>
        </w:tc>
        <w:tc>
          <w:tcPr>
            <w:tcW w:w="3647" w:type="pct"/>
            <w:hideMark/>
          </w:tcPr>
          <w:p w14:paraId="22166714" w14:textId="22A672A3" w:rsidR="00C755AE" w:rsidRPr="00AD23FB" w:rsidRDefault="00325677" w:rsidP="0051068A">
            <w:pPr>
              <w:spacing w:after="0" w:line="240" w:lineRule="auto"/>
              <w:jc w:val="both"/>
              <w:rPr>
                <w:rFonts w:ascii="Times New Roman" w:eastAsia="Times New Roman" w:hAnsi="Times New Roman"/>
                <w:b/>
                <w:bCs/>
                <w:sz w:val="26"/>
                <w:szCs w:val="28"/>
                <w:lang w:eastAsia="lv-LV"/>
              </w:rPr>
            </w:pPr>
            <w:r w:rsidRPr="00AD23FB">
              <w:rPr>
                <w:rFonts w:ascii="Times New Roman" w:hAnsi="Times New Roman"/>
                <w:sz w:val="26"/>
                <w:szCs w:val="28"/>
              </w:rPr>
              <w:t>Projekt</w:t>
            </w:r>
            <w:r w:rsidR="00C0003C" w:rsidRPr="00AD23FB">
              <w:rPr>
                <w:rFonts w:ascii="Times New Roman" w:hAnsi="Times New Roman"/>
                <w:sz w:val="26"/>
                <w:szCs w:val="28"/>
              </w:rPr>
              <w:t>s Nr.1 ir</w:t>
            </w:r>
            <w:r w:rsidRPr="00AD23FB">
              <w:rPr>
                <w:rFonts w:ascii="Times New Roman" w:hAnsi="Times New Roman"/>
                <w:sz w:val="26"/>
                <w:szCs w:val="28"/>
              </w:rPr>
              <w:t xml:space="preserve"> izstrādāt</w:t>
            </w:r>
            <w:r w:rsidR="00C0003C" w:rsidRPr="00AD23FB">
              <w:rPr>
                <w:rFonts w:ascii="Times New Roman" w:hAnsi="Times New Roman"/>
                <w:sz w:val="26"/>
                <w:szCs w:val="28"/>
              </w:rPr>
              <w:t>s</w:t>
            </w:r>
            <w:r w:rsidRPr="00AD23FB">
              <w:rPr>
                <w:rFonts w:ascii="Times New Roman" w:hAnsi="Times New Roman"/>
                <w:sz w:val="26"/>
                <w:szCs w:val="28"/>
              </w:rPr>
              <w:t xml:space="preserve"> </w:t>
            </w:r>
            <w:r w:rsidRPr="00AD23FB">
              <w:rPr>
                <w:rFonts w:ascii="Times New Roman" w:hAnsi="Times New Roman"/>
                <w:bCs/>
                <w:sz w:val="26"/>
                <w:szCs w:val="28"/>
              </w:rPr>
              <w:t xml:space="preserve">saskaņā ar Augstskolu likuma </w:t>
            </w:r>
            <w:r w:rsidR="00C375CD" w:rsidRPr="00AD23FB">
              <w:rPr>
                <w:rFonts w:ascii="Times New Roman" w:hAnsi="Times New Roman"/>
                <w:sz w:val="26"/>
                <w:szCs w:val="28"/>
              </w:rPr>
              <w:t xml:space="preserve"> </w:t>
            </w:r>
            <w:hyperlink r:id="rId8" w:anchor="p55.3" w:tgtFrame="_blank" w:history="1">
              <w:r w:rsidR="00C375CD" w:rsidRPr="00AD23FB">
                <w:rPr>
                  <w:rStyle w:val="Hyperlink"/>
                  <w:rFonts w:ascii="Times New Roman" w:hAnsi="Times New Roman"/>
                  <w:iCs/>
                  <w:color w:val="auto"/>
                  <w:sz w:val="26"/>
                  <w:szCs w:val="28"/>
                  <w:u w:val="none"/>
                  <w:shd w:val="clear" w:color="auto" w:fill="FFFFFF"/>
                </w:rPr>
                <w:t>55.</w:t>
              </w:r>
              <w:r w:rsidR="00C375CD" w:rsidRPr="00AD23FB">
                <w:rPr>
                  <w:rStyle w:val="Hyperlink"/>
                  <w:rFonts w:ascii="Times New Roman" w:hAnsi="Times New Roman"/>
                  <w:iCs/>
                  <w:color w:val="auto"/>
                  <w:sz w:val="26"/>
                  <w:szCs w:val="28"/>
                  <w:u w:val="none"/>
                  <w:shd w:val="clear" w:color="auto" w:fill="FFFFFF"/>
                  <w:vertAlign w:val="superscript"/>
                </w:rPr>
                <w:t>3</w:t>
              </w:r>
              <w:r w:rsidR="00C375CD" w:rsidRPr="00AD23FB">
                <w:rPr>
                  <w:rStyle w:val="Hyperlink"/>
                  <w:rFonts w:ascii="Times New Roman" w:hAnsi="Times New Roman"/>
                  <w:iCs/>
                  <w:color w:val="auto"/>
                  <w:sz w:val="26"/>
                  <w:szCs w:val="28"/>
                  <w:u w:val="none"/>
                  <w:shd w:val="clear" w:color="auto" w:fill="FFFFFF"/>
                </w:rPr>
                <w:t> panta</w:t>
              </w:r>
            </w:hyperlink>
            <w:r w:rsidR="0051068A" w:rsidRPr="00AD23FB">
              <w:rPr>
                <w:rFonts w:ascii="Times New Roman" w:hAnsi="Times New Roman"/>
                <w:iCs/>
                <w:sz w:val="26"/>
                <w:szCs w:val="28"/>
                <w:shd w:val="clear" w:color="auto" w:fill="FFFFFF"/>
              </w:rPr>
              <w:t xml:space="preserve"> </w:t>
            </w:r>
            <w:r w:rsidR="00C375CD" w:rsidRPr="00AD23FB">
              <w:rPr>
                <w:rFonts w:ascii="Times New Roman" w:hAnsi="Times New Roman"/>
                <w:iCs/>
                <w:sz w:val="26"/>
                <w:szCs w:val="28"/>
                <w:shd w:val="clear" w:color="auto" w:fill="FFFFFF"/>
              </w:rPr>
              <w:t xml:space="preserve">piekto, septīto un divpadsmito daļu; projekts Nr.2 </w:t>
            </w:r>
            <w:r w:rsidR="00C375CD" w:rsidRPr="00AD23FB">
              <w:rPr>
                <w:rFonts w:ascii="Times New Roman" w:hAnsi="Times New Roman"/>
                <w:sz w:val="26"/>
                <w:szCs w:val="28"/>
              </w:rPr>
              <w:t>ir izstrādāts</w:t>
            </w:r>
            <w:r w:rsidR="00C375CD" w:rsidRPr="00AD23FB">
              <w:rPr>
                <w:rFonts w:ascii="Times New Roman" w:hAnsi="Times New Roman"/>
                <w:bCs/>
                <w:sz w:val="26"/>
                <w:szCs w:val="28"/>
              </w:rPr>
              <w:t xml:space="preserve"> saskaņā ar Augstskolu likuma</w:t>
            </w:r>
            <w:r w:rsidR="00C375CD" w:rsidRPr="00AD23FB">
              <w:rPr>
                <w:rFonts w:ascii="Times New Roman" w:hAnsi="Times New Roman"/>
                <w:iCs/>
                <w:sz w:val="26"/>
                <w:szCs w:val="28"/>
                <w:shd w:val="clear" w:color="auto" w:fill="FFFFFF"/>
              </w:rPr>
              <w:t xml:space="preserve"> 9. panta pirmo daļu,</w:t>
            </w:r>
            <w:r w:rsidR="0051068A" w:rsidRPr="00AD23FB">
              <w:rPr>
                <w:rFonts w:ascii="Times New Roman" w:hAnsi="Times New Roman"/>
                <w:iCs/>
                <w:sz w:val="26"/>
                <w:szCs w:val="28"/>
                <w:shd w:val="clear" w:color="auto" w:fill="FFFFFF"/>
              </w:rPr>
              <w:t xml:space="preserve"> </w:t>
            </w:r>
            <w:hyperlink r:id="rId9" w:tgtFrame="_blank" w:history="1">
              <w:r w:rsidR="00C375CD" w:rsidRPr="00AD23FB">
                <w:rPr>
                  <w:rStyle w:val="Hyperlink"/>
                  <w:rFonts w:ascii="Times New Roman" w:hAnsi="Times New Roman"/>
                  <w:iCs/>
                  <w:color w:val="auto"/>
                  <w:sz w:val="26"/>
                  <w:szCs w:val="28"/>
                  <w:u w:val="none"/>
                  <w:shd w:val="clear" w:color="auto" w:fill="FFFFFF"/>
                </w:rPr>
                <w:t>Izglītības likuma</w:t>
              </w:r>
            </w:hyperlink>
            <w:r w:rsidR="0051068A" w:rsidRPr="00AD23FB">
              <w:rPr>
                <w:rFonts w:ascii="Times New Roman" w:hAnsi="Times New Roman"/>
                <w:iCs/>
                <w:sz w:val="26"/>
                <w:szCs w:val="28"/>
                <w:shd w:val="clear" w:color="auto" w:fill="FFFFFF"/>
              </w:rPr>
              <w:t xml:space="preserve"> </w:t>
            </w:r>
            <w:r w:rsidR="00C375CD" w:rsidRPr="00AD23FB">
              <w:rPr>
                <w:rFonts w:ascii="Times New Roman" w:hAnsi="Times New Roman"/>
                <w:iCs/>
                <w:sz w:val="26"/>
                <w:szCs w:val="28"/>
                <w:shd w:val="clear" w:color="auto" w:fill="FFFFFF"/>
              </w:rPr>
              <w:t>14. panta 8. un 10. punktu un</w:t>
            </w:r>
            <w:r w:rsidR="0051068A" w:rsidRPr="00AD23FB">
              <w:rPr>
                <w:rFonts w:ascii="Times New Roman" w:hAnsi="Times New Roman"/>
                <w:iCs/>
                <w:sz w:val="26"/>
                <w:szCs w:val="28"/>
                <w:shd w:val="clear" w:color="auto" w:fill="FFFFFF"/>
              </w:rPr>
              <w:t xml:space="preserve"> </w:t>
            </w:r>
            <w:hyperlink r:id="rId10" w:anchor="p27" w:tgtFrame="_blank" w:history="1">
              <w:r w:rsidR="00C375CD" w:rsidRPr="00AD23FB">
                <w:rPr>
                  <w:rStyle w:val="Hyperlink"/>
                  <w:rFonts w:ascii="Times New Roman" w:hAnsi="Times New Roman"/>
                  <w:iCs/>
                  <w:color w:val="auto"/>
                  <w:sz w:val="26"/>
                  <w:szCs w:val="28"/>
                  <w:u w:val="none"/>
                  <w:shd w:val="clear" w:color="auto" w:fill="FFFFFF"/>
                </w:rPr>
                <w:t>27.</w:t>
              </w:r>
            </w:hyperlink>
            <w:r w:rsidR="00C375CD" w:rsidRPr="00AD23FB">
              <w:rPr>
                <w:rFonts w:ascii="Times New Roman" w:hAnsi="Times New Roman"/>
                <w:iCs/>
                <w:sz w:val="26"/>
                <w:szCs w:val="28"/>
                <w:shd w:val="clear" w:color="auto" w:fill="FFFFFF"/>
              </w:rPr>
              <w:t xml:space="preserve"> panta pirmo daļu; projekts Nr. 3 ir izstrādāts saskaņā ar </w:t>
            </w:r>
            <w:r w:rsidR="00C375CD" w:rsidRPr="00AD23FB">
              <w:rPr>
                <w:rFonts w:ascii="Times New Roman" w:hAnsi="Times New Roman"/>
                <w:bCs/>
                <w:sz w:val="26"/>
                <w:szCs w:val="28"/>
              </w:rPr>
              <w:t>Augstskolu likuma</w:t>
            </w:r>
            <w:r w:rsidR="00C375CD" w:rsidRPr="00AD23FB">
              <w:rPr>
                <w:rFonts w:ascii="Times New Roman" w:hAnsi="Times New Roman"/>
                <w:iCs/>
                <w:sz w:val="26"/>
                <w:szCs w:val="28"/>
                <w:shd w:val="clear" w:color="auto" w:fill="FFFFFF"/>
              </w:rPr>
              <w:t xml:space="preserve"> 55.</w:t>
            </w:r>
            <w:r w:rsidR="00C375CD" w:rsidRPr="00AD23FB">
              <w:rPr>
                <w:rFonts w:ascii="Times New Roman" w:hAnsi="Times New Roman"/>
                <w:iCs/>
                <w:sz w:val="26"/>
                <w:szCs w:val="28"/>
                <w:shd w:val="clear" w:color="auto" w:fill="FFFFFF"/>
                <w:vertAlign w:val="superscript"/>
              </w:rPr>
              <w:t>1</w:t>
            </w:r>
            <w:r w:rsidR="00C375CD" w:rsidRPr="00AD23FB">
              <w:rPr>
                <w:rFonts w:ascii="Times New Roman" w:hAnsi="Times New Roman"/>
                <w:iCs/>
                <w:sz w:val="26"/>
                <w:szCs w:val="28"/>
                <w:shd w:val="clear" w:color="auto" w:fill="FFFFFF"/>
              </w:rPr>
              <w:t> panta trešo daļu un</w:t>
            </w:r>
            <w:r w:rsidR="0051068A" w:rsidRPr="00AD23FB">
              <w:rPr>
                <w:rFonts w:ascii="Times New Roman" w:hAnsi="Times New Roman"/>
                <w:iCs/>
                <w:sz w:val="26"/>
                <w:szCs w:val="28"/>
                <w:shd w:val="clear" w:color="auto" w:fill="FFFFFF"/>
              </w:rPr>
              <w:t xml:space="preserve"> </w:t>
            </w:r>
            <w:r w:rsidR="00C375CD" w:rsidRPr="00AD23FB">
              <w:rPr>
                <w:rFonts w:ascii="Times New Roman" w:hAnsi="Times New Roman"/>
                <w:iCs/>
                <w:sz w:val="26"/>
                <w:szCs w:val="28"/>
                <w:shd w:val="clear" w:color="auto" w:fill="FFFFFF"/>
              </w:rPr>
              <w:t>55.</w:t>
            </w:r>
            <w:r w:rsidR="00C375CD" w:rsidRPr="00AD23FB">
              <w:rPr>
                <w:rFonts w:ascii="Times New Roman" w:hAnsi="Times New Roman"/>
                <w:iCs/>
                <w:sz w:val="26"/>
                <w:szCs w:val="28"/>
                <w:shd w:val="clear" w:color="auto" w:fill="FFFFFF"/>
                <w:vertAlign w:val="superscript"/>
              </w:rPr>
              <w:t>2</w:t>
            </w:r>
            <w:r w:rsidR="00C375CD" w:rsidRPr="00AD23FB">
              <w:rPr>
                <w:rFonts w:ascii="Times New Roman" w:hAnsi="Times New Roman"/>
                <w:iCs/>
                <w:sz w:val="26"/>
                <w:szCs w:val="28"/>
                <w:shd w:val="clear" w:color="auto" w:fill="FFFFFF"/>
              </w:rPr>
              <w:t> panta divpadsmito daļu un</w:t>
            </w:r>
            <w:r w:rsidR="0051068A" w:rsidRPr="00AD23FB">
              <w:rPr>
                <w:rFonts w:ascii="Times New Roman" w:hAnsi="Times New Roman"/>
                <w:iCs/>
                <w:sz w:val="26"/>
                <w:szCs w:val="28"/>
                <w:shd w:val="clear" w:color="auto" w:fill="FFFFFF"/>
              </w:rPr>
              <w:t xml:space="preserve"> </w:t>
            </w:r>
            <w:hyperlink r:id="rId11" w:tgtFrame="_blank" w:history="1">
              <w:r w:rsidR="00C375CD" w:rsidRPr="00AD23FB">
                <w:rPr>
                  <w:rStyle w:val="Hyperlink"/>
                  <w:rFonts w:ascii="Times New Roman" w:hAnsi="Times New Roman"/>
                  <w:iCs/>
                  <w:color w:val="auto"/>
                  <w:sz w:val="26"/>
                  <w:szCs w:val="28"/>
                  <w:u w:val="none"/>
                  <w:shd w:val="clear" w:color="auto" w:fill="FFFFFF"/>
                </w:rPr>
                <w:t>Izglītības likuma</w:t>
              </w:r>
            </w:hyperlink>
            <w:r w:rsidR="0051068A" w:rsidRPr="00AD23FB">
              <w:rPr>
                <w:rStyle w:val="Hyperlink"/>
                <w:rFonts w:ascii="Times New Roman" w:hAnsi="Times New Roman"/>
                <w:iCs/>
                <w:color w:val="auto"/>
                <w:sz w:val="26"/>
                <w:szCs w:val="28"/>
                <w:u w:val="none"/>
                <w:shd w:val="clear" w:color="auto" w:fill="FFFFFF"/>
              </w:rPr>
              <w:t xml:space="preserve"> </w:t>
            </w:r>
            <w:hyperlink r:id="rId12" w:anchor="p14" w:tgtFrame="_blank" w:history="1">
              <w:r w:rsidR="00C375CD" w:rsidRPr="00AD23FB">
                <w:rPr>
                  <w:rStyle w:val="Hyperlink"/>
                  <w:rFonts w:ascii="Times New Roman" w:hAnsi="Times New Roman"/>
                  <w:iCs/>
                  <w:color w:val="auto"/>
                  <w:sz w:val="26"/>
                  <w:szCs w:val="28"/>
                  <w:u w:val="none"/>
                  <w:shd w:val="clear" w:color="auto" w:fill="FFFFFF"/>
                </w:rPr>
                <w:t>14.</w:t>
              </w:r>
            </w:hyperlink>
            <w:r w:rsidR="00C375CD" w:rsidRPr="00AD23FB">
              <w:rPr>
                <w:rFonts w:ascii="Times New Roman" w:hAnsi="Times New Roman"/>
                <w:iCs/>
                <w:sz w:val="26"/>
                <w:szCs w:val="28"/>
                <w:shd w:val="clear" w:color="auto" w:fill="FFFFFF"/>
              </w:rPr>
              <w:t> panta 11. punktu</w:t>
            </w:r>
            <w:r w:rsidR="00C0003C" w:rsidRPr="00AD23FB">
              <w:rPr>
                <w:rFonts w:ascii="Times New Roman" w:hAnsi="Times New Roman"/>
                <w:iCs/>
                <w:sz w:val="26"/>
                <w:szCs w:val="28"/>
              </w:rPr>
              <w:t xml:space="preserve"> </w:t>
            </w:r>
            <w:r w:rsidRPr="00AD23FB">
              <w:rPr>
                <w:rFonts w:ascii="Times New Roman" w:hAnsi="Times New Roman"/>
                <w:bCs/>
                <w:sz w:val="26"/>
                <w:szCs w:val="28"/>
              </w:rPr>
              <w:t xml:space="preserve">pēc Izglītības un zinātnes ministrijas iniciatīvas. </w:t>
            </w:r>
          </w:p>
        </w:tc>
      </w:tr>
      <w:tr w:rsidR="00BB0E6D" w:rsidRPr="00084355" w14:paraId="2216671F" w14:textId="77777777" w:rsidTr="00A31A97">
        <w:trPr>
          <w:trHeight w:val="1551"/>
        </w:trPr>
        <w:tc>
          <w:tcPr>
            <w:tcW w:w="292" w:type="pct"/>
            <w:hideMark/>
          </w:tcPr>
          <w:p w14:paraId="22166716" w14:textId="77777777" w:rsidR="00392D00" w:rsidRPr="00AD23FB" w:rsidRDefault="00363BB6" w:rsidP="00354869">
            <w:pPr>
              <w:spacing w:after="0" w:line="240" w:lineRule="auto"/>
              <w:jc w:val="both"/>
              <w:rPr>
                <w:rFonts w:ascii="Times New Roman" w:eastAsia="Times New Roman" w:hAnsi="Times New Roman"/>
                <w:sz w:val="26"/>
                <w:szCs w:val="28"/>
                <w:lang w:eastAsia="lv-LV"/>
              </w:rPr>
            </w:pPr>
            <w:r w:rsidRPr="00AD23FB">
              <w:rPr>
                <w:rFonts w:ascii="Times New Roman" w:eastAsia="Times New Roman" w:hAnsi="Times New Roman"/>
                <w:sz w:val="26"/>
                <w:szCs w:val="28"/>
                <w:lang w:eastAsia="lv-LV"/>
              </w:rPr>
              <w:t>2.</w:t>
            </w:r>
          </w:p>
        </w:tc>
        <w:tc>
          <w:tcPr>
            <w:tcW w:w="1061" w:type="pct"/>
            <w:hideMark/>
          </w:tcPr>
          <w:p w14:paraId="22166717" w14:textId="6EAA5DCB" w:rsidR="00392D00" w:rsidRPr="00AD23FB" w:rsidRDefault="00363BB6" w:rsidP="003367EF">
            <w:pPr>
              <w:spacing w:after="0" w:line="240" w:lineRule="auto"/>
              <w:jc w:val="both"/>
              <w:rPr>
                <w:rFonts w:ascii="Times New Roman" w:eastAsia="Times New Roman" w:hAnsi="Times New Roman"/>
                <w:sz w:val="26"/>
                <w:szCs w:val="28"/>
                <w:lang w:eastAsia="lv-LV"/>
              </w:rPr>
            </w:pPr>
            <w:r w:rsidRPr="00AD23FB">
              <w:rPr>
                <w:rFonts w:ascii="Times New Roman" w:hAnsi="Times New Roman"/>
                <w:sz w:val="26"/>
                <w:szCs w:val="28"/>
              </w:rPr>
              <w:t>Pašreizējā situācija un problēmas, kuru risināšanai tiesību akta projekt</w:t>
            </w:r>
            <w:r w:rsidR="003367EF" w:rsidRPr="00AD23FB">
              <w:rPr>
                <w:rFonts w:ascii="Times New Roman" w:hAnsi="Times New Roman"/>
                <w:sz w:val="26"/>
                <w:szCs w:val="28"/>
              </w:rPr>
              <w:t>i</w:t>
            </w:r>
            <w:r w:rsidRPr="00AD23FB">
              <w:rPr>
                <w:rFonts w:ascii="Times New Roman" w:hAnsi="Times New Roman"/>
                <w:sz w:val="26"/>
                <w:szCs w:val="28"/>
              </w:rPr>
              <w:t xml:space="preserve"> izstrādāt</w:t>
            </w:r>
            <w:r w:rsidR="003367EF" w:rsidRPr="00AD23FB">
              <w:rPr>
                <w:rFonts w:ascii="Times New Roman" w:hAnsi="Times New Roman"/>
                <w:sz w:val="26"/>
                <w:szCs w:val="28"/>
              </w:rPr>
              <w:t>i</w:t>
            </w:r>
            <w:r w:rsidRPr="00AD23FB">
              <w:rPr>
                <w:rFonts w:ascii="Times New Roman" w:hAnsi="Times New Roman"/>
                <w:sz w:val="26"/>
                <w:szCs w:val="28"/>
              </w:rPr>
              <w:t>, tiesiskā regulējuma mērķis un būtība</w:t>
            </w:r>
          </w:p>
        </w:tc>
        <w:tc>
          <w:tcPr>
            <w:tcW w:w="3647" w:type="pct"/>
            <w:hideMark/>
          </w:tcPr>
          <w:p w14:paraId="1F3C4011" w14:textId="48452801" w:rsidR="00325677" w:rsidRPr="00AD23FB" w:rsidRDefault="00325677" w:rsidP="00325677">
            <w:pPr>
              <w:spacing w:after="0" w:line="240" w:lineRule="auto"/>
              <w:jc w:val="both"/>
              <w:rPr>
                <w:rFonts w:ascii="Times New Roman" w:hAnsi="Times New Roman"/>
                <w:sz w:val="26"/>
                <w:szCs w:val="28"/>
              </w:rPr>
            </w:pPr>
            <w:r w:rsidRPr="00AD23FB">
              <w:rPr>
                <w:rFonts w:ascii="Times New Roman" w:hAnsi="Times New Roman"/>
                <w:sz w:val="26"/>
                <w:szCs w:val="28"/>
              </w:rPr>
              <w:t xml:space="preserve">Ministru kabineta </w:t>
            </w:r>
            <w:r w:rsidR="005E052F" w:rsidRPr="00AD23FB">
              <w:rPr>
                <w:rFonts w:ascii="Times New Roman" w:hAnsi="Times New Roman"/>
                <w:sz w:val="26"/>
                <w:szCs w:val="28"/>
              </w:rPr>
              <w:t>2018.</w:t>
            </w:r>
            <w:r w:rsidR="00084A54">
              <w:rPr>
                <w:rFonts w:ascii="Times New Roman" w:hAnsi="Times New Roman"/>
                <w:sz w:val="26"/>
                <w:szCs w:val="28"/>
              </w:rPr>
              <w:t> </w:t>
            </w:r>
            <w:r w:rsidR="005E052F" w:rsidRPr="00AD23FB">
              <w:rPr>
                <w:rFonts w:ascii="Times New Roman" w:hAnsi="Times New Roman"/>
                <w:sz w:val="26"/>
                <w:szCs w:val="28"/>
              </w:rPr>
              <w:t>gada 11.</w:t>
            </w:r>
            <w:r w:rsidR="00084A54">
              <w:rPr>
                <w:rFonts w:ascii="Times New Roman" w:hAnsi="Times New Roman"/>
                <w:sz w:val="26"/>
                <w:szCs w:val="28"/>
              </w:rPr>
              <w:t> </w:t>
            </w:r>
            <w:r w:rsidR="005E052F" w:rsidRPr="00AD23FB">
              <w:rPr>
                <w:rFonts w:ascii="Times New Roman" w:hAnsi="Times New Roman"/>
                <w:sz w:val="26"/>
                <w:szCs w:val="28"/>
              </w:rPr>
              <w:t xml:space="preserve">decembra </w:t>
            </w:r>
            <w:r w:rsidRPr="00AD23FB">
              <w:rPr>
                <w:rFonts w:ascii="Times New Roman" w:hAnsi="Times New Roman"/>
                <w:sz w:val="26"/>
                <w:szCs w:val="28"/>
              </w:rPr>
              <w:t>noteikumi  Nr. 793 “</w:t>
            </w:r>
            <w:r w:rsidR="008469B2" w:rsidRPr="00AD23FB">
              <w:rPr>
                <w:rFonts w:ascii="Times New Roman" w:hAnsi="Times New Roman"/>
                <w:bCs/>
                <w:sz w:val="26"/>
                <w:szCs w:val="28"/>
                <w:shd w:val="clear" w:color="auto" w:fill="FFFFFF"/>
              </w:rPr>
              <w:t>Studiju virzienu atvēršanas un akreditācijas noteikumi</w:t>
            </w:r>
            <w:r w:rsidRPr="00AD23FB">
              <w:rPr>
                <w:rFonts w:ascii="Times New Roman" w:hAnsi="Times New Roman"/>
                <w:sz w:val="26"/>
                <w:szCs w:val="28"/>
              </w:rPr>
              <w:t>”</w:t>
            </w:r>
            <w:r w:rsidR="000A554D" w:rsidRPr="00AD23FB">
              <w:rPr>
                <w:rFonts w:ascii="Times New Roman" w:hAnsi="Times New Roman"/>
                <w:sz w:val="26"/>
                <w:szCs w:val="28"/>
              </w:rPr>
              <w:t> (turpmāk –</w:t>
            </w:r>
            <w:r w:rsidR="00D6609E" w:rsidRPr="00AD23FB">
              <w:rPr>
                <w:rFonts w:ascii="Times New Roman" w:hAnsi="Times New Roman"/>
                <w:sz w:val="26"/>
                <w:szCs w:val="28"/>
              </w:rPr>
              <w:t xml:space="preserve"> Noteikumi </w:t>
            </w:r>
            <w:r w:rsidR="000A554D" w:rsidRPr="00AD23FB">
              <w:rPr>
                <w:rFonts w:ascii="Times New Roman" w:hAnsi="Times New Roman"/>
                <w:sz w:val="26"/>
                <w:szCs w:val="28"/>
              </w:rPr>
              <w:t xml:space="preserve">Nr. 793), </w:t>
            </w:r>
            <w:r w:rsidR="005E052F" w:rsidRPr="00AD23FB">
              <w:rPr>
                <w:rFonts w:ascii="Times New Roman" w:hAnsi="Times New Roman"/>
                <w:sz w:val="26"/>
                <w:szCs w:val="28"/>
              </w:rPr>
              <w:t>Ministru kabineta 2018.</w:t>
            </w:r>
            <w:r w:rsidR="00084A54">
              <w:rPr>
                <w:rFonts w:ascii="Times New Roman" w:hAnsi="Times New Roman"/>
                <w:sz w:val="26"/>
                <w:szCs w:val="28"/>
              </w:rPr>
              <w:t> </w:t>
            </w:r>
            <w:r w:rsidR="005E052F" w:rsidRPr="00AD23FB">
              <w:rPr>
                <w:rFonts w:ascii="Times New Roman" w:hAnsi="Times New Roman"/>
                <w:sz w:val="26"/>
                <w:szCs w:val="28"/>
              </w:rPr>
              <w:t>gada 11.</w:t>
            </w:r>
            <w:r w:rsidR="00084A54">
              <w:rPr>
                <w:rFonts w:ascii="Times New Roman" w:hAnsi="Times New Roman"/>
                <w:sz w:val="26"/>
                <w:szCs w:val="28"/>
              </w:rPr>
              <w:t> </w:t>
            </w:r>
            <w:r w:rsidR="005E052F" w:rsidRPr="00AD23FB">
              <w:rPr>
                <w:rFonts w:ascii="Times New Roman" w:hAnsi="Times New Roman"/>
                <w:sz w:val="26"/>
                <w:szCs w:val="28"/>
              </w:rPr>
              <w:t xml:space="preserve">decembra noteikumi </w:t>
            </w:r>
            <w:r w:rsidR="000A554D" w:rsidRPr="00AD23FB">
              <w:rPr>
                <w:rFonts w:ascii="Times New Roman" w:hAnsi="Times New Roman"/>
                <w:sz w:val="26"/>
                <w:szCs w:val="28"/>
              </w:rPr>
              <w:t>Nr. 794 “</w:t>
            </w:r>
            <w:r w:rsidR="000A554D" w:rsidRPr="00AD23FB">
              <w:rPr>
                <w:rFonts w:ascii="Times New Roman" w:hAnsi="Times New Roman"/>
                <w:bCs/>
                <w:sz w:val="26"/>
                <w:szCs w:val="28"/>
                <w:shd w:val="clear" w:color="auto" w:fill="FFFFFF"/>
              </w:rPr>
              <w:t>Augstskolu un koledžu akreditācijas noteikumi</w:t>
            </w:r>
            <w:r w:rsidR="000A554D" w:rsidRPr="00AD23FB">
              <w:rPr>
                <w:rFonts w:ascii="Times New Roman" w:hAnsi="Times New Roman"/>
                <w:sz w:val="26"/>
                <w:szCs w:val="28"/>
              </w:rPr>
              <w:t xml:space="preserve">” (turpmāk – </w:t>
            </w:r>
            <w:r w:rsidR="00D6609E" w:rsidRPr="00AD23FB">
              <w:rPr>
                <w:rFonts w:ascii="Times New Roman" w:hAnsi="Times New Roman"/>
                <w:sz w:val="26"/>
                <w:szCs w:val="28"/>
              </w:rPr>
              <w:t xml:space="preserve">Noteikumi </w:t>
            </w:r>
            <w:r w:rsidR="000A554D" w:rsidRPr="00AD23FB">
              <w:rPr>
                <w:rFonts w:ascii="Times New Roman" w:hAnsi="Times New Roman"/>
                <w:sz w:val="26"/>
                <w:szCs w:val="28"/>
              </w:rPr>
              <w:t xml:space="preserve">Nr. 794) un </w:t>
            </w:r>
            <w:r w:rsidR="005E052F" w:rsidRPr="00AD23FB">
              <w:rPr>
                <w:rFonts w:ascii="Times New Roman" w:hAnsi="Times New Roman"/>
                <w:sz w:val="26"/>
                <w:szCs w:val="28"/>
              </w:rPr>
              <w:t>Ministru kabineta 2018.</w:t>
            </w:r>
            <w:r w:rsidR="00084A54">
              <w:rPr>
                <w:rFonts w:ascii="Times New Roman" w:hAnsi="Times New Roman"/>
                <w:sz w:val="26"/>
                <w:szCs w:val="28"/>
              </w:rPr>
              <w:t> </w:t>
            </w:r>
            <w:r w:rsidR="005E052F" w:rsidRPr="00AD23FB">
              <w:rPr>
                <w:rFonts w:ascii="Times New Roman" w:hAnsi="Times New Roman"/>
                <w:sz w:val="26"/>
                <w:szCs w:val="28"/>
              </w:rPr>
              <w:t>gada 11.</w:t>
            </w:r>
            <w:r w:rsidR="00084A54">
              <w:rPr>
                <w:rFonts w:ascii="Times New Roman" w:hAnsi="Times New Roman"/>
                <w:sz w:val="26"/>
                <w:szCs w:val="28"/>
              </w:rPr>
              <w:t> </w:t>
            </w:r>
            <w:r w:rsidR="005E052F" w:rsidRPr="00AD23FB">
              <w:rPr>
                <w:rFonts w:ascii="Times New Roman" w:hAnsi="Times New Roman"/>
                <w:sz w:val="26"/>
                <w:szCs w:val="28"/>
              </w:rPr>
              <w:t xml:space="preserve">decembra noteikumi </w:t>
            </w:r>
            <w:r w:rsidR="000A554D" w:rsidRPr="00AD23FB">
              <w:rPr>
                <w:rFonts w:ascii="Times New Roman" w:hAnsi="Times New Roman"/>
                <w:sz w:val="26"/>
                <w:szCs w:val="28"/>
              </w:rPr>
              <w:t>Nr. 795 “</w:t>
            </w:r>
            <w:r w:rsidR="000A554D" w:rsidRPr="00AD23FB">
              <w:rPr>
                <w:rFonts w:ascii="Times New Roman" w:hAnsi="Times New Roman"/>
                <w:bCs/>
                <w:sz w:val="26"/>
                <w:szCs w:val="28"/>
              </w:rPr>
              <w:t>Studiju programmu licencēšanas noteikumi</w:t>
            </w:r>
            <w:r w:rsidR="000A554D" w:rsidRPr="00AD23FB">
              <w:rPr>
                <w:rFonts w:ascii="Times New Roman" w:hAnsi="Times New Roman"/>
                <w:sz w:val="26"/>
                <w:szCs w:val="28"/>
              </w:rPr>
              <w:t>”</w:t>
            </w:r>
            <w:r w:rsidR="00084A54">
              <w:rPr>
                <w:rFonts w:ascii="Times New Roman" w:hAnsi="Times New Roman"/>
                <w:sz w:val="26"/>
                <w:szCs w:val="28"/>
              </w:rPr>
              <w:t xml:space="preserve"> </w:t>
            </w:r>
            <w:r w:rsidR="000A554D" w:rsidRPr="00AD23FB">
              <w:rPr>
                <w:rFonts w:ascii="Times New Roman" w:hAnsi="Times New Roman"/>
                <w:sz w:val="26"/>
                <w:szCs w:val="28"/>
              </w:rPr>
              <w:t xml:space="preserve">(turpmāk – </w:t>
            </w:r>
            <w:r w:rsidR="00D6609E" w:rsidRPr="00AD23FB">
              <w:rPr>
                <w:rFonts w:ascii="Times New Roman" w:hAnsi="Times New Roman"/>
                <w:sz w:val="26"/>
                <w:szCs w:val="28"/>
              </w:rPr>
              <w:t xml:space="preserve">Noteikumi </w:t>
            </w:r>
            <w:r w:rsidR="000A554D" w:rsidRPr="00AD23FB">
              <w:rPr>
                <w:rFonts w:ascii="Times New Roman" w:hAnsi="Times New Roman"/>
                <w:sz w:val="26"/>
                <w:szCs w:val="28"/>
              </w:rPr>
              <w:t>Nr. 795) paredz, ka augstskolu vai koledžu darba grupas darb</w:t>
            </w:r>
            <w:r w:rsidR="007A20AE" w:rsidRPr="00AD23FB">
              <w:rPr>
                <w:rFonts w:ascii="Times New Roman" w:hAnsi="Times New Roman"/>
                <w:sz w:val="26"/>
                <w:szCs w:val="28"/>
              </w:rPr>
              <w:t>ā</w:t>
            </w:r>
            <w:r w:rsidR="000A554D" w:rsidRPr="00AD23FB">
              <w:rPr>
                <w:rFonts w:ascii="Times New Roman" w:hAnsi="Times New Roman"/>
                <w:sz w:val="26"/>
                <w:szCs w:val="28"/>
              </w:rPr>
              <w:t xml:space="preserve"> bez balsstiesībām piedalās </w:t>
            </w:r>
            <w:r w:rsidR="00A31A97" w:rsidRPr="00AD23FB">
              <w:rPr>
                <w:rFonts w:ascii="Times New Roman" w:hAnsi="Times New Roman"/>
                <w:sz w:val="26"/>
                <w:szCs w:val="28"/>
              </w:rPr>
              <w:t xml:space="preserve">Latvijas Izglītības un zinātnes darbinieku arodbiedrības (turpmāk – LIZDA) </w:t>
            </w:r>
            <w:r w:rsidR="000A554D" w:rsidRPr="00AD23FB">
              <w:rPr>
                <w:rFonts w:ascii="Times New Roman" w:hAnsi="Times New Roman"/>
                <w:sz w:val="26"/>
                <w:szCs w:val="28"/>
              </w:rPr>
              <w:t xml:space="preserve">un </w:t>
            </w:r>
            <w:r w:rsidR="00A31A97" w:rsidRPr="00AD23FB">
              <w:rPr>
                <w:rFonts w:ascii="Times New Roman" w:hAnsi="Times New Roman"/>
                <w:sz w:val="26"/>
                <w:szCs w:val="28"/>
              </w:rPr>
              <w:t>Latvijas Studentu apvienības</w:t>
            </w:r>
            <w:r w:rsidR="00084A54">
              <w:rPr>
                <w:rFonts w:ascii="Times New Roman" w:hAnsi="Times New Roman"/>
                <w:sz w:val="26"/>
                <w:szCs w:val="28"/>
              </w:rPr>
              <w:t xml:space="preserve"> </w:t>
            </w:r>
            <w:r w:rsidR="00A31A97" w:rsidRPr="00AD23FB">
              <w:rPr>
                <w:rFonts w:ascii="Times New Roman" w:hAnsi="Times New Roman"/>
                <w:sz w:val="26"/>
                <w:szCs w:val="28"/>
              </w:rPr>
              <w:t xml:space="preserve">(turpmāk – LSA) </w:t>
            </w:r>
            <w:r w:rsidR="000A554D" w:rsidRPr="00AD23FB">
              <w:rPr>
                <w:rFonts w:ascii="Times New Roman" w:hAnsi="Times New Roman"/>
                <w:sz w:val="26"/>
                <w:szCs w:val="28"/>
              </w:rPr>
              <w:t>deleģēti novērotāji.</w:t>
            </w:r>
            <w:r w:rsidR="007A20AE" w:rsidRPr="00AD23FB">
              <w:rPr>
                <w:rFonts w:ascii="Times New Roman" w:hAnsi="Times New Roman"/>
                <w:sz w:val="26"/>
                <w:szCs w:val="28"/>
              </w:rPr>
              <w:t xml:space="preserve"> Minētās noteikumu normas ir </w:t>
            </w:r>
            <w:proofErr w:type="spellStart"/>
            <w:r w:rsidR="007A20AE" w:rsidRPr="00AD23FB">
              <w:rPr>
                <w:rFonts w:ascii="Times New Roman" w:hAnsi="Times New Roman"/>
                <w:sz w:val="26"/>
                <w:szCs w:val="28"/>
              </w:rPr>
              <w:t>imperatīvas</w:t>
            </w:r>
            <w:proofErr w:type="spellEnd"/>
            <w:r w:rsidR="007A20AE" w:rsidRPr="00AD23FB">
              <w:rPr>
                <w:rFonts w:ascii="Times New Roman" w:hAnsi="Times New Roman"/>
                <w:sz w:val="26"/>
                <w:szCs w:val="28"/>
              </w:rPr>
              <w:t xml:space="preserve"> un tād</w:t>
            </w:r>
            <w:r w:rsidR="005B0B0C" w:rsidRPr="00AD23FB">
              <w:rPr>
                <w:rFonts w:ascii="Times New Roman" w:hAnsi="Times New Roman"/>
                <w:sz w:val="26"/>
                <w:szCs w:val="28"/>
              </w:rPr>
              <w:t>ē</w:t>
            </w:r>
            <w:r w:rsidR="007A20AE" w:rsidRPr="00AD23FB">
              <w:rPr>
                <w:rFonts w:ascii="Times New Roman" w:hAnsi="Times New Roman"/>
                <w:sz w:val="26"/>
                <w:szCs w:val="28"/>
              </w:rPr>
              <w:t>jādi abu</w:t>
            </w:r>
            <w:r w:rsidR="00FA6517">
              <w:rPr>
                <w:rFonts w:ascii="Times New Roman" w:hAnsi="Times New Roman"/>
                <w:sz w:val="26"/>
                <w:szCs w:val="28"/>
              </w:rPr>
              <w:t xml:space="preserve"> </w:t>
            </w:r>
            <w:r w:rsidR="007A20AE" w:rsidRPr="00AD23FB">
              <w:rPr>
                <w:rFonts w:ascii="Times New Roman" w:hAnsi="Times New Roman"/>
                <w:sz w:val="26"/>
                <w:szCs w:val="28"/>
              </w:rPr>
              <w:t>minēto organizāciju pārstāvju dalība darba grupas darbā ir obligāta.</w:t>
            </w:r>
          </w:p>
          <w:p w14:paraId="11E292EB" w14:textId="024B9CF0" w:rsidR="00C518F1" w:rsidRPr="00AD23FB" w:rsidRDefault="00C418E7" w:rsidP="00C518F1">
            <w:pPr>
              <w:spacing w:after="0" w:line="240" w:lineRule="auto"/>
              <w:jc w:val="both"/>
              <w:rPr>
                <w:rFonts w:ascii="Times New Roman" w:hAnsi="Times New Roman"/>
                <w:sz w:val="26"/>
                <w:szCs w:val="28"/>
              </w:rPr>
            </w:pPr>
            <w:r w:rsidRPr="00AD23FB">
              <w:rPr>
                <w:rFonts w:ascii="Times New Roman" w:hAnsi="Times New Roman"/>
                <w:sz w:val="26"/>
                <w:szCs w:val="28"/>
              </w:rPr>
              <w:t>Ministrija saņ</w:t>
            </w:r>
            <w:r w:rsidR="000219F3" w:rsidRPr="00AD23FB">
              <w:rPr>
                <w:rFonts w:ascii="Times New Roman" w:hAnsi="Times New Roman"/>
                <w:sz w:val="26"/>
                <w:szCs w:val="28"/>
              </w:rPr>
              <w:t>ē</w:t>
            </w:r>
            <w:r w:rsidRPr="00AD23FB">
              <w:rPr>
                <w:rFonts w:ascii="Times New Roman" w:hAnsi="Times New Roman"/>
                <w:sz w:val="26"/>
                <w:szCs w:val="28"/>
              </w:rPr>
              <w:t xml:space="preserve">ma </w:t>
            </w:r>
            <w:proofErr w:type="spellStart"/>
            <w:r w:rsidR="00E50A24" w:rsidRPr="00AD23FB">
              <w:rPr>
                <w:rFonts w:ascii="Times New Roman" w:hAnsi="Times New Roman"/>
                <w:sz w:val="26"/>
                <w:szCs w:val="28"/>
              </w:rPr>
              <w:t>LIZDA</w:t>
            </w:r>
            <w:r w:rsidRPr="00AD23FB">
              <w:rPr>
                <w:rFonts w:ascii="Times New Roman" w:hAnsi="Times New Roman"/>
                <w:sz w:val="26"/>
                <w:szCs w:val="28"/>
              </w:rPr>
              <w:t>s</w:t>
            </w:r>
            <w:proofErr w:type="spellEnd"/>
            <w:r w:rsidR="00E50A24" w:rsidRPr="00AD23FB">
              <w:rPr>
                <w:rFonts w:ascii="Times New Roman" w:hAnsi="Times New Roman"/>
                <w:sz w:val="26"/>
                <w:szCs w:val="28"/>
              </w:rPr>
              <w:t xml:space="preserve"> </w:t>
            </w:r>
            <w:r w:rsidRPr="00AD23FB">
              <w:rPr>
                <w:rFonts w:ascii="Times New Roman" w:hAnsi="Times New Roman"/>
                <w:sz w:val="26"/>
                <w:szCs w:val="28"/>
              </w:rPr>
              <w:t>2020. gada 17. janvāra vēstul</w:t>
            </w:r>
            <w:r w:rsidR="000219F3" w:rsidRPr="00AD23FB">
              <w:rPr>
                <w:rFonts w:ascii="Times New Roman" w:hAnsi="Times New Roman"/>
                <w:sz w:val="26"/>
                <w:szCs w:val="28"/>
              </w:rPr>
              <w:t>i</w:t>
            </w:r>
            <w:r w:rsidRPr="00AD23FB">
              <w:rPr>
                <w:rFonts w:ascii="Times New Roman" w:hAnsi="Times New Roman"/>
                <w:sz w:val="26"/>
                <w:szCs w:val="28"/>
              </w:rPr>
              <w:t xml:space="preserve">  </w:t>
            </w:r>
            <w:r w:rsidR="000219F3" w:rsidRPr="00AD23FB">
              <w:rPr>
                <w:rFonts w:ascii="Times New Roman" w:hAnsi="Times New Roman"/>
                <w:sz w:val="26"/>
                <w:szCs w:val="28"/>
              </w:rPr>
              <w:t>Nr. </w:t>
            </w:r>
            <w:r w:rsidRPr="00AD23FB">
              <w:rPr>
                <w:rFonts w:ascii="Times New Roman" w:hAnsi="Times New Roman"/>
                <w:sz w:val="26"/>
                <w:szCs w:val="28"/>
              </w:rPr>
              <w:t>10 „Par LIZDA dalību licencēšanas un akreditācijas procesos novērotāja statusā”, kurā LIZDA informē, ka</w:t>
            </w:r>
            <w:r w:rsidR="00E50A24" w:rsidRPr="00AD23FB">
              <w:rPr>
                <w:rFonts w:ascii="Times New Roman" w:hAnsi="Times New Roman"/>
                <w:sz w:val="26"/>
                <w:szCs w:val="28"/>
              </w:rPr>
              <w:t xml:space="preserve"> </w:t>
            </w:r>
            <w:r w:rsidR="00084A54">
              <w:rPr>
                <w:rFonts w:ascii="Times New Roman" w:hAnsi="Times New Roman"/>
                <w:sz w:val="26"/>
                <w:szCs w:val="28"/>
              </w:rPr>
              <w:t>“</w:t>
            </w:r>
            <w:r w:rsidR="00C518F1" w:rsidRPr="00AD23FB">
              <w:rPr>
                <w:rFonts w:ascii="Times New Roman" w:hAnsi="Times New Roman"/>
                <w:sz w:val="26"/>
                <w:szCs w:val="28"/>
              </w:rPr>
              <w:t>S</w:t>
            </w:r>
            <w:r w:rsidR="00E50A24" w:rsidRPr="00AD23FB">
              <w:rPr>
                <w:rFonts w:ascii="Times New Roman" w:hAnsi="Times New Roman"/>
                <w:sz w:val="26"/>
                <w:szCs w:val="28"/>
              </w:rPr>
              <w:t xml:space="preserve">ākot </w:t>
            </w:r>
            <w:r w:rsidR="00E50A24" w:rsidRPr="00AD23FB">
              <w:rPr>
                <w:rFonts w:ascii="Times New Roman" w:hAnsi="Times New Roman"/>
                <w:sz w:val="26"/>
                <w:szCs w:val="28"/>
              </w:rPr>
              <w:lastRenderedPageBreak/>
              <w:t>ar 2020. gadu nozīmīgi palielinājies licencēšanas un akreditācijas vizīšu skaits, tādēļ LIZDA, ņemot vērā darba apjomu un ierobežotos resursus, neredz iespēju piedalīties pilnīgi visās augst</w:t>
            </w:r>
            <w:r w:rsidR="00D46E3E" w:rsidRPr="00AD23FB">
              <w:rPr>
                <w:rFonts w:ascii="Times New Roman" w:hAnsi="Times New Roman"/>
                <w:sz w:val="26"/>
                <w:szCs w:val="28"/>
              </w:rPr>
              <w:t>s</w:t>
            </w:r>
            <w:r w:rsidR="00E50A24" w:rsidRPr="00AD23FB">
              <w:rPr>
                <w:rFonts w:ascii="Times New Roman" w:hAnsi="Times New Roman"/>
                <w:sz w:val="26"/>
                <w:szCs w:val="28"/>
              </w:rPr>
              <w:t>kolu/koledžu vizītēs. LIZDA uzskata, ka neatkarīga novērotāja un valdības sociālā partnera statusā būtu jādod iespēja LIZDA biedriem novērot procedūras pēc LIZDA izvēle</w:t>
            </w:r>
            <w:r w:rsidR="00D6609E" w:rsidRPr="00AD23FB">
              <w:rPr>
                <w:rFonts w:ascii="Times New Roman" w:hAnsi="Times New Roman"/>
                <w:sz w:val="26"/>
                <w:szCs w:val="28"/>
              </w:rPr>
              <w:t>s</w:t>
            </w:r>
            <w:r w:rsidR="00E50A24" w:rsidRPr="00AD23FB">
              <w:rPr>
                <w:rFonts w:ascii="Times New Roman" w:hAnsi="Times New Roman"/>
                <w:sz w:val="26"/>
                <w:szCs w:val="28"/>
              </w:rPr>
              <w:t>, izlases veidā”.</w:t>
            </w:r>
          </w:p>
          <w:p w14:paraId="5626F49F" w14:textId="7CC06432" w:rsidR="00593637" w:rsidRPr="00AD23FB" w:rsidRDefault="00C518F1" w:rsidP="00C518F1">
            <w:pPr>
              <w:spacing w:after="0" w:line="240" w:lineRule="auto"/>
              <w:jc w:val="both"/>
              <w:rPr>
                <w:rFonts w:ascii="Times New Roman" w:hAnsi="Times New Roman"/>
                <w:sz w:val="26"/>
                <w:szCs w:val="28"/>
              </w:rPr>
            </w:pPr>
            <w:r w:rsidRPr="00AD23FB">
              <w:rPr>
                <w:rFonts w:ascii="Times New Roman" w:hAnsi="Times New Roman"/>
                <w:sz w:val="26"/>
                <w:szCs w:val="28"/>
              </w:rPr>
              <w:t>Tāpat LIZDA savā vēstulē l</w:t>
            </w:r>
            <w:r w:rsidR="00593637" w:rsidRPr="00AD23FB">
              <w:rPr>
                <w:rFonts w:ascii="Times New Roman" w:hAnsi="Times New Roman"/>
                <w:sz w:val="26"/>
                <w:szCs w:val="28"/>
              </w:rPr>
              <w:t xml:space="preserve">ūdz ministriju piedāvāt risinājumus novērotāja dalībai pašlaik un turpmāk izsludinātajām augstskolu un koledžu licencēšanas un akreditācijas vizītēm. </w:t>
            </w:r>
          </w:p>
          <w:p w14:paraId="2789379B" w14:textId="59FE26EC" w:rsidR="00593637" w:rsidRPr="00AD23FB" w:rsidRDefault="000219F3" w:rsidP="00325677">
            <w:pPr>
              <w:spacing w:after="0" w:line="240" w:lineRule="auto"/>
              <w:jc w:val="both"/>
              <w:rPr>
                <w:rFonts w:ascii="Times New Roman" w:hAnsi="Times New Roman"/>
                <w:sz w:val="26"/>
                <w:szCs w:val="28"/>
                <w:shd w:val="clear" w:color="auto" w:fill="FFFFFF"/>
              </w:rPr>
            </w:pPr>
            <w:r w:rsidRPr="00AD23FB">
              <w:rPr>
                <w:rFonts w:ascii="Times New Roman" w:hAnsi="Times New Roman"/>
                <w:sz w:val="26"/>
                <w:szCs w:val="28"/>
              </w:rPr>
              <w:t xml:space="preserve">Ministrija saņēma arī Akadēmiskās informācijas centra  (turpmāk – AIC) 2020. gada 31. janvāra vēstuli </w:t>
            </w:r>
            <w:r w:rsidR="00084A54">
              <w:rPr>
                <w:rFonts w:ascii="Times New Roman" w:hAnsi="Times New Roman"/>
                <w:sz w:val="26"/>
                <w:szCs w:val="28"/>
              </w:rPr>
              <w:br/>
            </w:r>
            <w:r w:rsidRPr="00AD23FB">
              <w:rPr>
                <w:rFonts w:ascii="Times New Roman" w:hAnsi="Times New Roman"/>
                <w:sz w:val="26"/>
                <w:szCs w:val="28"/>
              </w:rPr>
              <w:t>Nr. 2020/11-098</w:t>
            </w:r>
            <w:r w:rsidR="00D95545" w:rsidRPr="00AD23FB">
              <w:rPr>
                <w:rFonts w:ascii="Times New Roman" w:hAnsi="Times New Roman"/>
                <w:sz w:val="26"/>
                <w:szCs w:val="28"/>
              </w:rPr>
              <w:t> </w:t>
            </w:r>
            <w:r w:rsidRPr="00AD23FB">
              <w:rPr>
                <w:rFonts w:ascii="Times New Roman" w:hAnsi="Times New Roman"/>
                <w:sz w:val="26"/>
                <w:szCs w:val="28"/>
              </w:rPr>
              <w:t>„Par novērotāja lomu novērtēšanas procedūrās”, kurā informē, ka „</w:t>
            </w:r>
            <w:r w:rsidRPr="00AD23FB">
              <w:rPr>
                <w:rFonts w:ascii="Times New Roman" w:hAnsi="Times New Roman"/>
                <w:sz w:val="26"/>
                <w:szCs w:val="28"/>
                <w:shd w:val="clear" w:color="auto" w:fill="FFFFFF"/>
              </w:rPr>
              <w:t>norisinās intensīvs studiju virzienu un studiju programmu novērtēšanas darbs, ir konstatēti pirmie gadījumi, kad nepiedalās novērotāji savas iestādes ierobežotas kapacitātes dēļ. 2020.</w:t>
            </w:r>
            <w:r w:rsidR="00084A54">
              <w:rPr>
                <w:rFonts w:ascii="Times New Roman" w:hAnsi="Times New Roman"/>
                <w:sz w:val="26"/>
                <w:szCs w:val="28"/>
                <w:shd w:val="clear" w:color="auto" w:fill="FFFFFF"/>
              </w:rPr>
              <w:t> </w:t>
            </w:r>
            <w:r w:rsidRPr="00AD23FB">
              <w:rPr>
                <w:rFonts w:ascii="Times New Roman" w:hAnsi="Times New Roman"/>
                <w:sz w:val="26"/>
                <w:szCs w:val="28"/>
                <w:shd w:val="clear" w:color="auto" w:fill="FFFFFF"/>
              </w:rPr>
              <w:t>gada 28.</w:t>
            </w:r>
            <w:r w:rsidR="00084A54">
              <w:rPr>
                <w:rFonts w:ascii="Times New Roman" w:hAnsi="Times New Roman"/>
                <w:sz w:val="26"/>
                <w:szCs w:val="28"/>
                <w:shd w:val="clear" w:color="auto" w:fill="FFFFFF"/>
              </w:rPr>
              <w:t> </w:t>
            </w:r>
            <w:r w:rsidRPr="00AD23FB">
              <w:rPr>
                <w:rFonts w:ascii="Times New Roman" w:hAnsi="Times New Roman"/>
                <w:sz w:val="26"/>
                <w:szCs w:val="28"/>
                <w:shd w:val="clear" w:color="auto" w:fill="FFFFFF"/>
              </w:rPr>
              <w:t>janvārī AIC saņēma LIZDA elektronisko vēstuli, kurā LIZDA norāda, ka ierobežotu cilvēkresursu dēļ LIZDA nevar nodrošināt novērotājus licencēšanas un akreditācijas vīzītēm.”</w:t>
            </w:r>
          </w:p>
          <w:p w14:paraId="3FCA244F" w14:textId="22E958C0" w:rsidR="00D95545" w:rsidRPr="00AD23FB" w:rsidRDefault="00D95545" w:rsidP="00325677">
            <w:pPr>
              <w:spacing w:after="0" w:line="240" w:lineRule="auto"/>
              <w:jc w:val="both"/>
              <w:rPr>
                <w:rFonts w:ascii="Times New Roman" w:hAnsi="Times New Roman"/>
                <w:sz w:val="26"/>
                <w:szCs w:val="28"/>
                <w:shd w:val="clear" w:color="auto" w:fill="FFFFFF"/>
              </w:rPr>
            </w:pPr>
            <w:r w:rsidRPr="00AD23FB">
              <w:rPr>
                <w:rFonts w:ascii="Times New Roman" w:hAnsi="Times New Roman"/>
                <w:sz w:val="26"/>
                <w:szCs w:val="28"/>
                <w:shd w:val="clear" w:color="auto" w:fill="FFFFFF"/>
              </w:rPr>
              <w:t>Kā turpina savā vēstulē informēt AIC, tad šī gada ietvaros paredzēts organizēt 57 studiju virziena novērtēšanas procedūras, kuru ietvaros LIZDA un LSA nepieciešams deleģēt 51 novērotāju. Tāpat ir paredzēt licencēt vismaz 20 studiju programmas, kuru ietvaros arī ir paredzēta novērotāju dalība.</w:t>
            </w:r>
          </w:p>
          <w:p w14:paraId="1CF4AF55" w14:textId="062820ED" w:rsidR="001D3940" w:rsidRPr="00AD23FB" w:rsidRDefault="001D3940" w:rsidP="00325677">
            <w:pPr>
              <w:spacing w:after="0" w:line="240" w:lineRule="auto"/>
              <w:jc w:val="both"/>
              <w:rPr>
                <w:rFonts w:ascii="Times New Roman" w:hAnsi="Times New Roman"/>
                <w:sz w:val="26"/>
                <w:szCs w:val="28"/>
              </w:rPr>
            </w:pPr>
            <w:r w:rsidRPr="00AD23FB">
              <w:rPr>
                <w:rFonts w:ascii="Times New Roman" w:hAnsi="Times New Roman"/>
                <w:sz w:val="26"/>
                <w:szCs w:val="28"/>
              </w:rPr>
              <w:t>Noteikumu Nr.</w:t>
            </w:r>
            <w:r w:rsidR="00084A54">
              <w:rPr>
                <w:rFonts w:ascii="Times New Roman" w:hAnsi="Times New Roman"/>
                <w:sz w:val="26"/>
                <w:szCs w:val="28"/>
              </w:rPr>
              <w:t> </w:t>
            </w:r>
            <w:r w:rsidRPr="00AD23FB">
              <w:rPr>
                <w:rFonts w:ascii="Times New Roman" w:hAnsi="Times New Roman"/>
                <w:sz w:val="26"/>
                <w:szCs w:val="28"/>
              </w:rPr>
              <w:t>795 23. punkts nosaka, ka AIC studiju programmas novērtēšanai atlasa un apstiprina trīs studiju programmas novērtēšanas ekspertus, viens no tiem ir LSA deleģēts pārstāvis.</w:t>
            </w:r>
          </w:p>
          <w:p w14:paraId="3DEDFBC8" w14:textId="56533B27" w:rsidR="001D3940" w:rsidRPr="00AD23FB" w:rsidRDefault="001D3940" w:rsidP="00325677">
            <w:pPr>
              <w:spacing w:after="0" w:line="240" w:lineRule="auto"/>
              <w:jc w:val="both"/>
              <w:rPr>
                <w:rFonts w:ascii="Times New Roman" w:hAnsi="Times New Roman"/>
                <w:sz w:val="26"/>
                <w:szCs w:val="28"/>
              </w:rPr>
            </w:pPr>
            <w:r w:rsidRPr="00AD23FB">
              <w:rPr>
                <w:rFonts w:ascii="Times New Roman" w:hAnsi="Times New Roman"/>
                <w:sz w:val="26"/>
                <w:szCs w:val="28"/>
              </w:rPr>
              <w:t>Savukārt Noteikumu Nr. 794 8.</w:t>
            </w:r>
            <w:r w:rsidR="00C650D1" w:rsidRPr="00AD23FB">
              <w:rPr>
                <w:rFonts w:ascii="Times New Roman" w:hAnsi="Times New Roman"/>
                <w:sz w:val="26"/>
                <w:szCs w:val="28"/>
              </w:rPr>
              <w:t> </w:t>
            </w:r>
            <w:r w:rsidRPr="00AD23FB">
              <w:rPr>
                <w:rFonts w:ascii="Times New Roman" w:hAnsi="Times New Roman"/>
                <w:sz w:val="26"/>
                <w:szCs w:val="28"/>
              </w:rPr>
              <w:t>punkts nosaka, ka augstskolu vai koledžu novērtē ekspertu grupa, kuras sastāvā ir septiņi eksperti</w:t>
            </w:r>
            <w:r w:rsidR="00C650D1" w:rsidRPr="00AD23FB">
              <w:rPr>
                <w:rFonts w:ascii="Times New Roman" w:hAnsi="Times New Roman"/>
                <w:sz w:val="26"/>
                <w:szCs w:val="28"/>
              </w:rPr>
              <w:t xml:space="preserve"> un ekspertu darba grupas darbā piedalās viens </w:t>
            </w:r>
            <w:r w:rsidR="00E06F3D" w:rsidRPr="00AD23FB">
              <w:rPr>
                <w:rFonts w:ascii="Times New Roman" w:hAnsi="Times New Roman"/>
                <w:sz w:val="26"/>
                <w:szCs w:val="28"/>
              </w:rPr>
              <w:t>LSA</w:t>
            </w:r>
            <w:r w:rsidR="00C650D1" w:rsidRPr="00AD23FB">
              <w:rPr>
                <w:rFonts w:ascii="Times New Roman" w:hAnsi="Times New Roman"/>
                <w:sz w:val="26"/>
                <w:szCs w:val="28"/>
              </w:rPr>
              <w:t xml:space="preserve"> pārstāvis.</w:t>
            </w:r>
          </w:p>
          <w:p w14:paraId="298934A5" w14:textId="4C83DADF" w:rsidR="00C650D1" w:rsidRPr="00AD23FB" w:rsidRDefault="00C650D1" w:rsidP="00325677">
            <w:pPr>
              <w:spacing w:after="0" w:line="240" w:lineRule="auto"/>
              <w:jc w:val="both"/>
              <w:rPr>
                <w:rFonts w:ascii="Times New Roman" w:hAnsi="Times New Roman"/>
                <w:sz w:val="26"/>
                <w:szCs w:val="28"/>
              </w:rPr>
            </w:pPr>
            <w:r w:rsidRPr="00AD23FB">
              <w:rPr>
                <w:rFonts w:ascii="Times New Roman" w:hAnsi="Times New Roman"/>
                <w:sz w:val="26"/>
                <w:szCs w:val="28"/>
              </w:rPr>
              <w:t xml:space="preserve">Kā redzams, tad ekspertu grupu darbā jau tagad ar balsstiesībām piedalās LSA pārstāvji. Līdz ar to </w:t>
            </w:r>
            <w:r w:rsidR="00372BE6" w:rsidRPr="00AD23FB">
              <w:rPr>
                <w:rFonts w:ascii="Times New Roman" w:hAnsi="Times New Roman"/>
                <w:sz w:val="26"/>
                <w:szCs w:val="28"/>
              </w:rPr>
              <w:t xml:space="preserve">nebūtu </w:t>
            </w:r>
            <w:r w:rsidRPr="00AD23FB">
              <w:rPr>
                <w:rFonts w:ascii="Times New Roman" w:hAnsi="Times New Roman"/>
                <w:sz w:val="26"/>
                <w:szCs w:val="28"/>
              </w:rPr>
              <w:t>pamatot</w:t>
            </w:r>
            <w:r w:rsidR="00372BE6" w:rsidRPr="00AD23FB">
              <w:rPr>
                <w:rFonts w:ascii="Times New Roman" w:hAnsi="Times New Roman"/>
                <w:sz w:val="26"/>
                <w:szCs w:val="28"/>
              </w:rPr>
              <w:t>a</w:t>
            </w:r>
            <w:r w:rsidRPr="00AD23FB">
              <w:rPr>
                <w:rFonts w:ascii="Times New Roman" w:hAnsi="Times New Roman"/>
                <w:sz w:val="26"/>
                <w:szCs w:val="28"/>
              </w:rPr>
              <w:t xml:space="preserve"> </w:t>
            </w:r>
            <w:r w:rsidR="00372BE6" w:rsidRPr="00AD23FB">
              <w:rPr>
                <w:rFonts w:ascii="Times New Roman" w:hAnsi="Times New Roman"/>
                <w:sz w:val="26"/>
                <w:szCs w:val="28"/>
              </w:rPr>
              <w:t>un lietderīga divu LSA pārstāvju dalība ekspertu darba grupā.</w:t>
            </w:r>
            <w:r w:rsidR="00372BE6" w:rsidRPr="00AD23FB" w:rsidDel="00372BE6">
              <w:rPr>
                <w:rFonts w:ascii="Times New Roman" w:hAnsi="Times New Roman"/>
                <w:sz w:val="26"/>
                <w:szCs w:val="28"/>
              </w:rPr>
              <w:t xml:space="preserve"> </w:t>
            </w:r>
          </w:p>
          <w:p w14:paraId="1404816C" w14:textId="48A17A59" w:rsidR="00655813" w:rsidRPr="00AD23FB" w:rsidRDefault="00655813" w:rsidP="00655813">
            <w:pPr>
              <w:spacing w:after="0" w:line="240" w:lineRule="auto"/>
              <w:jc w:val="both"/>
              <w:rPr>
                <w:rFonts w:ascii="Times New Roman" w:eastAsia="Times New Roman" w:hAnsi="Times New Roman"/>
                <w:sz w:val="26"/>
                <w:szCs w:val="28"/>
              </w:rPr>
            </w:pPr>
            <w:r w:rsidRPr="00AD23FB">
              <w:rPr>
                <w:rFonts w:ascii="Times New Roman" w:eastAsia="Times New Roman" w:hAnsi="Times New Roman"/>
                <w:sz w:val="26"/>
                <w:szCs w:val="28"/>
                <w:lang w:eastAsia="en-GB"/>
              </w:rPr>
              <w:t>Saskaņā ar AIC sniegto informāciju, vērtējot novērotāju piesaistes procesu kopumā</w:t>
            </w:r>
            <w:r w:rsidR="00D6609E" w:rsidRPr="00AD23FB">
              <w:rPr>
                <w:rFonts w:ascii="Times New Roman" w:eastAsia="Times New Roman" w:hAnsi="Times New Roman"/>
                <w:sz w:val="26"/>
                <w:szCs w:val="28"/>
                <w:lang w:eastAsia="en-GB"/>
              </w:rPr>
              <w:t>,</w:t>
            </w:r>
            <w:r w:rsidRPr="00AD23FB">
              <w:rPr>
                <w:rFonts w:ascii="Times New Roman" w:eastAsia="Times New Roman" w:hAnsi="Times New Roman"/>
                <w:sz w:val="26"/>
                <w:szCs w:val="28"/>
                <w:lang w:eastAsia="en-GB"/>
              </w:rPr>
              <w:t xml:space="preserve"> AIC ir </w:t>
            </w:r>
            <w:proofErr w:type="spellStart"/>
            <w:r w:rsidRPr="00AD23FB">
              <w:rPr>
                <w:rFonts w:ascii="Times New Roman" w:eastAsia="Times New Roman" w:hAnsi="Times New Roman"/>
                <w:sz w:val="26"/>
                <w:szCs w:val="28"/>
                <w:lang w:eastAsia="en-GB"/>
              </w:rPr>
              <w:t>saskāries</w:t>
            </w:r>
            <w:proofErr w:type="spellEnd"/>
            <w:r w:rsidRPr="00AD23FB">
              <w:rPr>
                <w:rFonts w:ascii="Times New Roman" w:eastAsia="Times New Roman" w:hAnsi="Times New Roman"/>
                <w:sz w:val="26"/>
                <w:szCs w:val="28"/>
                <w:lang w:eastAsia="en-GB"/>
              </w:rPr>
              <w:t xml:space="preserve"> ar vairākiem gadījumiem, kad sākotnēji apstiprinātie novērotāji īsi pirms vizītes tiek mainīti.</w:t>
            </w:r>
            <w:r w:rsidRPr="00AD23FB">
              <w:rPr>
                <w:rFonts w:ascii="Times New Roman" w:eastAsia="Times New Roman" w:hAnsi="Times New Roman"/>
                <w:sz w:val="26"/>
                <w:szCs w:val="28"/>
              </w:rPr>
              <w:t xml:space="preserve"> </w:t>
            </w:r>
          </w:p>
          <w:p w14:paraId="0BE5DAC3" w14:textId="6947897B" w:rsidR="00655813" w:rsidRPr="00AD23FB" w:rsidRDefault="00655813" w:rsidP="00655813">
            <w:pPr>
              <w:spacing w:after="0" w:line="240" w:lineRule="auto"/>
              <w:jc w:val="both"/>
              <w:rPr>
                <w:rFonts w:ascii="Times New Roman" w:eastAsiaTheme="minorHAnsi" w:hAnsi="Times New Roman"/>
                <w:sz w:val="26"/>
                <w:szCs w:val="28"/>
              </w:rPr>
            </w:pPr>
            <w:r w:rsidRPr="00AD23FB">
              <w:rPr>
                <w:rFonts w:ascii="Times New Roman" w:hAnsi="Times New Roman"/>
                <w:sz w:val="26"/>
                <w:szCs w:val="28"/>
                <w:lang w:eastAsia="en-GB"/>
              </w:rPr>
              <w:t>2020.</w:t>
            </w:r>
            <w:r w:rsidR="00084A54">
              <w:rPr>
                <w:rFonts w:ascii="Times New Roman" w:hAnsi="Times New Roman"/>
                <w:sz w:val="26"/>
                <w:szCs w:val="28"/>
                <w:lang w:eastAsia="en-GB"/>
              </w:rPr>
              <w:t> </w:t>
            </w:r>
            <w:r w:rsidRPr="00AD23FB">
              <w:rPr>
                <w:rFonts w:ascii="Times New Roman" w:hAnsi="Times New Roman"/>
                <w:sz w:val="26"/>
                <w:szCs w:val="28"/>
                <w:lang w:eastAsia="en-GB"/>
              </w:rPr>
              <w:t>gada 29.</w:t>
            </w:r>
            <w:r w:rsidR="00084A54">
              <w:rPr>
                <w:rFonts w:ascii="Times New Roman" w:hAnsi="Times New Roman"/>
                <w:sz w:val="26"/>
                <w:szCs w:val="28"/>
                <w:lang w:eastAsia="en-GB"/>
              </w:rPr>
              <w:t> </w:t>
            </w:r>
            <w:r w:rsidRPr="00AD23FB">
              <w:rPr>
                <w:rFonts w:ascii="Times New Roman" w:hAnsi="Times New Roman"/>
                <w:sz w:val="26"/>
                <w:szCs w:val="28"/>
                <w:lang w:eastAsia="en-GB"/>
              </w:rPr>
              <w:t>janvārī notika pirmā klātienes vizīte augstskolā, kurā nepiedalījās LIZDA deleģēts novērotājs.</w:t>
            </w:r>
          </w:p>
          <w:p w14:paraId="0C062C1B" w14:textId="4B3B56D1" w:rsidR="00655813" w:rsidRPr="00AD23FB" w:rsidRDefault="00655813" w:rsidP="00655813">
            <w:pPr>
              <w:spacing w:after="0" w:line="240" w:lineRule="auto"/>
              <w:jc w:val="both"/>
              <w:rPr>
                <w:rFonts w:ascii="Times New Roman" w:hAnsi="Times New Roman"/>
                <w:sz w:val="26"/>
                <w:szCs w:val="28"/>
              </w:rPr>
            </w:pPr>
            <w:r w:rsidRPr="00AD23FB">
              <w:rPr>
                <w:rFonts w:ascii="Times New Roman" w:hAnsi="Times New Roman"/>
                <w:sz w:val="26"/>
                <w:szCs w:val="28"/>
                <w:lang w:eastAsia="en-GB"/>
              </w:rPr>
              <w:t>Kopumā laika posmā no 29.</w:t>
            </w:r>
            <w:r w:rsidR="00084A54">
              <w:rPr>
                <w:rFonts w:ascii="Times New Roman" w:hAnsi="Times New Roman"/>
                <w:sz w:val="26"/>
                <w:szCs w:val="28"/>
                <w:lang w:eastAsia="en-GB"/>
              </w:rPr>
              <w:t> </w:t>
            </w:r>
            <w:r w:rsidRPr="00AD23FB">
              <w:rPr>
                <w:rFonts w:ascii="Times New Roman" w:hAnsi="Times New Roman"/>
                <w:sz w:val="26"/>
                <w:szCs w:val="28"/>
                <w:lang w:eastAsia="en-GB"/>
              </w:rPr>
              <w:t xml:space="preserve">janvāra līdz </w:t>
            </w:r>
            <w:r w:rsidR="00A53BD9" w:rsidRPr="00AD23FB">
              <w:rPr>
                <w:rFonts w:ascii="Times New Roman" w:hAnsi="Times New Roman"/>
                <w:sz w:val="26"/>
                <w:szCs w:val="28"/>
                <w:lang w:eastAsia="en-GB"/>
              </w:rPr>
              <w:t>2</w:t>
            </w:r>
            <w:r w:rsidRPr="00AD23FB">
              <w:rPr>
                <w:rFonts w:ascii="Times New Roman" w:hAnsi="Times New Roman"/>
                <w:sz w:val="26"/>
                <w:szCs w:val="28"/>
                <w:lang w:eastAsia="en-GB"/>
              </w:rPr>
              <w:t>.</w:t>
            </w:r>
            <w:r w:rsidR="00084A54">
              <w:rPr>
                <w:rFonts w:ascii="Times New Roman" w:hAnsi="Times New Roman"/>
                <w:sz w:val="26"/>
                <w:szCs w:val="28"/>
                <w:lang w:eastAsia="en-GB"/>
              </w:rPr>
              <w:t> </w:t>
            </w:r>
            <w:r w:rsidR="00A53BD9" w:rsidRPr="00AD23FB">
              <w:rPr>
                <w:rFonts w:ascii="Times New Roman" w:hAnsi="Times New Roman"/>
                <w:sz w:val="26"/>
                <w:szCs w:val="28"/>
                <w:lang w:eastAsia="en-GB"/>
              </w:rPr>
              <w:t>jūlijam</w:t>
            </w:r>
            <w:r w:rsidRPr="00AD23FB">
              <w:rPr>
                <w:rFonts w:ascii="Times New Roman" w:hAnsi="Times New Roman"/>
                <w:sz w:val="26"/>
                <w:szCs w:val="28"/>
                <w:lang w:eastAsia="en-GB"/>
              </w:rPr>
              <w:t xml:space="preserve"> organizētas:</w:t>
            </w:r>
          </w:p>
          <w:p w14:paraId="63D6C34D" w14:textId="23EAC487" w:rsidR="00655813" w:rsidRPr="00AD23FB" w:rsidRDefault="00655813" w:rsidP="00655813">
            <w:pPr>
              <w:spacing w:after="0" w:line="240" w:lineRule="auto"/>
              <w:jc w:val="both"/>
              <w:rPr>
                <w:rFonts w:ascii="Times New Roman" w:hAnsi="Times New Roman"/>
                <w:sz w:val="26"/>
                <w:szCs w:val="28"/>
              </w:rPr>
            </w:pPr>
            <w:r w:rsidRPr="00AD23FB">
              <w:rPr>
                <w:rFonts w:ascii="Times New Roman" w:hAnsi="Times New Roman"/>
                <w:sz w:val="26"/>
                <w:szCs w:val="28"/>
              </w:rPr>
              <w:lastRenderedPageBreak/>
              <w:t xml:space="preserve"> -</w:t>
            </w:r>
            <w:r w:rsidR="00084A54">
              <w:rPr>
                <w:rFonts w:ascii="Times New Roman" w:hAnsi="Times New Roman"/>
                <w:sz w:val="26"/>
                <w:szCs w:val="28"/>
              </w:rPr>
              <w:t xml:space="preserve"> </w:t>
            </w:r>
            <w:r w:rsidR="00C41749" w:rsidRPr="00AD23FB">
              <w:rPr>
                <w:rFonts w:ascii="Times New Roman" w:hAnsi="Times New Roman"/>
                <w:sz w:val="26"/>
                <w:szCs w:val="28"/>
                <w:lang w:eastAsia="en-GB"/>
              </w:rPr>
              <w:t>38</w:t>
            </w:r>
            <w:r w:rsidR="00084A54">
              <w:rPr>
                <w:rFonts w:ascii="Times New Roman" w:hAnsi="Times New Roman"/>
                <w:sz w:val="26"/>
                <w:szCs w:val="28"/>
                <w:lang w:eastAsia="en-GB"/>
              </w:rPr>
              <w:t> </w:t>
            </w:r>
            <w:r w:rsidRPr="00AD23FB">
              <w:rPr>
                <w:rFonts w:ascii="Times New Roman" w:hAnsi="Times New Roman"/>
                <w:sz w:val="26"/>
                <w:szCs w:val="28"/>
                <w:lang w:eastAsia="en-GB"/>
              </w:rPr>
              <w:t xml:space="preserve">studiju programmu licencēšanas vizītes augstskolās/ koledžās, no kurām </w:t>
            </w:r>
            <w:r w:rsidR="00C41749" w:rsidRPr="00AD23FB">
              <w:rPr>
                <w:rFonts w:ascii="Times New Roman" w:hAnsi="Times New Roman"/>
                <w:bCs/>
                <w:sz w:val="26"/>
                <w:szCs w:val="28"/>
                <w:lang w:eastAsia="en-GB"/>
              </w:rPr>
              <w:t>29</w:t>
            </w:r>
            <w:r w:rsidR="00084A54">
              <w:rPr>
                <w:rFonts w:ascii="Times New Roman" w:hAnsi="Times New Roman"/>
                <w:bCs/>
                <w:sz w:val="26"/>
                <w:szCs w:val="28"/>
                <w:lang w:eastAsia="en-GB"/>
              </w:rPr>
              <w:t xml:space="preserve"> vizītēs </w:t>
            </w:r>
            <w:r w:rsidRPr="00AD23FB">
              <w:rPr>
                <w:rFonts w:ascii="Times New Roman" w:hAnsi="Times New Roman"/>
                <w:bCs/>
                <w:sz w:val="26"/>
                <w:szCs w:val="28"/>
                <w:lang w:eastAsia="en-GB"/>
              </w:rPr>
              <w:t xml:space="preserve">nepiedalījās LIZDA deleģēti novērotāji un </w:t>
            </w:r>
            <w:r w:rsidR="00C41749" w:rsidRPr="00AD23FB">
              <w:rPr>
                <w:rFonts w:ascii="Times New Roman" w:hAnsi="Times New Roman"/>
                <w:bCs/>
                <w:sz w:val="26"/>
                <w:szCs w:val="28"/>
                <w:lang w:eastAsia="en-GB"/>
              </w:rPr>
              <w:t>33</w:t>
            </w:r>
            <w:r w:rsidR="00084A54">
              <w:rPr>
                <w:rFonts w:ascii="Times New Roman" w:hAnsi="Times New Roman"/>
                <w:bCs/>
                <w:sz w:val="26"/>
                <w:szCs w:val="28"/>
                <w:lang w:eastAsia="en-GB"/>
              </w:rPr>
              <w:t xml:space="preserve"> vizītēs </w:t>
            </w:r>
            <w:r w:rsidRPr="00AD23FB">
              <w:rPr>
                <w:rFonts w:ascii="Times New Roman" w:hAnsi="Times New Roman"/>
                <w:bCs/>
                <w:sz w:val="26"/>
                <w:szCs w:val="28"/>
                <w:lang w:eastAsia="en-GB"/>
              </w:rPr>
              <w:t>nepiedalījās LSA deleģēts novērotājs</w:t>
            </w:r>
            <w:r w:rsidR="00084A54">
              <w:rPr>
                <w:rFonts w:ascii="Times New Roman" w:hAnsi="Times New Roman"/>
                <w:bCs/>
                <w:sz w:val="26"/>
                <w:szCs w:val="28"/>
                <w:lang w:eastAsia="en-GB"/>
              </w:rPr>
              <w:t>;</w:t>
            </w:r>
          </w:p>
          <w:p w14:paraId="410F435B" w14:textId="00823854" w:rsidR="00655813" w:rsidRPr="00AD23FB" w:rsidRDefault="00655813" w:rsidP="00655813">
            <w:pPr>
              <w:spacing w:after="0" w:line="240" w:lineRule="auto"/>
              <w:jc w:val="both"/>
              <w:rPr>
                <w:rFonts w:ascii="Times New Roman" w:hAnsi="Times New Roman"/>
                <w:sz w:val="26"/>
                <w:szCs w:val="28"/>
              </w:rPr>
            </w:pPr>
            <w:r w:rsidRPr="00AD23FB">
              <w:rPr>
                <w:rFonts w:ascii="Times New Roman" w:hAnsi="Times New Roman"/>
                <w:sz w:val="26"/>
                <w:szCs w:val="28"/>
              </w:rPr>
              <w:t xml:space="preserve"> </w:t>
            </w:r>
            <w:r w:rsidRPr="00AD23FB">
              <w:rPr>
                <w:rFonts w:ascii="Times New Roman" w:hAnsi="Times New Roman"/>
                <w:sz w:val="26"/>
                <w:szCs w:val="28"/>
                <w:lang w:eastAsia="en-GB"/>
              </w:rPr>
              <w:t xml:space="preserve">- </w:t>
            </w:r>
            <w:r w:rsidR="00C41749" w:rsidRPr="00AD23FB">
              <w:rPr>
                <w:rFonts w:ascii="Times New Roman" w:hAnsi="Times New Roman"/>
                <w:sz w:val="26"/>
                <w:szCs w:val="28"/>
                <w:lang w:eastAsia="en-GB"/>
              </w:rPr>
              <w:t>trīs</w:t>
            </w:r>
            <w:r w:rsidRPr="00AD23FB">
              <w:rPr>
                <w:rFonts w:ascii="Times New Roman" w:hAnsi="Times New Roman"/>
                <w:sz w:val="26"/>
                <w:szCs w:val="28"/>
                <w:lang w:eastAsia="en-GB"/>
              </w:rPr>
              <w:t xml:space="preserve"> studiju virziena novērtēšanas vizīte</w:t>
            </w:r>
            <w:r w:rsidR="00C41749" w:rsidRPr="00AD23FB">
              <w:rPr>
                <w:rFonts w:ascii="Times New Roman" w:hAnsi="Times New Roman"/>
                <w:sz w:val="26"/>
                <w:szCs w:val="28"/>
                <w:lang w:eastAsia="en-GB"/>
              </w:rPr>
              <w:t>s</w:t>
            </w:r>
            <w:r w:rsidRPr="00AD23FB">
              <w:rPr>
                <w:rFonts w:ascii="Times New Roman" w:hAnsi="Times New Roman"/>
                <w:sz w:val="26"/>
                <w:szCs w:val="28"/>
                <w:lang w:eastAsia="en-GB"/>
              </w:rPr>
              <w:t>, kurā</w:t>
            </w:r>
            <w:r w:rsidR="00C41749" w:rsidRPr="00AD23FB">
              <w:rPr>
                <w:rFonts w:ascii="Times New Roman" w:hAnsi="Times New Roman"/>
                <w:sz w:val="26"/>
                <w:szCs w:val="28"/>
                <w:lang w:eastAsia="en-GB"/>
              </w:rPr>
              <w:t>s</w:t>
            </w:r>
            <w:r w:rsidRPr="00AD23FB">
              <w:rPr>
                <w:rFonts w:ascii="Times New Roman" w:hAnsi="Times New Roman"/>
                <w:sz w:val="26"/>
                <w:szCs w:val="28"/>
                <w:lang w:eastAsia="en-GB"/>
              </w:rPr>
              <w:t xml:space="preserve"> </w:t>
            </w:r>
            <w:r w:rsidRPr="00AD23FB">
              <w:rPr>
                <w:rFonts w:ascii="Times New Roman" w:hAnsi="Times New Roman"/>
                <w:bCs/>
                <w:sz w:val="26"/>
                <w:szCs w:val="28"/>
                <w:lang w:eastAsia="en-GB"/>
              </w:rPr>
              <w:t>nepiedalījās ne LIZDA, ne LSA novērotāji</w:t>
            </w:r>
            <w:r w:rsidRPr="00AD23FB">
              <w:rPr>
                <w:rFonts w:ascii="Times New Roman" w:hAnsi="Times New Roman"/>
                <w:sz w:val="26"/>
                <w:szCs w:val="28"/>
                <w:lang w:eastAsia="en-GB"/>
              </w:rPr>
              <w:t>.</w:t>
            </w:r>
          </w:p>
          <w:p w14:paraId="0B3929A1" w14:textId="680010C7" w:rsidR="00541C3B" w:rsidRDefault="00F0644E" w:rsidP="00541C3B">
            <w:pPr>
              <w:spacing w:after="0" w:line="240" w:lineRule="auto"/>
              <w:jc w:val="both"/>
              <w:rPr>
                <w:rFonts w:ascii="Times New Roman" w:hAnsi="Times New Roman"/>
                <w:sz w:val="26"/>
                <w:szCs w:val="28"/>
              </w:rPr>
            </w:pPr>
            <w:r w:rsidRPr="00AD23FB">
              <w:rPr>
                <w:rFonts w:ascii="Times New Roman" w:hAnsi="Times New Roman"/>
                <w:sz w:val="26"/>
                <w:szCs w:val="28"/>
              </w:rPr>
              <w:t>Novērotāju nepiedalīšanās ekspertu darba grupās ir procesuāls pārkāpums</w:t>
            </w:r>
            <w:r w:rsidR="00084A54">
              <w:rPr>
                <w:rFonts w:ascii="Times New Roman" w:hAnsi="Times New Roman"/>
                <w:sz w:val="26"/>
                <w:szCs w:val="28"/>
              </w:rPr>
              <w:t>,</w:t>
            </w:r>
            <w:r w:rsidRPr="00AD23FB">
              <w:rPr>
                <w:rFonts w:ascii="Times New Roman" w:hAnsi="Times New Roman"/>
                <w:sz w:val="26"/>
                <w:szCs w:val="28"/>
              </w:rPr>
              <w:t xml:space="preserve"> un tādējādi LIZDA vai LSA deleģēt</w:t>
            </w:r>
            <w:r w:rsidR="00084A54">
              <w:rPr>
                <w:rFonts w:ascii="Times New Roman" w:hAnsi="Times New Roman"/>
                <w:sz w:val="26"/>
                <w:szCs w:val="28"/>
              </w:rPr>
              <w:t>a</w:t>
            </w:r>
            <w:r w:rsidRPr="00AD23FB">
              <w:rPr>
                <w:rFonts w:ascii="Times New Roman" w:hAnsi="Times New Roman"/>
                <w:sz w:val="26"/>
                <w:szCs w:val="28"/>
              </w:rPr>
              <w:t xml:space="preserve"> pārstāv</w:t>
            </w:r>
            <w:r w:rsidR="00084A54">
              <w:rPr>
                <w:rFonts w:ascii="Times New Roman" w:hAnsi="Times New Roman"/>
                <w:sz w:val="26"/>
                <w:szCs w:val="28"/>
              </w:rPr>
              <w:t xml:space="preserve">ja nepiedalīšanās ekspertu darba grupas darbā </w:t>
            </w:r>
            <w:r w:rsidRPr="00AD23FB">
              <w:rPr>
                <w:rFonts w:ascii="Times New Roman" w:hAnsi="Times New Roman"/>
                <w:sz w:val="26"/>
                <w:szCs w:val="28"/>
              </w:rPr>
              <w:t xml:space="preserve">ir pamats </w:t>
            </w:r>
            <w:r w:rsidR="00084A54">
              <w:rPr>
                <w:rFonts w:ascii="Times New Roman" w:hAnsi="Times New Roman"/>
                <w:sz w:val="26"/>
                <w:szCs w:val="28"/>
              </w:rPr>
              <w:t xml:space="preserve">attiecīgo </w:t>
            </w:r>
            <w:r w:rsidRPr="00AD23FB">
              <w:rPr>
                <w:rFonts w:ascii="Times New Roman" w:hAnsi="Times New Roman"/>
                <w:sz w:val="26"/>
                <w:szCs w:val="28"/>
              </w:rPr>
              <w:t xml:space="preserve">lēmumu apstrīdēt un </w:t>
            </w:r>
            <w:r w:rsidR="00FD123F" w:rsidRPr="00AD23FB">
              <w:rPr>
                <w:rFonts w:ascii="Times New Roman" w:hAnsi="Times New Roman"/>
                <w:sz w:val="26"/>
                <w:szCs w:val="28"/>
              </w:rPr>
              <w:t>pārsūdzēt</w:t>
            </w:r>
            <w:r w:rsidR="00DB5392" w:rsidRPr="00AD23FB">
              <w:rPr>
                <w:rFonts w:ascii="Times New Roman" w:hAnsi="Times New Roman"/>
                <w:sz w:val="26"/>
                <w:szCs w:val="28"/>
              </w:rPr>
              <w:t>.</w:t>
            </w:r>
            <w:r w:rsidR="00655813" w:rsidRPr="00AD23FB">
              <w:rPr>
                <w:rFonts w:ascii="Times New Roman" w:hAnsi="Times New Roman"/>
                <w:sz w:val="26"/>
                <w:szCs w:val="28"/>
              </w:rPr>
              <w:t xml:space="preserve"> </w:t>
            </w:r>
          </w:p>
          <w:p w14:paraId="38BE11CB" w14:textId="77777777" w:rsidR="00217B35" w:rsidRPr="00AD23FB" w:rsidRDefault="00217B35" w:rsidP="00541C3B">
            <w:pPr>
              <w:spacing w:after="0" w:line="240" w:lineRule="auto"/>
              <w:jc w:val="both"/>
              <w:rPr>
                <w:rFonts w:ascii="Times New Roman" w:hAnsi="Times New Roman"/>
                <w:sz w:val="26"/>
                <w:szCs w:val="28"/>
              </w:rPr>
            </w:pPr>
          </w:p>
          <w:p w14:paraId="0CEDFE73" w14:textId="781E5AA9" w:rsidR="0090758C" w:rsidRPr="00AD23FB" w:rsidRDefault="0090758C" w:rsidP="0090758C">
            <w:pPr>
              <w:spacing w:after="0" w:line="240" w:lineRule="auto"/>
              <w:jc w:val="both"/>
              <w:rPr>
                <w:rFonts w:ascii="Times New Roman" w:hAnsi="Times New Roman"/>
                <w:sz w:val="26"/>
                <w:szCs w:val="28"/>
                <w:shd w:val="clear" w:color="auto" w:fill="FFFFFF"/>
              </w:rPr>
            </w:pPr>
            <w:r w:rsidRPr="00AD23FB">
              <w:rPr>
                <w:rFonts w:ascii="Times New Roman" w:hAnsi="Times New Roman"/>
                <w:sz w:val="26"/>
                <w:szCs w:val="28"/>
              </w:rPr>
              <w:t>Saskaņā ar Noteikumu Nr. </w:t>
            </w:r>
            <w:r w:rsidR="00217B35" w:rsidRPr="00AD23FB">
              <w:rPr>
                <w:rFonts w:ascii="Times New Roman" w:hAnsi="Times New Roman"/>
                <w:sz w:val="26"/>
                <w:szCs w:val="28"/>
              </w:rPr>
              <w:t>79</w:t>
            </w:r>
            <w:r w:rsidR="00217B35">
              <w:rPr>
                <w:rFonts w:ascii="Times New Roman" w:hAnsi="Times New Roman"/>
                <w:sz w:val="26"/>
                <w:szCs w:val="28"/>
              </w:rPr>
              <w:t>3</w:t>
            </w:r>
            <w:r w:rsidR="00217B35" w:rsidRPr="00AD23FB">
              <w:rPr>
                <w:rFonts w:ascii="Times New Roman" w:hAnsi="Times New Roman"/>
                <w:sz w:val="26"/>
                <w:szCs w:val="28"/>
              </w:rPr>
              <w:t xml:space="preserve"> </w:t>
            </w:r>
            <w:r w:rsidRPr="00AD23FB">
              <w:rPr>
                <w:rFonts w:ascii="Times New Roman" w:hAnsi="Times New Roman"/>
                <w:sz w:val="26"/>
                <w:szCs w:val="28"/>
              </w:rPr>
              <w:t xml:space="preserve">28. punktā noteikto </w:t>
            </w:r>
            <w:r w:rsidR="00217B35">
              <w:rPr>
                <w:rFonts w:ascii="Times New Roman" w:hAnsi="Times New Roman"/>
                <w:sz w:val="26"/>
                <w:szCs w:val="28"/>
                <w:shd w:val="clear" w:color="auto" w:fill="FFFFFF"/>
              </w:rPr>
              <w:t>p</w:t>
            </w:r>
            <w:r w:rsidR="00217B35" w:rsidRPr="00AD23FB">
              <w:rPr>
                <w:rFonts w:ascii="Times New Roman" w:hAnsi="Times New Roman"/>
                <w:sz w:val="26"/>
                <w:szCs w:val="28"/>
                <w:shd w:val="clear" w:color="auto" w:fill="FFFFFF"/>
              </w:rPr>
              <w:t xml:space="preserve">rofesionālās </w:t>
            </w:r>
            <w:r w:rsidRPr="00AD23FB">
              <w:rPr>
                <w:rFonts w:ascii="Times New Roman" w:hAnsi="Times New Roman"/>
                <w:sz w:val="26"/>
                <w:szCs w:val="28"/>
                <w:shd w:val="clear" w:color="auto" w:fill="FFFFFF"/>
              </w:rPr>
              <w:t>kvalifikācijas atzīšanas koordinators mēneša laikā pēc centra pieprasījuma saņemšanas sniedz viedokli par studiju virzienam atbilstošo studiju programmu, kas saistīta ar reglamentētu profesiju. Ja studiju virzienā ir studiju programmas, kas saistītas ar reglamentēto profesiju, profesionālās kvalifikācijas atzīšanas koordinatoram ir pienākums piedalīties Studiju kvalitātes komisijas sēdēs novērotāja statusā.</w:t>
            </w:r>
          </w:p>
          <w:p w14:paraId="123B6DBF" w14:textId="06337D29" w:rsidR="0090758C" w:rsidRPr="00AD23FB" w:rsidRDefault="00E75498" w:rsidP="00541C3B">
            <w:pPr>
              <w:spacing w:after="0" w:line="240" w:lineRule="auto"/>
              <w:jc w:val="both"/>
              <w:rPr>
                <w:rFonts w:ascii="Times New Roman" w:hAnsi="Times New Roman"/>
                <w:sz w:val="26"/>
                <w:szCs w:val="28"/>
              </w:rPr>
            </w:pPr>
            <w:r>
              <w:rPr>
                <w:rFonts w:ascii="Times New Roman" w:hAnsi="Times New Roman"/>
                <w:sz w:val="26"/>
                <w:szCs w:val="28"/>
              </w:rPr>
              <w:t xml:space="preserve"> </w:t>
            </w:r>
          </w:p>
          <w:p w14:paraId="0CDEAEFB" w14:textId="77777777" w:rsidR="00B15B51" w:rsidRPr="00AD23FB" w:rsidRDefault="001532AA" w:rsidP="00B15B51">
            <w:pPr>
              <w:spacing w:after="0" w:line="240" w:lineRule="auto"/>
              <w:jc w:val="both"/>
              <w:rPr>
                <w:rFonts w:ascii="Times New Roman" w:hAnsi="Times New Roman"/>
                <w:sz w:val="26"/>
                <w:szCs w:val="28"/>
                <w:shd w:val="clear" w:color="auto" w:fill="FFFFFF"/>
              </w:rPr>
            </w:pPr>
            <w:r w:rsidRPr="00AD23FB">
              <w:rPr>
                <w:rFonts w:ascii="Times New Roman" w:hAnsi="Times New Roman"/>
                <w:sz w:val="26"/>
                <w:szCs w:val="28"/>
              </w:rPr>
              <w:t>Projekta Nr. 1 1. punkts paredz</w:t>
            </w:r>
            <w:r w:rsidR="00F93ADB" w:rsidRPr="00AD23FB">
              <w:rPr>
                <w:rFonts w:ascii="Times New Roman" w:hAnsi="Times New Roman"/>
                <w:sz w:val="26"/>
                <w:szCs w:val="28"/>
              </w:rPr>
              <w:t xml:space="preserve"> izteikt 2.3. apakšpunktu jaunā redakcijā, papildus nosakot, ka gadījumā, j</w:t>
            </w:r>
            <w:r w:rsidR="00F93ADB" w:rsidRPr="00AD23FB">
              <w:rPr>
                <w:rFonts w:ascii="Times New Roman" w:hAnsi="Times New Roman"/>
                <w:sz w:val="26"/>
                <w:szCs w:val="28"/>
                <w:shd w:val="clear" w:color="auto" w:fill="FFFFFF"/>
              </w:rPr>
              <w:t xml:space="preserve">a izmaiņu rezultātā kādā no studiju virzienā iekļautajām studiju programmām paredzēts </w:t>
            </w:r>
            <w:r w:rsidR="00F93ADB" w:rsidRPr="00AD23FB">
              <w:rPr>
                <w:rFonts w:ascii="Times New Roman" w:hAnsi="Times New Roman"/>
                <w:sz w:val="26"/>
                <w:szCs w:val="28"/>
              </w:rPr>
              <w:t xml:space="preserve">piešķirt reglamentētas profesijas kvalifikāciju vai izmaiņas skar studiju programmu, kurā jau piešķir reglamentētas profesijas kvalifikāciju, tad studiju kvalitātes komisija par to informē </w:t>
            </w:r>
            <w:r w:rsidR="00F93ADB" w:rsidRPr="00AD23FB">
              <w:rPr>
                <w:rFonts w:ascii="Times New Roman" w:hAnsi="Times New Roman"/>
                <w:sz w:val="26"/>
                <w:szCs w:val="28"/>
                <w:shd w:val="clear" w:color="auto" w:fill="FFFFFF"/>
              </w:rPr>
              <w:t>profesionālās kvalifikācijas atzīšanas koordinatoru.</w:t>
            </w:r>
          </w:p>
          <w:p w14:paraId="7AD81EEC" w14:textId="77777777" w:rsidR="00E75498" w:rsidRDefault="00A60514" w:rsidP="00B15B51">
            <w:pPr>
              <w:spacing w:after="0" w:line="240" w:lineRule="auto"/>
              <w:jc w:val="both"/>
              <w:rPr>
                <w:rFonts w:ascii="Times New Roman" w:hAnsi="Times New Roman"/>
                <w:sz w:val="26"/>
                <w:szCs w:val="28"/>
              </w:rPr>
            </w:pPr>
            <w:r w:rsidRPr="00AD23FB">
              <w:rPr>
                <w:rFonts w:ascii="Times New Roman" w:hAnsi="Times New Roman"/>
                <w:sz w:val="26"/>
                <w:szCs w:val="28"/>
                <w:shd w:val="clear" w:color="auto" w:fill="FFFFFF"/>
              </w:rPr>
              <w:t>Šādas izmaiņas normatīvajā regulējumā ir nepieciešamas, lai nodrošinātu reglamentētās profesijas profesionālās kvalifikācijas satura atbilstību</w:t>
            </w:r>
            <w:r w:rsidRPr="00AD23FB">
              <w:rPr>
                <w:rFonts w:ascii="Times New Roman" w:hAnsi="Times New Roman"/>
                <w:sz w:val="26"/>
                <w:szCs w:val="28"/>
              </w:rPr>
              <w:t xml:space="preserve"> Eiropas Parlamenta un Padomes 2005.gada 7.septembra direktīvas </w:t>
            </w:r>
            <w:hyperlink r:id="rId13" w:tgtFrame="_blank" w:history="1">
              <w:r w:rsidRPr="00AD23FB">
                <w:rPr>
                  <w:rFonts w:ascii="Times New Roman" w:hAnsi="Times New Roman"/>
                  <w:sz w:val="26"/>
                  <w:szCs w:val="28"/>
                </w:rPr>
                <w:t>2005/36/EK</w:t>
              </w:r>
            </w:hyperlink>
            <w:r w:rsidRPr="00AD23FB">
              <w:rPr>
                <w:rFonts w:ascii="Times New Roman" w:hAnsi="Times New Roman"/>
                <w:sz w:val="26"/>
                <w:szCs w:val="28"/>
              </w:rPr>
              <w:t xml:space="preserve"> par profesionālo kvalifikāciju atzīšanu (turpmāk – direktīva) prasībām (attiecināmos gadījumos) un tas tiktu paziņots vienotā tirgus informācijas sistēmā (turpmāk – IMI sistēmā). IMI sistēmā, kur piekļuve ir tikai autorizētiem lietotājiem, tostarp profesionālās kvalifikācijas atzīšanas koordinatoram, tiek paziņots studiju programmas saturs profesionālās kvalifikācijas ieguvei reglamentētajās profesijās. Ja augstskola pēc vairākiem gadiem veic grozījumus attiecīgajā studiju programmā, par jauno grozījumu satura atbilstību iepriekš veiktajam paziņojumam nevar pārliecināties ne augstskola, ne studiju programmas grozījumus vērtējošie eksperti, ne Studiju akreditācijas komisijas locekļi, jo nevienam no viņiem var nebūt piekļuves IMI sistēmai, līdz ar to nav iespējams noskaidrot, vai grozījumi atbilst paziņotajam studiju programmas saturam. Rodas risks, ka tiek īstenota </w:t>
            </w:r>
            <w:r w:rsidRPr="00AD23FB">
              <w:rPr>
                <w:rFonts w:ascii="Times New Roman" w:hAnsi="Times New Roman"/>
                <w:sz w:val="26"/>
                <w:szCs w:val="28"/>
              </w:rPr>
              <w:lastRenderedPageBreak/>
              <w:t xml:space="preserve">studiju programma, kuras saturs neatbilst tam saturam, ko Latvija ir paziņojusi IMI sistēmā. Ja persona ieguvusi diplomu, kura diploma pielikuma saturs neatbilst IMI sistēmā paziņotajai studiju programmai, viņa var saskarties ar grūtībām atzīt savu profesionālo kvalifikāciju ārvalstīs, un īstenot savas tiesības piedalīties brīvā darbaspēka kustībā Eiropas Savienībā.  </w:t>
            </w:r>
          </w:p>
          <w:p w14:paraId="4B21BC10" w14:textId="50274CC7" w:rsidR="00B15B51" w:rsidRPr="00AD23FB" w:rsidRDefault="00B15B51" w:rsidP="00B15B51">
            <w:pPr>
              <w:spacing w:after="0" w:line="240" w:lineRule="auto"/>
              <w:jc w:val="both"/>
              <w:rPr>
                <w:rFonts w:ascii="Times New Roman" w:hAnsi="Times New Roman"/>
                <w:bCs/>
                <w:sz w:val="26"/>
                <w:szCs w:val="28"/>
              </w:rPr>
            </w:pPr>
            <w:r w:rsidRPr="00AD23FB">
              <w:rPr>
                <w:rFonts w:ascii="Times New Roman" w:hAnsi="Times New Roman"/>
                <w:sz w:val="26"/>
                <w:szCs w:val="28"/>
              </w:rPr>
              <w:t xml:space="preserve">Vēl projekts Nr.1 paredz, ka Noteikumu Nr. 793 </w:t>
            </w:r>
            <w:r w:rsidRPr="00AD23FB">
              <w:rPr>
                <w:rFonts w:ascii="Times New Roman" w:hAnsi="Times New Roman"/>
                <w:bCs/>
                <w:sz w:val="26"/>
                <w:szCs w:val="28"/>
              </w:rPr>
              <w:t>18. punkta pirmajā teikumā tiek svītroti vārdi</w:t>
            </w:r>
            <w:r w:rsidR="009D357C" w:rsidRPr="00AD23FB">
              <w:rPr>
                <w:rFonts w:ascii="Times New Roman" w:hAnsi="Times New Roman"/>
                <w:bCs/>
                <w:sz w:val="26"/>
                <w:szCs w:val="28"/>
              </w:rPr>
              <w:t xml:space="preserve"> „sešu mēnešu laikā”  (3.punkts).</w:t>
            </w:r>
          </w:p>
          <w:p w14:paraId="24BA786C" w14:textId="0328CDA7" w:rsidR="00B15B51" w:rsidRPr="00AD23FB" w:rsidRDefault="00B15B51" w:rsidP="00B15B51">
            <w:pPr>
              <w:spacing w:after="0" w:line="240" w:lineRule="auto"/>
              <w:jc w:val="both"/>
              <w:rPr>
                <w:rFonts w:ascii="Times New Roman" w:hAnsi="Times New Roman"/>
                <w:bCs/>
                <w:sz w:val="26"/>
                <w:szCs w:val="28"/>
              </w:rPr>
            </w:pPr>
            <w:r w:rsidRPr="00AD23FB">
              <w:rPr>
                <w:rFonts w:ascii="Times New Roman" w:hAnsi="Times New Roman"/>
                <w:bCs/>
                <w:sz w:val="26"/>
                <w:szCs w:val="28"/>
              </w:rPr>
              <w:t>Minēt</w:t>
            </w:r>
            <w:r w:rsidR="009D357C" w:rsidRPr="00AD23FB">
              <w:rPr>
                <w:rFonts w:ascii="Times New Roman" w:hAnsi="Times New Roman"/>
                <w:bCs/>
                <w:sz w:val="26"/>
                <w:szCs w:val="28"/>
              </w:rPr>
              <w:t>ā</w:t>
            </w:r>
            <w:r w:rsidRPr="00AD23FB">
              <w:rPr>
                <w:rFonts w:ascii="Times New Roman" w:hAnsi="Times New Roman"/>
                <w:bCs/>
                <w:sz w:val="26"/>
                <w:szCs w:val="28"/>
              </w:rPr>
              <w:t xml:space="preserve"> </w:t>
            </w:r>
            <w:r w:rsidR="009D357C" w:rsidRPr="00AD23FB">
              <w:rPr>
                <w:rFonts w:ascii="Times New Roman" w:hAnsi="Times New Roman"/>
                <w:bCs/>
                <w:sz w:val="26"/>
                <w:szCs w:val="28"/>
              </w:rPr>
              <w:t xml:space="preserve">sešu mēnešu termiņa svītrošana ir nepieciešama un pamatota ar to, ka saskaņā ar Noteikumu Nr. 793 </w:t>
            </w:r>
            <w:bookmarkStart w:id="1" w:name="n-677964"/>
            <w:bookmarkStart w:id="2" w:name="n4"/>
            <w:bookmarkEnd w:id="1"/>
            <w:bookmarkEnd w:id="2"/>
            <w:r w:rsidR="000A0E36" w:rsidRPr="00AD23FB">
              <w:rPr>
                <w:rFonts w:ascii="Times New Roman" w:hAnsi="Times New Roman"/>
                <w:bCs/>
                <w:sz w:val="26"/>
                <w:szCs w:val="28"/>
              </w:rPr>
              <w:t>10. punktā</w:t>
            </w:r>
            <w:r w:rsidR="009D357C" w:rsidRPr="00AD23FB">
              <w:rPr>
                <w:rFonts w:ascii="Times New Roman" w:hAnsi="Times New Roman"/>
                <w:bCs/>
                <w:sz w:val="26"/>
                <w:szCs w:val="28"/>
              </w:rPr>
              <w:t xml:space="preserve"> noteikto, augstskola vai koledža</w:t>
            </w:r>
            <w:r w:rsidRPr="00AD23FB">
              <w:rPr>
                <w:rFonts w:ascii="Times New Roman" w:hAnsi="Times New Roman"/>
                <w:bCs/>
                <w:sz w:val="26"/>
                <w:szCs w:val="28"/>
              </w:rPr>
              <w:t xml:space="preserve"> </w:t>
            </w:r>
            <w:r w:rsidR="009D357C" w:rsidRPr="00AD23FB">
              <w:rPr>
                <w:rFonts w:ascii="Times New Roman" w:hAnsi="Times New Roman"/>
                <w:bCs/>
                <w:sz w:val="26"/>
                <w:szCs w:val="28"/>
              </w:rPr>
              <w:t xml:space="preserve">drīkst izvēlēties </w:t>
            </w:r>
            <w:r w:rsidR="009D357C" w:rsidRPr="00AD23FB">
              <w:rPr>
                <w:rFonts w:ascii="Times New Roman" w:hAnsi="Times New Roman"/>
                <w:sz w:val="26"/>
                <w:szCs w:val="28"/>
              </w:rPr>
              <w:t>studiju virziena akreditācijas iestādi, proti, AIC vai kādu Eiropas augstākās izglītības kvalitātes nodrošināšanas reģistrā iekļauto kvalitātes nodrošināšanas aģentūru.</w:t>
            </w:r>
            <w:r w:rsidR="009D357C" w:rsidRPr="00AD23FB">
              <w:rPr>
                <w:rFonts w:ascii="Times New Roman" w:hAnsi="Times New Roman"/>
                <w:bCs/>
                <w:sz w:val="26"/>
                <w:szCs w:val="28"/>
              </w:rPr>
              <w:t xml:space="preserve"> </w:t>
            </w:r>
          </w:p>
          <w:p w14:paraId="33016ECC" w14:textId="3F88F962" w:rsidR="00E75498" w:rsidRDefault="00964AFB" w:rsidP="00DA2147">
            <w:pPr>
              <w:spacing w:after="0" w:line="240" w:lineRule="auto"/>
              <w:jc w:val="both"/>
              <w:rPr>
                <w:rFonts w:ascii="Times New Roman" w:hAnsi="Times New Roman"/>
                <w:sz w:val="26"/>
                <w:szCs w:val="28"/>
              </w:rPr>
            </w:pPr>
            <w:r w:rsidRPr="00AD23FB">
              <w:rPr>
                <w:rFonts w:ascii="Times New Roman" w:hAnsi="Times New Roman"/>
                <w:bCs/>
                <w:sz w:val="26"/>
                <w:szCs w:val="28"/>
              </w:rPr>
              <w:t xml:space="preserve">Līdz ar to  nav lietderīgi noteikt jebkādu termiņu </w:t>
            </w:r>
            <w:r w:rsidR="007666BE" w:rsidRPr="00AD23FB">
              <w:rPr>
                <w:rFonts w:ascii="Times New Roman" w:hAnsi="Times New Roman"/>
                <w:sz w:val="26"/>
                <w:szCs w:val="28"/>
              </w:rPr>
              <w:t>ekspertu grupas kopīgā atzinuma sagatavošanai</w:t>
            </w:r>
            <w:r w:rsidRPr="00AD23FB">
              <w:rPr>
                <w:rFonts w:ascii="Times New Roman" w:hAnsi="Times New Roman"/>
                <w:bCs/>
                <w:sz w:val="26"/>
                <w:szCs w:val="28"/>
              </w:rPr>
              <w:t xml:space="preserve">, jo </w:t>
            </w:r>
            <w:r w:rsidR="00BB0E6D" w:rsidRPr="00AD23FB">
              <w:rPr>
                <w:rFonts w:ascii="Times New Roman" w:hAnsi="Times New Roman"/>
                <w:bCs/>
                <w:sz w:val="26"/>
                <w:szCs w:val="28"/>
              </w:rPr>
              <w:t xml:space="preserve">saskaņā ar Noteikumu Nr. 793 12. punktu, augstskola vai koledža un </w:t>
            </w:r>
            <w:r w:rsidR="00BB0E6D" w:rsidRPr="00AD23FB">
              <w:rPr>
                <w:rFonts w:ascii="Times New Roman" w:hAnsi="Times New Roman"/>
                <w:sz w:val="26"/>
                <w:szCs w:val="28"/>
              </w:rPr>
              <w:t xml:space="preserve">aģentūra, abpusēji vienojoties, slēdz līgumu par studiju virziena novērtēšanu. Līgumā atrunā augstskolas vai koledžas un aģentūras tiesības, pienākumus, atbildību un pakalpojuma samaksas kārtību. </w:t>
            </w:r>
          </w:p>
          <w:p w14:paraId="2216671E" w14:textId="148019B4" w:rsidR="006C0876" w:rsidRPr="00AD23FB" w:rsidRDefault="003B42F1" w:rsidP="00C75552">
            <w:pPr>
              <w:spacing w:after="0" w:line="240" w:lineRule="auto"/>
              <w:jc w:val="both"/>
              <w:rPr>
                <w:rFonts w:ascii="Times New Roman" w:hAnsi="Times New Roman"/>
                <w:sz w:val="26"/>
                <w:szCs w:val="28"/>
              </w:rPr>
            </w:pPr>
            <w:r w:rsidRPr="00AD23FB">
              <w:rPr>
                <w:rFonts w:ascii="Times New Roman" w:hAnsi="Times New Roman"/>
                <w:sz w:val="26"/>
                <w:szCs w:val="28"/>
              </w:rPr>
              <w:t xml:space="preserve">  </w:t>
            </w:r>
            <w:r w:rsidR="006C0876" w:rsidRPr="00AD23FB">
              <w:rPr>
                <w:rFonts w:ascii="Times New Roman" w:hAnsi="Times New Roman"/>
                <w:sz w:val="26"/>
                <w:szCs w:val="28"/>
              </w:rPr>
              <w:t xml:space="preserve"> </w:t>
            </w:r>
          </w:p>
        </w:tc>
      </w:tr>
      <w:tr w:rsidR="00BB0E6D" w:rsidRPr="00084355" w14:paraId="22166723" w14:textId="77777777" w:rsidTr="00714E76">
        <w:tc>
          <w:tcPr>
            <w:tcW w:w="292" w:type="pct"/>
          </w:tcPr>
          <w:p w14:paraId="22166720" w14:textId="1DDB7DB1" w:rsidR="00392D00" w:rsidRPr="00AD23FB" w:rsidRDefault="00363BB6" w:rsidP="00354869">
            <w:pPr>
              <w:spacing w:after="0" w:line="240" w:lineRule="auto"/>
              <w:jc w:val="both"/>
              <w:rPr>
                <w:rFonts w:ascii="Times New Roman" w:eastAsia="Times New Roman" w:hAnsi="Times New Roman"/>
                <w:sz w:val="26"/>
                <w:szCs w:val="28"/>
                <w:lang w:eastAsia="lv-LV"/>
              </w:rPr>
            </w:pPr>
            <w:r w:rsidRPr="00AD23FB">
              <w:rPr>
                <w:rFonts w:ascii="Times New Roman" w:eastAsia="Times New Roman" w:hAnsi="Times New Roman"/>
                <w:sz w:val="26"/>
                <w:szCs w:val="28"/>
                <w:lang w:eastAsia="lv-LV"/>
              </w:rPr>
              <w:lastRenderedPageBreak/>
              <w:t>3.</w:t>
            </w:r>
          </w:p>
        </w:tc>
        <w:tc>
          <w:tcPr>
            <w:tcW w:w="1061" w:type="pct"/>
          </w:tcPr>
          <w:p w14:paraId="22166721" w14:textId="20B6296A" w:rsidR="004B33BE" w:rsidRPr="00AD23FB" w:rsidRDefault="00363BB6" w:rsidP="005E3784">
            <w:pPr>
              <w:spacing w:after="0" w:line="240" w:lineRule="auto"/>
              <w:jc w:val="both"/>
              <w:rPr>
                <w:rFonts w:ascii="Times New Roman" w:eastAsia="Times New Roman" w:hAnsi="Times New Roman"/>
                <w:sz w:val="26"/>
                <w:szCs w:val="28"/>
                <w:lang w:eastAsia="lv-LV"/>
              </w:rPr>
            </w:pPr>
            <w:r w:rsidRPr="00AD23FB">
              <w:rPr>
                <w:rFonts w:ascii="Times New Roman" w:eastAsia="Times New Roman" w:hAnsi="Times New Roman"/>
                <w:sz w:val="26"/>
                <w:szCs w:val="28"/>
                <w:lang w:eastAsia="lv-LV"/>
              </w:rPr>
              <w:t>Projekt</w:t>
            </w:r>
            <w:r w:rsidR="005E3784" w:rsidRPr="00AD23FB">
              <w:rPr>
                <w:rFonts w:ascii="Times New Roman" w:eastAsia="Times New Roman" w:hAnsi="Times New Roman"/>
                <w:sz w:val="26"/>
                <w:szCs w:val="28"/>
                <w:lang w:eastAsia="lv-LV"/>
              </w:rPr>
              <w:t>u</w:t>
            </w:r>
            <w:r w:rsidRPr="00AD23FB">
              <w:rPr>
                <w:rFonts w:ascii="Times New Roman" w:eastAsia="Times New Roman" w:hAnsi="Times New Roman"/>
                <w:sz w:val="26"/>
                <w:szCs w:val="28"/>
                <w:lang w:eastAsia="lv-LV"/>
              </w:rPr>
              <w:t xml:space="preserve"> izstrādē iesaistītās institūcijas un publiskas personas kapitālsabiedrības</w:t>
            </w:r>
          </w:p>
        </w:tc>
        <w:tc>
          <w:tcPr>
            <w:tcW w:w="3647" w:type="pct"/>
          </w:tcPr>
          <w:p w14:paraId="22166722" w14:textId="740939EC" w:rsidR="00392D00" w:rsidRPr="00AD23FB" w:rsidRDefault="005E3784" w:rsidP="005E3784">
            <w:pPr>
              <w:spacing w:after="0" w:line="240" w:lineRule="auto"/>
              <w:jc w:val="both"/>
              <w:rPr>
                <w:rFonts w:ascii="Times New Roman" w:eastAsia="Times New Roman" w:hAnsi="Times New Roman"/>
                <w:sz w:val="26"/>
                <w:szCs w:val="28"/>
                <w:lang w:eastAsia="lv-LV"/>
              </w:rPr>
            </w:pPr>
            <w:r w:rsidRPr="00AD23FB">
              <w:rPr>
                <w:rFonts w:ascii="Times New Roman" w:hAnsi="Times New Roman"/>
                <w:sz w:val="26"/>
                <w:szCs w:val="28"/>
              </w:rPr>
              <w:t>M</w:t>
            </w:r>
            <w:r w:rsidR="00E203D7" w:rsidRPr="00AD23FB">
              <w:rPr>
                <w:rFonts w:ascii="Times New Roman" w:hAnsi="Times New Roman"/>
                <w:sz w:val="26"/>
                <w:szCs w:val="28"/>
              </w:rPr>
              <w:t>inistrija un A</w:t>
            </w:r>
            <w:r w:rsidRPr="00AD23FB">
              <w:rPr>
                <w:rFonts w:ascii="Times New Roman" w:hAnsi="Times New Roman"/>
                <w:sz w:val="26"/>
                <w:szCs w:val="28"/>
              </w:rPr>
              <w:t>IC</w:t>
            </w:r>
            <w:r w:rsidR="00E203D7" w:rsidRPr="00AD23FB">
              <w:rPr>
                <w:rFonts w:ascii="Times New Roman" w:eastAsia="Times New Roman" w:hAnsi="Times New Roman"/>
                <w:bCs/>
                <w:sz w:val="26"/>
                <w:szCs w:val="28"/>
                <w:lang w:eastAsia="lv-LV"/>
              </w:rPr>
              <w:t xml:space="preserve"> </w:t>
            </w:r>
            <w:r w:rsidR="002435B9" w:rsidRPr="00AD23FB">
              <w:rPr>
                <w:rFonts w:ascii="Times New Roman" w:eastAsia="Times New Roman" w:hAnsi="Times New Roman"/>
                <w:bCs/>
                <w:sz w:val="26"/>
                <w:szCs w:val="28"/>
                <w:lang w:eastAsia="lv-LV"/>
              </w:rPr>
              <w:t>.</w:t>
            </w:r>
          </w:p>
        </w:tc>
      </w:tr>
      <w:tr w:rsidR="00BB0E6D" w:rsidRPr="00084355" w14:paraId="22166727" w14:textId="77777777" w:rsidTr="00714E76">
        <w:tc>
          <w:tcPr>
            <w:tcW w:w="292" w:type="pct"/>
          </w:tcPr>
          <w:p w14:paraId="22166724" w14:textId="77777777" w:rsidR="00392D00" w:rsidRPr="00AD23FB" w:rsidRDefault="00363BB6" w:rsidP="00354869">
            <w:pPr>
              <w:spacing w:after="0" w:line="240" w:lineRule="auto"/>
              <w:jc w:val="both"/>
              <w:rPr>
                <w:rFonts w:ascii="Times New Roman" w:eastAsia="Times New Roman" w:hAnsi="Times New Roman"/>
                <w:sz w:val="26"/>
                <w:szCs w:val="28"/>
                <w:lang w:eastAsia="lv-LV"/>
              </w:rPr>
            </w:pPr>
            <w:r w:rsidRPr="00AD23FB">
              <w:rPr>
                <w:rFonts w:ascii="Times New Roman" w:eastAsia="Times New Roman" w:hAnsi="Times New Roman"/>
                <w:sz w:val="26"/>
                <w:szCs w:val="28"/>
                <w:lang w:eastAsia="lv-LV"/>
              </w:rPr>
              <w:t>4.</w:t>
            </w:r>
          </w:p>
        </w:tc>
        <w:tc>
          <w:tcPr>
            <w:tcW w:w="1061" w:type="pct"/>
          </w:tcPr>
          <w:p w14:paraId="22166725" w14:textId="77777777" w:rsidR="00392D00" w:rsidRPr="00AD23FB" w:rsidRDefault="00363BB6" w:rsidP="00354869">
            <w:pPr>
              <w:spacing w:after="0" w:line="240" w:lineRule="auto"/>
              <w:jc w:val="both"/>
              <w:rPr>
                <w:rFonts w:ascii="Times New Roman" w:eastAsia="Times New Roman" w:hAnsi="Times New Roman"/>
                <w:sz w:val="26"/>
                <w:szCs w:val="28"/>
                <w:lang w:eastAsia="lv-LV"/>
              </w:rPr>
            </w:pPr>
            <w:r w:rsidRPr="00AD23FB">
              <w:rPr>
                <w:rFonts w:ascii="Times New Roman" w:eastAsia="Times New Roman" w:hAnsi="Times New Roman"/>
                <w:sz w:val="26"/>
                <w:szCs w:val="28"/>
                <w:lang w:eastAsia="lv-LV"/>
              </w:rPr>
              <w:t>Cita informācija</w:t>
            </w:r>
          </w:p>
        </w:tc>
        <w:tc>
          <w:tcPr>
            <w:tcW w:w="3647" w:type="pct"/>
          </w:tcPr>
          <w:p w14:paraId="22166726" w14:textId="77777777" w:rsidR="00577216" w:rsidRPr="00AD23FB" w:rsidRDefault="00363BB6" w:rsidP="00354869">
            <w:pPr>
              <w:spacing w:after="0" w:line="240" w:lineRule="auto"/>
              <w:jc w:val="both"/>
              <w:rPr>
                <w:rFonts w:ascii="Times New Roman" w:eastAsia="Times New Roman" w:hAnsi="Times New Roman"/>
                <w:sz w:val="26"/>
                <w:szCs w:val="28"/>
                <w:lang w:eastAsia="lv-LV"/>
              </w:rPr>
            </w:pPr>
            <w:r w:rsidRPr="00AD23FB">
              <w:rPr>
                <w:rFonts w:ascii="Times New Roman" w:eastAsia="Times New Roman" w:hAnsi="Times New Roman"/>
                <w:sz w:val="26"/>
                <w:szCs w:val="28"/>
                <w:lang w:eastAsia="lv-LV"/>
              </w:rPr>
              <w:t>Nav.</w:t>
            </w:r>
          </w:p>
        </w:tc>
      </w:tr>
    </w:tbl>
    <w:p w14:paraId="79018A4B" w14:textId="77777777" w:rsidR="00515903" w:rsidRPr="00AD23FB" w:rsidRDefault="00515903" w:rsidP="00354869">
      <w:pPr>
        <w:spacing w:after="0" w:line="240" w:lineRule="auto"/>
        <w:jc w:val="both"/>
        <w:rPr>
          <w:rFonts w:ascii="Times New Roman" w:eastAsia="Times New Roman" w:hAnsi="Times New Roman"/>
          <w:sz w:val="26"/>
          <w:szCs w:val="28"/>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1"/>
        <w:gridCol w:w="3665"/>
        <w:gridCol w:w="4939"/>
      </w:tblGrid>
      <w:tr w:rsidR="00BB0E6D" w:rsidRPr="00084355" w14:paraId="59EC841B" w14:textId="77777777" w:rsidTr="00F70B7F">
        <w:trPr>
          <w:trHeight w:val="555"/>
        </w:trPr>
        <w:tc>
          <w:tcPr>
            <w:tcW w:w="5000" w:type="pct"/>
            <w:gridSpan w:val="3"/>
            <w:tcBorders>
              <w:top w:val="outset" w:sz="6" w:space="0" w:color="414142"/>
              <w:left w:val="outset" w:sz="6" w:space="0" w:color="414142"/>
              <w:bottom w:val="outset" w:sz="6" w:space="0" w:color="414142"/>
              <w:right w:val="outset" w:sz="6" w:space="0" w:color="414142"/>
            </w:tcBorders>
            <w:vAlign w:val="center"/>
          </w:tcPr>
          <w:p w14:paraId="01D16A6D" w14:textId="43C9618C" w:rsidR="00515903" w:rsidRPr="00AD23FB" w:rsidRDefault="00515903" w:rsidP="005E3784">
            <w:pPr>
              <w:spacing w:before="100" w:beforeAutospacing="1" w:after="100" w:afterAutospacing="1" w:line="293" w:lineRule="atLeast"/>
              <w:jc w:val="both"/>
              <w:rPr>
                <w:rFonts w:ascii="Times New Roman" w:hAnsi="Times New Roman"/>
                <w:sz w:val="26"/>
                <w:szCs w:val="28"/>
              </w:rPr>
            </w:pPr>
            <w:r w:rsidRPr="00AD23FB">
              <w:rPr>
                <w:rFonts w:ascii="Times New Roman" w:hAnsi="Times New Roman"/>
                <w:b/>
                <w:bCs/>
                <w:sz w:val="26"/>
                <w:szCs w:val="28"/>
              </w:rPr>
              <w:t>II. Tiesību akt</w:t>
            </w:r>
            <w:r w:rsidR="005E3784" w:rsidRPr="00AD23FB">
              <w:rPr>
                <w:rFonts w:ascii="Times New Roman" w:hAnsi="Times New Roman"/>
                <w:b/>
                <w:bCs/>
                <w:sz w:val="26"/>
                <w:szCs w:val="28"/>
              </w:rPr>
              <w:t>u projektu</w:t>
            </w:r>
            <w:r w:rsidRPr="00AD23FB">
              <w:rPr>
                <w:rFonts w:ascii="Times New Roman" w:hAnsi="Times New Roman"/>
                <w:b/>
                <w:bCs/>
                <w:sz w:val="26"/>
                <w:szCs w:val="28"/>
              </w:rPr>
              <w:t xml:space="preserve"> ietekme uz sabiedrību, tautsaimniecības attīstību un administratīvo slogu</w:t>
            </w:r>
          </w:p>
        </w:tc>
      </w:tr>
      <w:tr w:rsidR="00BB0E6D" w:rsidRPr="00084355" w14:paraId="40493D54" w14:textId="77777777" w:rsidTr="00F70B7F">
        <w:trPr>
          <w:trHeight w:val="465"/>
        </w:trPr>
        <w:tc>
          <w:tcPr>
            <w:tcW w:w="249" w:type="pct"/>
            <w:tcBorders>
              <w:top w:val="outset" w:sz="6" w:space="0" w:color="414142"/>
              <w:left w:val="outset" w:sz="6" w:space="0" w:color="414142"/>
              <w:bottom w:val="outset" w:sz="6" w:space="0" w:color="414142"/>
              <w:right w:val="outset" w:sz="6" w:space="0" w:color="414142"/>
            </w:tcBorders>
            <w:hideMark/>
          </w:tcPr>
          <w:p w14:paraId="6194D59A" w14:textId="77777777" w:rsidR="00515903" w:rsidRPr="00AD23FB" w:rsidRDefault="00515903" w:rsidP="00354869">
            <w:pPr>
              <w:spacing w:after="0" w:line="240" w:lineRule="auto"/>
              <w:jc w:val="both"/>
              <w:rPr>
                <w:rFonts w:ascii="Times New Roman" w:hAnsi="Times New Roman"/>
                <w:sz w:val="26"/>
                <w:szCs w:val="28"/>
              </w:rPr>
            </w:pPr>
            <w:r w:rsidRPr="00AD23FB">
              <w:rPr>
                <w:rFonts w:ascii="Times New Roman" w:hAnsi="Times New Roman"/>
                <w:sz w:val="26"/>
                <w:szCs w:val="28"/>
              </w:rPr>
              <w:t>1.</w:t>
            </w:r>
          </w:p>
        </w:tc>
        <w:tc>
          <w:tcPr>
            <w:tcW w:w="2024" w:type="pct"/>
            <w:tcBorders>
              <w:top w:val="outset" w:sz="6" w:space="0" w:color="414142"/>
              <w:left w:val="outset" w:sz="6" w:space="0" w:color="414142"/>
              <w:bottom w:val="outset" w:sz="6" w:space="0" w:color="414142"/>
              <w:right w:val="outset" w:sz="6" w:space="0" w:color="414142"/>
            </w:tcBorders>
            <w:hideMark/>
          </w:tcPr>
          <w:p w14:paraId="25D364F7" w14:textId="77777777" w:rsidR="00515903" w:rsidRPr="00AD23FB" w:rsidRDefault="00515903" w:rsidP="00354869">
            <w:pPr>
              <w:spacing w:after="0" w:line="240" w:lineRule="auto"/>
              <w:jc w:val="both"/>
              <w:rPr>
                <w:rFonts w:ascii="Times New Roman" w:hAnsi="Times New Roman"/>
                <w:sz w:val="26"/>
                <w:szCs w:val="28"/>
              </w:rPr>
            </w:pPr>
            <w:r w:rsidRPr="00AD23FB">
              <w:rPr>
                <w:rFonts w:ascii="Times New Roman" w:hAnsi="Times New Roman"/>
                <w:sz w:val="26"/>
                <w:szCs w:val="28"/>
              </w:rPr>
              <w:t xml:space="preserve">Sabiedrības </w:t>
            </w:r>
            <w:proofErr w:type="spellStart"/>
            <w:r w:rsidRPr="00AD23FB">
              <w:rPr>
                <w:rFonts w:ascii="Times New Roman" w:hAnsi="Times New Roman"/>
                <w:sz w:val="26"/>
                <w:szCs w:val="28"/>
              </w:rPr>
              <w:t>mērķgrupas</w:t>
            </w:r>
            <w:proofErr w:type="spellEnd"/>
            <w:r w:rsidRPr="00AD23FB">
              <w:rPr>
                <w:rFonts w:ascii="Times New Roman" w:hAnsi="Times New Roman"/>
                <w:sz w:val="26"/>
                <w:szCs w:val="28"/>
              </w:rPr>
              <w:t>, kuras tiesiskais regulējums ietekmē vai varētu ietekmēt</w:t>
            </w:r>
          </w:p>
        </w:tc>
        <w:tc>
          <w:tcPr>
            <w:tcW w:w="2727" w:type="pct"/>
            <w:tcBorders>
              <w:top w:val="outset" w:sz="6" w:space="0" w:color="414142"/>
              <w:left w:val="outset" w:sz="6" w:space="0" w:color="414142"/>
              <w:bottom w:val="outset" w:sz="6" w:space="0" w:color="414142"/>
              <w:right w:val="outset" w:sz="6" w:space="0" w:color="414142"/>
            </w:tcBorders>
          </w:tcPr>
          <w:p w14:paraId="39D52069" w14:textId="589AAAB2" w:rsidR="00515903" w:rsidRPr="00AD23FB" w:rsidRDefault="00E203D7" w:rsidP="00354869">
            <w:pPr>
              <w:spacing w:after="0" w:line="240" w:lineRule="auto"/>
              <w:jc w:val="both"/>
              <w:rPr>
                <w:rFonts w:ascii="Times New Roman" w:hAnsi="Times New Roman"/>
                <w:sz w:val="26"/>
                <w:szCs w:val="28"/>
              </w:rPr>
            </w:pPr>
            <w:r w:rsidRPr="00AD23FB">
              <w:rPr>
                <w:rFonts w:ascii="Times New Roman" w:hAnsi="Times New Roman"/>
                <w:sz w:val="26"/>
                <w:szCs w:val="28"/>
              </w:rPr>
              <w:t>Projektu tiesiskais regulējums attiecas uz augstskolām un koledžām, LIZDA un LSA.</w:t>
            </w:r>
          </w:p>
        </w:tc>
      </w:tr>
      <w:tr w:rsidR="00BB0E6D" w:rsidRPr="00084355" w14:paraId="09359C23" w14:textId="77777777" w:rsidTr="00F70B7F">
        <w:trPr>
          <w:trHeight w:val="510"/>
        </w:trPr>
        <w:tc>
          <w:tcPr>
            <w:tcW w:w="249" w:type="pct"/>
            <w:tcBorders>
              <w:top w:val="outset" w:sz="6" w:space="0" w:color="414142"/>
              <w:left w:val="outset" w:sz="6" w:space="0" w:color="414142"/>
              <w:bottom w:val="outset" w:sz="6" w:space="0" w:color="414142"/>
              <w:right w:val="outset" w:sz="6" w:space="0" w:color="414142"/>
            </w:tcBorders>
            <w:hideMark/>
          </w:tcPr>
          <w:p w14:paraId="54C2898B" w14:textId="77777777" w:rsidR="00515903" w:rsidRPr="00AD23FB" w:rsidRDefault="00515903" w:rsidP="00354869">
            <w:pPr>
              <w:spacing w:after="0" w:line="240" w:lineRule="auto"/>
              <w:jc w:val="both"/>
              <w:rPr>
                <w:rFonts w:ascii="Times New Roman" w:hAnsi="Times New Roman"/>
                <w:sz w:val="26"/>
                <w:szCs w:val="28"/>
              </w:rPr>
            </w:pPr>
            <w:r w:rsidRPr="00AD23FB">
              <w:rPr>
                <w:rFonts w:ascii="Times New Roman" w:hAnsi="Times New Roman"/>
                <w:sz w:val="26"/>
                <w:szCs w:val="28"/>
              </w:rPr>
              <w:t>2.</w:t>
            </w:r>
          </w:p>
        </w:tc>
        <w:tc>
          <w:tcPr>
            <w:tcW w:w="2024" w:type="pct"/>
            <w:tcBorders>
              <w:top w:val="outset" w:sz="6" w:space="0" w:color="414142"/>
              <w:left w:val="outset" w:sz="6" w:space="0" w:color="414142"/>
              <w:bottom w:val="outset" w:sz="6" w:space="0" w:color="414142"/>
              <w:right w:val="outset" w:sz="6" w:space="0" w:color="414142"/>
            </w:tcBorders>
            <w:hideMark/>
          </w:tcPr>
          <w:p w14:paraId="46238505" w14:textId="77777777" w:rsidR="00515903" w:rsidRPr="00AD23FB" w:rsidRDefault="00515903" w:rsidP="00354869">
            <w:pPr>
              <w:spacing w:after="0" w:line="240" w:lineRule="auto"/>
              <w:jc w:val="both"/>
              <w:rPr>
                <w:rFonts w:ascii="Times New Roman" w:hAnsi="Times New Roman"/>
                <w:sz w:val="26"/>
                <w:szCs w:val="28"/>
              </w:rPr>
            </w:pPr>
            <w:r w:rsidRPr="00AD23FB">
              <w:rPr>
                <w:rFonts w:ascii="Times New Roman" w:hAnsi="Times New Roman"/>
                <w:sz w:val="26"/>
                <w:szCs w:val="28"/>
              </w:rPr>
              <w:t>Tiesiskā regulējuma ietekme uz tautsaimniecību un administratīvo slogu</w:t>
            </w:r>
          </w:p>
        </w:tc>
        <w:tc>
          <w:tcPr>
            <w:tcW w:w="2727" w:type="pct"/>
            <w:tcBorders>
              <w:top w:val="outset" w:sz="6" w:space="0" w:color="414142"/>
              <w:left w:val="outset" w:sz="6" w:space="0" w:color="414142"/>
              <w:bottom w:val="outset" w:sz="6" w:space="0" w:color="414142"/>
              <w:right w:val="outset" w:sz="6" w:space="0" w:color="414142"/>
            </w:tcBorders>
          </w:tcPr>
          <w:p w14:paraId="7275FE9B" w14:textId="77777777" w:rsidR="003367EF" w:rsidRPr="00AD23FB" w:rsidRDefault="00340944" w:rsidP="003367EF">
            <w:pPr>
              <w:spacing w:after="0" w:line="240" w:lineRule="auto"/>
              <w:jc w:val="both"/>
              <w:rPr>
                <w:rFonts w:ascii="Times New Roman" w:hAnsi="Times New Roman"/>
                <w:sz w:val="26"/>
                <w:szCs w:val="28"/>
              </w:rPr>
            </w:pPr>
            <w:r w:rsidRPr="00AD23FB">
              <w:rPr>
                <w:rFonts w:ascii="Times New Roman" w:hAnsi="Times New Roman"/>
                <w:sz w:val="26"/>
                <w:szCs w:val="28"/>
              </w:rPr>
              <w:t>Administratīvais slogs</w:t>
            </w:r>
            <w:r w:rsidR="00133AEA" w:rsidRPr="00AD23FB">
              <w:rPr>
                <w:rFonts w:ascii="Times New Roman" w:hAnsi="Times New Roman"/>
                <w:sz w:val="26"/>
                <w:szCs w:val="28"/>
              </w:rPr>
              <w:t xml:space="preserve"> uz valsts pārvaldes institūcijām nav attiecināms</w:t>
            </w:r>
            <w:r w:rsidR="00E203D7" w:rsidRPr="00AD23FB">
              <w:rPr>
                <w:rFonts w:ascii="Times New Roman" w:hAnsi="Times New Roman"/>
                <w:sz w:val="26"/>
                <w:szCs w:val="28"/>
              </w:rPr>
              <w:t xml:space="preserve">. </w:t>
            </w:r>
          </w:p>
          <w:p w14:paraId="77E43797" w14:textId="1CD2FA96" w:rsidR="00183E71" w:rsidRPr="00AD23FB" w:rsidRDefault="00E203D7" w:rsidP="003367EF">
            <w:pPr>
              <w:spacing w:after="0" w:line="240" w:lineRule="auto"/>
              <w:jc w:val="both"/>
              <w:rPr>
                <w:rFonts w:ascii="Times New Roman" w:hAnsi="Times New Roman"/>
                <w:sz w:val="26"/>
                <w:szCs w:val="28"/>
              </w:rPr>
            </w:pPr>
            <w:r w:rsidRPr="00AD23FB">
              <w:rPr>
                <w:rFonts w:ascii="Times New Roman" w:hAnsi="Times New Roman"/>
                <w:sz w:val="26"/>
                <w:szCs w:val="28"/>
              </w:rPr>
              <w:t>Samazinās</w:t>
            </w:r>
            <w:r w:rsidR="003367EF" w:rsidRPr="00AD23FB">
              <w:rPr>
                <w:rFonts w:ascii="Times New Roman" w:hAnsi="Times New Roman"/>
                <w:sz w:val="26"/>
                <w:szCs w:val="28"/>
              </w:rPr>
              <w:t>ies</w:t>
            </w:r>
            <w:r w:rsidRPr="00AD23FB">
              <w:rPr>
                <w:rFonts w:ascii="Times New Roman" w:hAnsi="Times New Roman"/>
                <w:sz w:val="26"/>
                <w:szCs w:val="28"/>
              </w:rPr>
              <w:t xml:space="preserve"> administratīvais slogs</w:t>
            </w:r>
            <w:r w:rsidR="003367EF" w:rsidRPr="00AD23FB">
              <w:rPr>
                <w:rFonts w:ascii="Times New Roman" w:hAnsi="Times New Roman"/>
                <w:sz w:val="26"/>
                <w:szCs w:val="28"/>
              </w:rPr>
              <w:t xml:space="preserve"> LIZDA un LSA</w:t>
            </w:r>
            <w:r w:rsidRPr="00AD23FB">
              <w:rPr>
                <w:rFonts w:ascii="Times New Roman" w:hAnsi="Times New Roman"/>
                <w:sz w:val="26"/>
                <w:szCs w:val="28"/>
              </w:rPr>
              <w:t>, jo LIZDA un LSA vairs nebūs jādeleģē darbam augstskolu vai koledžu ekspertu grupā savi pārstāvji (novērotāji).</w:t>
            </w:r>
          </w:p>
        </w:tc>
      </w:tr>
      <w:tr w:rsidR="007F5953" w:rsidRPr="00084355" w14:paraId="7B574F38" w14:textId="77777777" w:rsidTr="00F70B7F">
        <w:trPr>
          <w:trHeight w:val="510"/>
        </w:trPr>
        <w:tc>
          <w:tcPr>
            <w:tcW w:w="249" w:type="pct"/>
            <w:tcBorders>
              <w:top w:val="outset" w:sz="6" w:space="0" w:color="414142"/>
              <w:left w:val="outset" w:sz="6" w:space="0" w:color="414142"/>
              <w:bottom w:val="outset" w:sz="6" w:space="0" w:color="414142"/>
              <w:right w:val="outset" w:sz="6" w:space="0" w:color="414142"/>
            </w:tcBorders>
          </w:tcPr>
          <w:p w14:paraId="5BA65F31" w14:textId="6CDA4758" w:rsidR="007F5953" w:rsidRPr="00AD23FB" w:rsidRDefault="007F5953" w:rsidP="00354869">
            <w:pPr>
              <w:spacing w:after="0" w:line="240" w:lineRule="auto"/>
              <w:jc w:val="both"/>
              <w:rPr>
                <w:rFonts w:ascii="Times New Roman" w:hAnsi="Times New Roman"/>
                <w:sz w:val="26"/>
                <w:szCs w:val="28"/>
              </w:rPr>
            </w:pPr>
            <w:r w:rsidRPr="00AD23FB">
              <w:rPr>
                <w:rFonts w:ascii="Times New Roman" w:hAnsi="Times New Roman"/>
                <w:sz w:val="26"/>
                <w:szCs w:val="28"/>
              </w:rPr>
              <w:lastRenderedPageBreak/>
              <w:t>3.</w:t>
            </w:r>
          </w:p>
        </w:tc>
        <w:tc>
          <w:tcPr>
            <w:tcW w:w="2024" w:type="pct"/>
            <w:tcBorders>
              <w:top w:val="outset" w:sz="6" w:space="0" w:color="414142"/>
              <w:left w:val="outset" w:sz="6" w:space="0" w:color="414142"/>
              <w:bottom w:val="outset" w:sz="6" w:space="0" w:color="414142"/>
              <w:right w:val="outset" w:sz="6" w:space="0" w:color="414142"/>
            </w:tcBorders>
          </w:tcPr>
          <w:p w14:paraId="189EBA69" w14:textId="20D9A534" w:rsidR="007F5953" w:rsidRPr="00AD23FB" w:rsidRDefault="007F5953" w:rsidP="00354869">
            <w:pPr>
              <w:spacing w:after="0" w:line="240" w:lineRule="auto"/>
              <w:jc w:val="both"/>
              <w:rPr>
                <w:rFonts w:ascii="Times New Roman" w:hAnsi="Times New Roman"/>
                <w:sz w:val="26"/>
                <w:szCs w:val="28"/>
              </w:rPr>
            </w:pPr>
            <w:r w:rsidRPr="00AD23FB">
              <w:rPr>
                <w:rFonts w:ascii="Times New Roman" w:hAnsi="Times New Roman"/>
                <w:sz w:val="26"/>
                <w:szCs w:val="28"/>
              </w:rPr>
              <w:t>Administratīvo izmaksu monetārs novērtējums</w:t>
            </w:r>
          </w:p>
        </w:tc>
        <w:tc>
          <w:tcPr>
            <w:tcW w:w="2727" w:type="pct"/>
            <w:tcBorders>
              <w:top w:val="outset" w:sz="6" w:space="0" w:color="414142"/>
              <w:left w:val="outset" w:sz="6" w:space="0" w:color="414142"/>
              <w:bottom w:val="outset" w:sz="6" w:space="0" w:color="414142"/>
              <w:right w:val="outset" w:sz="6" w:space="0" w:color="414142"/>
            </w:tcBorders>
          </w:tcPr>
          <w:p w14:paraId="1C621F4B" w14:textId="4E7913B1" w:rsidR="007F5953" w:rsidRPr="00AD23FB" w:rsidRDefault="006C55FB" w:rsidP="00F943E6">
            <w:pPr>
              <w:spacing w:after="0" w:line="240" w:lineRule="auto"/>
              <w:jc w:val="both"/>
              <w:rPr>
                <w:rFonts w:ascii="Times New Roman" w:hAnsi="Times New Roman"/>
                <w:sz w:val="26"/>
                <w:szCs w:val="28"/>
              </w:rPr>
            </w:pPr>
            <w:r w:rsidRPr="00AD23FB">
              <w:rPr>
                <w:rFonts w:ascii="Times New Roman" w:hAnsi="Times New Roman"/>
                <w:sz w:val="26"/>
                <w:szCs w:val="28"/>
              </w:rPr>
              <w:t>Projekts šo jomu neskar.</w:t>
            </w:r>
          </w:p>
        </w:tc>
      </w:tr>
      <w:tr w:rsidR="00BB0E6D" w:rsidRPr="00084355" w14:paraId="2EE39750" w14:textId="77777777" w:rsidTr="00F70B7F">
        <w:trPr>
          <w:trHeight w:val="510"/>
        </w:trPr>
        <w:tc>
          <w:tcPr>
            <w:tcW w:w="249" w:type="pct"/>
            <w:tcBorders>
              <w:top w:val="outset" w:sz="6" w:space="0" w:color="414142"/>
              <w:left w:val="outset" w:sz="6" w:space="0" w:color="414142"/>
              <w:bottom w:val="outset" w:sz="6" w:space="0" w:color="414142"/>
              <w:right w:val="outset" w:sz="6" w:space="0" w:color="414142"/>
            </w:tcBorders>
            <w:hideMark/>
          </w:tcPr>
          <w:p w14:paraId="68B39CFD" w14:textId="229D18B9" w:rsidR="00515903" w:rsidRPr="00AD23FB" w:rsidRDefault="007F5953" w:rsidP="00354869">
            <w:pPr>
              <w:spacing w:after="0" w:line="240" w:lineRule="auto"/>
              <w:jc w:val="both"/>
              <w:rPr>
                <w:rFonts w:ascii="Times New Roman" w:hAnsi="Times New Roman"/>
                <w:sz w:val="26"/>
                <w:szCs w:val="28"/>
              </w:rPr>
            </w:pPr>
            <w:r w:rsidRPr="00AD23FB">
              <w:rPr>
                <w:rFonts w:ascii="Times New Roman" w:hAnsi="Times New Roman"/>
                <w:sz w:val="26"/>
                <w:szCs w:val="28"/>
              </w:rPr>
              <w:t>4</w:t>
            </w:r>
            <w:r w:rsidR="00F911C3" w:rsidRPr="00AD23FB">
              <w:rPr>
                <w:rFonts w:ascii="Times New Roman" w:hAnsi="Times New Roman"/>
                <w:sz w:val="26"/>
                <w:szCs w:val="28"/>
              </w:rPr>
              <w:t>.</w:t>
            </w:r>
          </w:p>
        </w:tc>
        <w:tc>
          <w:tcPr>
            <w:tcW w:w="2024" w:type="pct"/>
            <w:tcBorders>
              <w:top w:val="outset" w:sz="6" w:space="0" w:color="414142"/>
              <w:left w:val="outset" w:sz="6" w:space="0" w:color="414142"/>
              <w:bottom w:val="outset" w:sz="6" w:space="0" w:color="414142"/>
              <w:right w:val="outset" w:sz="6" w:space="0" w:color="414142"/>
            </w:tcBorders>
            <w:hideMark/>
          </w:tcPr>
          <w:p w14:paraId="4D9A918B" w14:textId="70941197" w:rsidR="00515903" w:rsidRPr="00AD23FB" w:rsidRDefault="007F5953" w:rsidP="00354869">
            <w:pPr>
              <w:spacing w:after="0" w:line="240" w:lineRule="auto"/>
              <w:jc w:val="both"/>
              <w:rPr>
                <w:rFonts w:ascii="Times New Roman" w:hAnsi="Times New Roman"/>
                <w:sz w:val="26"/>
                <w:szCs w:val="28"/>
              </w:rPr>
            </w:pPr>
            <w:r w:rsidRPr="00AD23FB">
              <w:rPr>
                <w:rFonts w:ascii="Times New Roman" w:hAnsi="Times New Roman"/>
                <w:sz w:val="26"/>
                <w:szCs w:val="28"/>
                <w:shd w:val="clear" w:color="auto" w:fill="FFFFFF"/>
              </w:rPr>
              <w:t>Atbilstības izmaksu monetārs novērtējums</w:t>
            </w:r>
          </w:p>
        </w:tc>
        <w:tc>
          <w:tcPr>
            <w:tcW w:w="2727" w:type="pct"/>
            <w:tcBorders>
              <w:top w:val="outset" w:sz="6" w:space="0" w:color="414142"/>
              <w:left w:val="outset" w:sz="6" w:space="0" w:color="414142"/>
              <w:bottom w:val="outset" w:sz="6" w:space="0" w:color="414142"/>
              <w:right w:val="outset" w:sz="6" w:space="0" w:color="414142"/>
            </w:tcBorders>
            <w:hideMark/>
          </w:tcPr>
          <w:p w14:paraId="3DCE5019" w14:textId="14D4E94D" w:rsidR="00515903" w:rsidRPr="00AD23FB" w:rsidRDefault="00133AEA" w:rsidP="00F911C3">
            <w:pPr>
              <w:spacing w:after="0" w:line="240" w:lineRule="auto"/>
              <w:jc w:val="both"/>
              <w:rPr>
                <w:rFonts w:ascii="Times New Roman" w:hAnsi="Times New Roman"/>
                <w:sz w:val="26"/>
                <w:szCs w:val="28"/>
              </w:rPr>
            </w:pPr>
            <w:r w:rsidRPr="00AD23FB">
              <w:rPr>
                <w:rFonts w:ascii="Times New Roman" w:hAnsi="Times New Roman"/>
                <w:sz w:val="26"/>
                <w:szCs w:val="28"/>
              </w:rPr>
              <w:t xml:space="preserve"> </w:t>
            </w:r>
            <w:r w:rsidR="006C55FB" w:rsidRPr="00AD23FB">
              <w:rPr>
                <w:rFonts w:ascii="Times New Roman" w:hAnsi="Times New Roman"/>
                <w:sz w:val="26"/>
                <w:szCs w:val="28"/>
              </w:rPr>
              <w:t>Projekts šo jomu neskar.</w:t>
            </w:r>
          </w:p>
        </w:tc>
      </w:tr>
      <w:tr w:rsidR="00BB0E6D" w:rsidRPr="00084355" w14:paraId="1F083766" w14:textId="77777777" w:rsidTr="00F70B7F">
        <w:trPr>
          <w:trHeight w:val="345"/>
        </w:trPr>
        <w:tc>
          <w:tcPr>
            <w:tcW w:w="249" w:type="pct"/>
            <w:tcBorders>
              <w:top w:val="outset" w:sz="6" w:space="0" w:color="414142"/>
              <w:left w:val="outset" w:sz="6" w:space="0" w:color="414142"/>
              <w:bottom w:val="outset" w:sz="6" w:space="0" w:color="414142"/>
              <w:right w:val="outset" w:sz="6" w:space="0" w:color="414142"/>
            </w:tcBorders>
            <w:hideMark/>
          </w:tcPr>
          <w:p w14:paraId="6C30B5CC" w14:textId="0982EBF2" w:rsidR="00515903" w:rsidRPr="00AD23FB" w:rsidRDefault="007F5953" w:rsidP="00354869">
            <w:pPr>
              <w:spacing w:after="0" w:line="240" w:lineRule="auto"/>
              <w:jc w:val="both"/>
              <w:rPr>
                <w:rFonts w:ascii="Times New Roman" w:hAnsi="Times New Roman"/>
                <w:sz w:val="26"/>
                <w:szCs w:val="28"/>
              </w:rPr>
            </w:pPr>
            <w:r w:rsidRPr="00AD23FB">
              <w:rPr>
                <w:rFonts w:ascii="Times New Roman" w:hAnsi="Times New Roman"/>
                <w:sz w:val="26"/>
                <w:szCs w:val="28"/>
              </w:rPr>
              <w:t>5.</w:t>
            </w:r>
          </w:p>
        </w:tc>
        <w:tc>
          <w:tcPr>
            <w:tcW w:w="2024" w:type="pct"/>
            <w:tcBorders>
              <w:top w:val="outset" w:sz="6" w:space="0" w:color="414142"/>
              <w:left w:val="outset" w:sz="6" w:space="0" w:color="414142"/>
              <w:bottom w:val="outset" w:sz="6" w:space="0" w:color="414142"/>
              <w:right w:val="outset" w:sz="6" w:space="0" w:color="414142"/>
            </w:tcBorders>
            <w:hideMark/>
          </w:tcPr>
          <w:p w14:paraId="23BB35DE" w14:textId="77777777" w:rsidR="00515903" w:rsidRPr="00AD23FB" w:rsidRDefault="00515903" w:rsidP="00354869">
            <w:pPr>
              <w:spacing w:after="0" w:line="240" w:lineRule="auto"/>
              <w:jc w:val="both"/>
              <w:rPr>
                <w:rFonts w:ascii="Times New Roman" w:hAnsi="Times New Roman"/>
                <w:sz w:val="26"/>
                <w:szCs w:val="28"/>
              </w:rPr>
            </w:pPr>
            <w:r w:rsidRPr="00AD23FB">
              <w:rPr>
                <w:rFonts w:ascii="Times New Roman" w:hAnsi="Times New Roman"/>
                <w:sz w:val="26"/>
                <w:szCs w:val="28"/>
              </w:rPr>
              <w:t>Cita informācija</w:t>
            </w:r>
          </w:p>
        </w:tc>
        <w:tc>
          <w:tcPr>
            <w:tcW w:w="2727" w:type="pct"/>
            <w:tcBorders>
              <w:top w:val="outset" w:sz="6" w:space="0" w:color="414142"/>
              <w:left w:val="outset" w:sz="6" w:space="0" w:color="414142"/>
              <w:bottom w:val="outset" w:sz="6" w:space="0" w:color="414142"/>
              <w:right w:val="outset" w:sz="6" w:space="0" w:color="414142"/>
            </w:tcBorders>
            <w:hideMark/>
          </w:tcPr>
          <w:p w14:paraId="600E48B5" w14:textId="77777777" w:rsidR="00515903" w:rsidRPr="00AD23FB" w:rsidRDefault="00515903" w:rsidP="00354869">
            <w:pPr>
              <w:spacing w:before="100" w:beforeAutospacing="1" w:after="100" w:afterAutospacing="1" w:line="293" w:lineRule="atLeast"/>
              <w:jc w:val="both"/>
              <w:rPr>
                <w:rFonts w:ascii="Times New Roman" w:hAnsi="Times New Roman"/>
                <w:sz w:val="26"/>
                <w:szCs w:val="28"/>
              </w:rPr>
            </w:pPr>
            <w:r w:rsidRPr="00AD23FB">
              <w:rPr>
                <w:rFonts w:ascii="Times New Roman" w:hAnsi="Times New Roman"/>
                <w:sz w:val="26"/>
                <w:szCs w:val="28"/>
              </w:rPr>
              <w:t>Nav.</w:t>
            </w:r>
          </w:p>
        </w:tc>
      </w:tr>
    </w:tbl>
    <w:p w14:paraId="249EECB8" w14:textId="77777777" w:rsidR="00515903" w:rsidRPr="00AD23FB" w:rsidRDefault="00515903" w:rsidP="00354869">
      <w:pPr>
        <w:spacing w:after="0" w:line="240" w:lineRule="auto"/>
        <w:jc w:val="both"/>
        <w:rPr>
          <w:rFonts w:ascii="Times New Roman" w:eastAsia="Times New Roman" w:hAnsi="Times New Roman"/>
          <w:sz w:val="26"/>
          <w:szCs w:val="28"/>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BB0E6D" w:rsidRPr="00084355" w14:paraId="2EA1F498" w14:textId="77777777" w:rsidTr="00ED4330">
        <w:trPr>
          <w:trHeight w:val="396"/>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0DDE925F" w14:textId="027821EB" w:rsidR="00D36E64" w:rsidRPr="00AD23FB" w:rsidRDefault="00D36E64" w:rsidP="003367EF">
            <w:pPr>
              <w:spacing w:before="100" w:beforeAutospacing="1" w:after="100" w:afterAutospacing="1" w:line="293" w:lineRule="atLeast"/>
              <w:jc w:val="both"/>
              <w:rPr>
                <w:rFonts w:ascii="Times New Roman" w:hAnsi="Times New Roman"/>
                <w:b/>
                <w:bCs/>
                <w:sz w:val="26"/>
                <w:szCs w:val="28"/>
              </w:rPr>
            </w:pPr>
            <w:r w:rsidRPr="00AD23FB">
              <w:rPr>
                <w:rFonts w:ascii="Times New Roman" w:hAnsi="Times New Roman"/>
                <w:b/>
                <w:bCs/>
                <w:iCs/>
                <w:sz w:val="26"/>
                <w:szCs w:val="28"/>
              </w:rPr>
              <w:t>III. Tiesību akt</w:t>
            </w:r>
            <w:r w:rsidR="002B209B" w:rsidRPr="00AD23FB">
              <w:rPr>
                <w:rFonts w:ascii="Times New Roman" w:hAnsi="Times New Roman"/>
                <w:b/>
                <w:bCs/>
                <w:iCs/>
                <w:sz w:val="26"/>
                <w:szCs w:val="28"/>
              </w:rPr>
              <w:t>u</w:t>
            </w:r>
            <w:r w:rsidRPr="00AD23FB">
              <w:rPr>
                <w:rFonts w:ascii="Times New Roman" w:hAnsi="Times New Roman"/>
                <w:b/>
                <w:bCs/>
                <w:iCs/>
                <w:sz w:val="26"/>
                <w:szCs w:val="28"/>
              </w:rPr>
              <w:t xml:space="preserve"> projekt</w:t>
            </w:r>
            <w:r w:rsidR="003367EF" w:rsidRPr="00AD23FB">
              <w:rPr>
                <w:rFonts w:ascii="Times New Roman" w:hAnsi="Times New Roman"/>
                <w:b/>
                <w:bCs/>
                <w:iCs/>
                <w:sz w:val="26"/>
                <w:szCs w:val="28"/>
              </w:rPr>
              <w:t>u</w:t>
            </w:r>
            <w:r w:rsidRPr="00AD23FB">
              <w:rPr>
                <w:rFonts w:ascii="Times New Roman" w:hAnsi="Times New Roman"/>
                <w:b/>
                <w:bCs/>
                <w:iCs/>
                <w:sz w:val="26"/>
                <w:szCs w:val="28"/>
              </w:rPr>
              <w:t xml:space="preserve"> ietekme uz valsts budžetu un pašvaldību budžetiem</w:t>
            </w:r>
            <w:r w:rsidRPr="00AD23FB">
              <w:rPr>
                <w:rFonts w:ascii="Times New Roman" w:hAnsi="Times New Roman"/>
                <w:sz w:val="26"/>
                <w:szCs w:val="28"/>
              </w:rPr>
              <w:t> </w:t>
            </w:r>
          </w:p>
        </w:tc>
      </w:tr>
      <w:tr w:rsidR="00BB0E6D" w:rsidRPr="00084355" w14:paraId="7986D563" w14:textId="77777777" w:rsidTr="00ED4330">
        <w:trPr>
          <w:trHeight w:val="350"/>
        </w:trPr>
        <w:tc>
          <w:tcPr>
            <w:tcW w:w="5000" w:type="pct"/>
            <w:tcBorders>
              <w:top w:val="outset" w:sz="6" w:space="0" w:color="414142"/>
              <w:left w:val="outset" w:sz="6" w:space="0" w:color="414142"/>
              <w:bottom w:val="outset" w:sz="6" w:space="0" w:color="414142"/>
              <w:right w:val="outset" w:sz="6" w:space="0" w:color="414142"/>
            </w:tcBorders>
            <w:hideMark/>
          </w:tcPr>
          <w:p w14:paraId="163139E5" w14:textId="1552CCAE" w:rsidR="00D36E64" w:rsidRPr="00AD23FB" w:rsidRDefault="00FC308D" w:rsidP="003367EF">
            <w:pPr>
              <w:spacing w:after="0" w:line="240" w:lineRule="auto"/>
              <w:jc w:val="center"/>
              <w:rPr>
                <w:rFonts w:ascii="Times New Roman" w:hAnsi="Times New Roman"/>
                <w:sz w:val="26"/>
                <w:szCs w:val="28"/>
              </w:rPr>
            </w:pPr>
            <w:r w:rsidRPr="00AD23FB">
              <w:rPr>
                <w:rFonts w:ascii="Times New Roman" w:hAnsi="Times New Roman"/>
                <w:sz w:val="26"/>
                <w:szCs w:val="28"/>
              </w:rPr>
              <w:t>Projekt</w:t>
            </w:r>
            <w:r w:rsidR="003367EF" w:rsidRPr="00AD23FB">
              <w:rPr>
                <w:rFonts w:ascii="Times New Roman" w:hAnsi="Times New Roman"/>
                <w:sz w:val="26"/>
                <w:szCs w:val="28"/>
              </w:rPr>
              <w:t>i</w:t>
            </w:r>
            <w:r w:rsidRPr="00AD23FB">
              <w:rPr>
                <w:rFonts w:ascii="Times New Roman" w:hAnsi="Times New Roman"/>
                <w:sz w:val="26"/>
                <w:szCs w:val="28"/>
              </w:rPr>
              <w:t xml:space="preserve"> neietekmē valsts un pašvaldību budžetus</w:t>
            </w:r>
          </w:p>
        </w:tc>
      </w:tr>
    </w:tbl>
    <w:p w14:paraId="2216686C" w14:textId="3DD3937D" w:rsidR="00AE0F01" w:rsidRPr="00AD23FB" w:rsidRDefault="00AE0F01" w:rsidP="00354869">
      <w:pPr>
        <w:spacing w:after="0" w:line="240" w:lineRule="auto"/>
        <w:jc w:val="both"/>
        <w:rPr>
          <w:rFonts w:ascii="Times New Roman" w:eastAsia="Times New Roman" w:hAnsi="Times New Roman"/>
          <w:iCs/>
          <w:sz w:val="26"/>
          <w:szCs w:val="28"/>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09"/>
        <w:gridCol w:w="2779"/>
        <w:gridCol w:w="5870"/>
      </w:tblGrid>
      <w:tr w:rsidR="00EB404E" w:rsidRPr="00084355" w14:paraId="69DB11DC" w14:textId="77777777" w:rsidTr="000D6DF0">
        <w:trPr>
          <w:trHeight w:val="375"/>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45E1287D" w14:textId="169A61C1" w:rsidR="00EB404E" w:rsidRPr="00AD23FB" w:rsidRDefault="00EB404E" w:rsidP="00FE2258">
            <w:pPr>
              <w:spacing w:before="100" w:beforeAutospacing="1" w:after="100" w:afterAutospacing="1" w:line="293" w:lineRule="atLeast"/>
              <w:jc w:val="center"/>
              <w:rPr>
                <w:rFonts w:ascii="Times New Roman" w:hAnsi="Times New Roman"/>
                <w:b/>
                <w:bCs/>
                <w:sz w:val="26"/>
                <w:szCs w:val="28"/>
              </w:rPr>
            </w:pPr>
            <w:r w:rsidRPr="00AD23FB">
              <w:rPr>
                <w:rFonts w:ascii="Times New Roman" w:hAnsi="Times New Roman"/>
                <w:sz w:val="26"/>
                <w:szCs w:val="28"/>
              </w:rPr>
              <w:t> </w:t>
            </w:r>
            <w:r w:rsidRPr="00AD23FB">
              <w:rPr>
                <w:rFonts w:ascii="Times New Roman" w:hAnsi="Times New Roman"/>
                <w:b/>
                <w:bCs/>
                <w:sz w:val="26"/>
                <w:szCs w:val="28"/>
              </w:rPr>
              <w:t>IV. Tiesību akta projekt</w:t>
            </w:r>
            <w:r w:rsidR="00FE2258" w:rsidRPr="00AD23FB">
              <w:rPr>
                <w:rFonts w:ascii="Times New Roman" w:hAnsi="Times New Roman"/>
                <w:b/>
                <w:bCs/>
                <w:sz w:val="26"/>
                <w:szCs w:val="28"/>
              </w:rPr>
              <w:t>u</w:t>
            </w:r>
            <w:r w:rsidRPr="00AD23FB">
              <w:rPr>
                <w:rFonts w:ascii="Times New Roman" w:hAnsi="Times New Roman"/>
                <w:b/>
                <w:bCs/>
                <w:sz w:val="26"/>
                <w:szCs w:val="28"/>
              </w:rPr>
              <w:t xml:space="preserve"> ietekme uz spēkā esošo tiesību normu sistēmu</w:t>
            </w:r>
          </w:p>
        </w:tc>
      </w:tr>
      <w:tr w:rsidR="00EB404E" w:rsidRPr="00084355" w14:paraId="0D7C0FDD" w14:textId="77777777" w:rsidTr="000D6DF0">
        <w:trPr>
          <w:trHeight w:val="420"/>
          <w:jc w:val="center"/>
        </w:trPr>
        <w:tc>
          <w:tcPr>
            <w:tcW w:w="226" w:type="pct"/>
            <w:tcBorders>
              <w:top w:val="single" w:sz="4" w:space="0" w:color="auto"/>
              <w:left w:val="single" w:sz="4" w:space="0" w:color="auto"/>
              <w:bottom w:val="single" w:sz="4" w:space="0" w:color="auto"/>
              <w:right w:val="outset" w:sz="6" w:space="0" w:color="414142"/>
            </w:tcBorders>
            <w:hideMark/>
          </w:tcPr>
          <w:p w14:paraId="14490595" w14:textId="77777777" w:rsidR="00EB404E" w:rsidRPr="00AD23FB" w:rsidRDefault="00EB404E" w:rsidP="000D6DF0">
            <w:pPr>
              <w:spacing w:after="0" w:line="240" w:lineRule="auto"/>
              <w:jc w:val="both"/>
              <w:rPr>
                <w:rFonts w:ascii="Times New Roman" w:hAnsi="Times New Roman"/>
                <w:sz w:val="26"/>
                <w:szCs w:val="28"/>
              </w:rPr>
            </w:pPr>
            <w:r w:rsidRPr="00AD23FB">
              <w:rPr>
                <w:rFonts w:ascii="Times New Roman" w:hAnsi="Times New Roman"/>
                <w:sz w:val="26"/>
                <w:szCs w:val="28"/>
              </w:rPr>
              <w:t>1.</w:t>
            </w:r>
          </w:p>
        </w:tc>
        <w:tc>
          <w:tcPr>
            <w:tcW w:w="1534" w:type="pct"/>
            <w:tcBorders>
              <w:top w:val="single" w:sz="4" w:space="0" w:color="auto"/>
              <w:left w:val="single" w:sz="4" w:space="0" w:color="auto"/>
              <w:bottom w:val="single" w:sz="4" w:space="0" w:color="auto"/>
              <w:right w:val="outset" w:sz="6" w:space="0" w:color="414142"/>
            </w:tcBorders>
          </w:tcPr>
          <w:p w14:paraId="5067E4BE" w14:textId="77777777" w:rsidR="00EB404E" w:rsidRPr="00AD23FB" w:rsidRDefault="00EB404E" w:rsidP="000D6DF0">
            <w:pPr>
              <w:spacing w:after="0" w:line="240" w:lineRule="auto"/>
              <w:jc w:val="both"/>
              <w:rPr>
                <w:rFonts w:ascii="Times New Roman" w:hAnsi="Times New Roman"/>
                <w:sz w:val="26"/>
                <w:szCs w:val="28"/>
              </w:rPr>
            </w:pPr>
            <w:r w:rsidRPr="00AD23FB">
              <w:rPr>
                <w:rFonts w:ascii="Times New Roman" w:hAnsi="Times New Roman"/>
                <w:sz w:val="26"/>
                <w:szCs w:val="28"/>
              </w:rPr>
              <w:t>Saistītie tiesību aktu projekti</w:t>
            </w:r>
          </w:p>
        </w:tc>
        <w:tc>
          <w:tcPr>
            <w:tcW w:w="3240" w:type="pct"/>
            <w:tcBorders>
              <w:top w:val="single" w:sz="4" w:space="0" w:color="auto"/>
              <w:left w:val="single" w:sz="4" w:space="0" w:color="auto"/>
              <w:bottom w:val="single" w:sz="4" w:space="0" w:color="auto"/>
              <w:right w:val="outset" w:sz="6" w:space="0" w:color="414142"/>
            </w:tcBorders>
          </w:tcPr>
          <w:p w14:paraId="3C94E2F8" w14:textId="77777777" w:rsidR="0018480F" w:rsidRPr="00AD23FB" w:rsidRDefault="0018480F" w:rsidP="0018480F">
            <w:pPr>
              <w:spacing w:after="0" w:line="240" w:lineRule="auto"/>
              <w:jc w:val="both"/>
              <w:rPr>
                <w:rFonts w:ascii="Times New Roman" w:hAnsi="Times New Roman"/>
                <w:sz w:val="26"/>
                <w:szCs w:val="28"/>
              </w:rPr>
            </w:pPr>
            <w:r w:rsidRPr="00AD23FB">
              <w:rPr>
                <w:rFonts w:ascii="Times New Roman" w:hAnsi="Times New Roman"/>
                <w:sz w:val="26"/>
                <w:szCs w:val="28"/>
              </w:rPr>
              <w:t>Ministru kabineta noteikumu projekts “</w:t>
            </w:r>
            <w:r w:rsidRPr="00AD23FB">
              <w:rPr>
                <w:rFonts w:ascii="Times New Roman" w:hAnsi="Times New Roman"/>
                <w:bCs/>
                <w:sz w:val="26"/>
                <w:szCs w:val="28"/>
              </w:rPr>
              <w:t xml:space="preserve">Grozījumi </w:t>
            </w:r>
            <w:r w:rsidRPr="00AD23FB">
              <w:rPr>
                <w:rFonts w:ascii="Times New Roman" w:hAnsi="Times New Roman"/>
                <w:sz w:val="26"/>
                <w:szCs w:val="28"/>
              </w:rPr>
              <w:t>Ministru kabineta 2018. gada 11. decembra noteikumos Nr. 793 “</w:t>
            </w:r>
            <w:r w:rsidRPr="00AD23FB">
              <w:rPr>
                <w:rFonts w:ascii="Times New Roman" w:hAnsi="Times New Roman"/>
                <w:bCs/>
                <w:sz w:val="26"/>
                <w:szCs w:val="28"/>
                <w:shd w:val="clear" w:color="auto" w:fill="FFFFFF"/>
              </w:rPr>
              <w:t>Studiju virzienu atvēršanas un akreditācijas noteikumi</w:t>
            </w:r>
            <w:r w:rsidRPr="00AD23FB">
              <w:rPr>
                <w:rFonts w:ascii="Times New Roman" w:hAnsi="Times New Roman"/>
                <w:sz w:val="26"/>
                <w:szCs w:val="28"/>
              </w:rPr>
              <w:t>””;</w:t>
            </w:r>
          </w:p>
          <w:p w14:paraId="24C62384" w14:textId="54DD7AD3" w:rsidR="0018480F" w:rsidRPr="00AD23FB" w:rsidRDefault="0018480F" w:rsidP="007F5953">
            <w:pPr>
              <w:spacing w:after="0" w:line="240" w:lineRule="auto"/>
              <w:jc w:val="both"/>
              <w:rPr>
                <w:rFonts w:ascii="Times New Roman" w:hAnsi="Times New Roman"/>
                <w:sz w:val="26"/>
                <w:szCs w:val="28"/>
              </w:rPr>
            </w:pPr>
            <w:r w:rsidRPr="00AD23FB">
              <w:rPr>
                <w:rFonts w:ascii="Times New Roman" w:hAnsi="Times New Roman"/>
                <w:sz w:val="26"/>
                <w:szCs w:val="28"/>
              </w:rPr>
              <w:t>Ministru kabineta noteikumu projekts „</w:t>
            </w:r>
            <w:r w:rsidRPr="00AD23FB">
              <w:rPr>
                <w:rFonts w:ascii="Times New Roman" w:hAnsi="Times New Roman"/>
                <w:bCs/>
                <w:sz w:val="26"/>
                <w:szCs w:val="28"/>
              </w:rPr>
              <w:t xml:space="preserve">Grozījumi </w:t>
            </w:r>
            <w:r w:rsidRPr="00AD23FB">
              <w:rPr>
                <w:rFonts w:ascii="Times New Roman" w:hAnsi="Times New Roman"/>
                <w:sz w:val="26"/>
                <w:szCs w:val="28"/>
              </w:rPr>
              <w:t>Ministru kabineta 2018. gada 11. decembra noteikumos Nr. 794 “</w:t>
            </w:r>
            <w:r w:rsidRPr="00AD23FB">
              <w:rPr>
                <w:rFonts w:ascii="Times New Roman" w:hAnsi="Times New Roman"/>
                <w:bCs/>
                <w:sz w:val="26"/>
                <w:szCs w:val="28"/>
                <w:shd w:val="clear" w:color="auto" w:fill="FFFFFF"/>
              </w:rPr>
              <w:t>Augstskolu un koledžu akreditācijas noteikumi</w:t>
            </w:r>
            <w:r w:rsidRPr="00AD23FB">
              <w:rPr>
                <w:rFonts w:ascii="Times New Roman" w:hAnsi="Times New Roman"/>
                <w:sz w:val="26"/>
                <w:szCs w:val="28"/>
              </w:rPr>
              <w:t>””;</w:t>
            </w:r>
          </w:p>
          <w:p w14:paraId="3CBF2F08" w14:textId="35A11AB8" w:rsidR="00EB404E" w:rsidRPr="00AD23FB" w:rsidRDefault="0018480F" w:rsidP="007F5953">
            <w:pPr>
              <w:spacing w:after="0" w:line="240" w:lineRule="auto"/>
              <w:jc w:val="both"/>
              <w:rPr>
                <w:rFonts w:ascii="Times New Roman" w:hAnsi="Times New Roman"/>
                <w:sz w:val="26"/>
                <w:szCs w:val="28"/>
              </w:rPr>
            </w:pPr>
            <w:r w:rsidRPr="00AD23FB">
              <w:rPr>
                <w:rFonts w:ascii="Times New Roman" w:hAnsi="Times New Roman"/>
                <w:sz w:val="26"/>
                <w:szCs w:val="28"/>
              </w:rPr>
              <w:t xml:space="preserve">Ministru kabineta noteikumu projekts </w:t>
            </w:r>
            <w:r w:rsidRPr="00AD23FB">
              <w:rPr>
                <w:rFonts w:ascii="Times New Roman" w:hAnsi="Times New Roman"/>
                <w:bCs/>
                <w:sz w:val="26"/>
                <w:szCs w:val="28"/>
              </w:rPr>
              <w:t xml:space="preserve">„Grozījums </w:t>
            </w:r>
            <w:r w:rsidRPr="00AD23FB">
              <w:rPr>
                <w:rFonts w:ascii="Times New Roman" w:hAnsi="Times New Roman"/>
                <w:sz w:val="26"/>
                <w:szCs w:val="28"/>
              </w:rPr>
              <w:t>Ministru kabineta 2018. gada 11. decembra noteikumos Nr. 795 “</w:t>
            </w:r>
            <w:r w:rsidRPr="00AD23FB">
              <w:rPr>
                <w:rFonts w:ascii="Times New Roman" w:hAnsi="Times New Roman"/>
                <w:bCs/>
                <w:sz w:val="26"/>
                <w:szCs w:val="28"/>
              </w:rPr>
              <w:t>Studiju programmu licencēšanas noteikumi</w:t>
            </w:r>
            <w:r w:rsidRPr="00AD23FB">
              <w:rPr>
                <w:rFonts w:ascii="Times New Roman" w:hAnsi="Times New Roman"/>
                <w:sz w:val="26"/>
                <w:szCs w:val="28"/>
              </w:rPr>
              <w:t>””.</w:t>
            </w:r>
          </w:p>
        </w:tc>
      </w:tr>
      <w:tr w:rsidR="00EB404E" w:rsidRPr="00084355" w14:paraId="55A09846" w14:textId="77777777" w:rsidTr="000D6DF0">
        <w:trPr>
          <w:trHeight w:val="420"/>
          <w:jc w:val="center"/>
        </w:trPr>
        <w:tc>
          <w:tcPr>
            <w:tcW w:w="226" w:type="pct"/>
            <w:tcBorders>
              <w:top w:val="single" w:sz="4" w:space="0" w:color="auto"/>
              <w:left w:val="single" w:sz="4" w:space="0" w:color="auto"/>
              <w:bottom w:val="single" w:sz="4" w:space="0" w:color="auto"/>
              <w:right w:val="outset" w:sz="6" w:space="0" w:color="414142"/>
            </w:tcBorders>
          </w:tcPr>
          <w:p w14:paraId="6B794F79" w14:textId="604D4875" w:rsidR="00EB404E" w:rsidRPr="00AD23FB" w:rsidRDefault="00EB404E" w:rsidP="000D6DF0">
            <w:pPr>
              <w:spacing w:after="0" w:line="240" w:lineRule="auto"/>
              <w:jc w:val="both"/>
              <w:rPr>
                <w:rFonts w:ascii="Times New Roman" w:hAnsi="Times New Roman"/>
                <w:sz w:val="26"/>
                <w:szCs w:val="28"/>
              </w:rPr>
            </w:pPr>
            <w:r w:rsidRPr="00AD23FB">
              <w:rPr>
                <w:rFonts w:ascii="Times New Roman" w:hAnsi="Times New Roman"/>
                <w:sz w:val="26"/>
                <w:szCs w:val="28"/>
              </w:rPr>
              <w:t>2.</w:t>
            </w:r>
          </w:p>
        </w:tc>
        <w:tc>
          <w:tcPr>
            <w:tcW w:w="1534" w:type="pct"/>
            <w:tcBorders>
              <w:top w:val="single" w:sz="4" w:space="0" w:color="auto"/>
              <w:left w:val="single" w:sz="4" w:space="0" w:color="auto"/>
              <w:bottom w:val="single" w:sz="4" w:space="0" w:color="auto"/>
              <w:right w:val="outset" w:sz="6" w:space="0" w:color="414142"/>
            </w:tcBorders>
          </w:tcPr>
          <w:p w14:paraId="27EACC05" w14:textId="77777777" w:rsidR="00EB404E" w:rsidRPr="00AD23FB" w:rsidRDefault="00EB404E" w:rsidP="000D6DF0">
            <w:pPr>
              <w:spacing w:after="0" w:line="240" w:lineRule="auto"/>
              <w:jc w:val="both"/>
              <w:rPr>
                <w:rFonts w:ascii="Times New Roman" w:hAnsi="Times New Roman"/>
                <w:sz w:val="26"/>
                <w:szCs w:val="28"/>
              </w:rPr>
            </w:pPr>
            <w:r w:rsidRPr="00AD23FB">
              <w:rPr>
                <w:rFonts w:ascii="Times New Roman" w:hAnsi="Times New Roman"/>
                <w:sz w:val="26"/>
                <w:szCs w:val="28"/>
              </w:rPr>
              <w:t>Atbildīgā institūcija</w:t>
            </w:r>
          </w:p>
        </w:tc>
        <w:tc>
          <w:tcPr>
            <w:tcW w:w="3240" w:type="pct"/>
            <w:tcBorders>
              <w:top w:val="single" w:sz="4" w:space="0" w:color="auto"/>
              <w:left w:val="single" w:sz="4" w:space="0" w:color="auto"/>
              <w:bottom w:val="single" w:sz="4" w:space="0" w:color="auto"/>
              <w:right w:val="outset" w:sz="6" w:space="0" w:color="414142"/>
            </w:tcBorders>
          </w:tcPr>
          <w:p w14:paraId="75A1A76B" w14:textId="77777777" w:rsidR="00EB404E" w:rsidRPr="00AD23FB" w:rsidRDefault="00EB404E" w:rsidP="000D6DF0">
            <w:pPr>
              <w:spacing w:after="0" w:line="240" w:lineRule="auto"/>
              <w:jc w:val="both"/>
              <w:rPr>
                <w:rFonts w:ascii="Times New Roman" w:hAnsi="Times New Roman"/>
                <w:sz w:val="26"/>
                <w:szCs w:val="28"/>
              </w:rPr>
            </w:pPr>
            <w:r w:rsidRPr="00AD23FB">
              <w:rPr>
                <w:rFonts w:ascii="Times New Roman" w:hAnsi="Times New Roman"/>
                <w:sz w:val="26"/>
                <w:szCs w:val="28"/>
              </w:rPr>
              <w:t>Izglītības un zinātnes ministrija.</w:t>
            </w:r>
          </w:p>
        </w:tc>
      </w:tr>
      <w:tr w:rsidR="00EB404E" w:rsidRPr="00084355" w14:paraId="69C2D94F" w14:textId="77777777" w:rsidTr="000D6DF0">
        <w:trPr>
          <w:trHeight w:val="420"/>
          <w:jc w:val="center"/>
        </w:trPr>
        <w:tc>
          <w:tcPr>
            <w:tcW w:w="226" w:type="pct"/>
            <w:tcBorders>
              <w:top w:val="single" w:sz="4" w:space="0" w:color="auto"/>
              <w:left w:val="single" w:sz="4" w:space="0" w:color="auto"/>
              <w:bottom w:val="single" w:sz="4" w:space="0" w:color="auto"/>
              <w:right w:val="outset" w:sz="6" w:space="0" w:color="414142"/>
            </w:tcBorders>
          </w:tcPr>
          <w:p w14:paraId="0CFE9E8F" w14:textId="77777777" w:rsidR="00EB404E" w:rsidRPr="00AD23FB" w:rsidRDefault="00EB404E" w:rsidP="000D6DF0">
            <w:pPr>
              <w:spacing w:after="0" w:line="240" w:lineRule="auto"/>
              <w:jc w:val="both"/>
              <w:rPr>
                <w:rFonts w:ascii="Times New Roman" w:hAnsi="Times New Roman"/>
                <w:sz w:val="26"/>
                <w:szCs w:val="28"/>
              </w:rPr>
            </w:pPr>
            <w:r w:rsidRPr="00AD23FB">
              <w:rPr>
                <w:rFonts w:ascii="Times New Roman" w:hAnsi="Times New Roman"/>
                <w:sz w:val="26"/>
                <w:szCs w:val="28"/>
              </w:rPr>
              <w:t>3.</w:t>
            </w:r>
          </w:p>
        </w:tc>
        <w:tc>
          <w:tcPr>
            <w:tcW w:w="1534" w:type="pct"/>
            <w:tcBorders>
              <w:top w:val="single" w:sz="4" w:space="0" w:color="auto"/>
              <w:left w:val="single" w:sz="4" w:space="0" w:color="auto"/>
              <w:bottom w:val="single" w:sz="4" w:space="0" w:color="auto"/>
              <w:right w:val="outset" w:sz="6" w:space="0" w:color="414142"/>
            </w:tcBorders>
          </w:tcPr>
          <w:p w14:paraId="1F15815C" w14:textId="77777777" w:rsidR="00EB404E" w:rsidRPr="00AD23FB" w:rsidRDefault="00EB404E" w:rsidP="000D6DF0">
            <w:pPr>
              <w:spacing w:after="0" w:line="240" w:lineRule="auto"/>
              <w:jc w:val="both"/>
              <w:rPr>
                <w:rFonts w:ascii="Times New Roman" w:hAnsi="Times New Roman"/>
                <w:sz w:val="26"/>
                <w:szCs w:val="28"/>
              </w:rPr>
            </w:pPr>
            <w:r w:rsidRPr="00AD23FB">
              <w:rPr>
                <w:rFonts w:ascii="Times New Roman" w:hAnsi="Times New Roman"/>
                <w:sz w:val="26"/>
                <w:szCs w:val="28"/>
              </w:rPr>
              <w:t>Cita informācija</w:t>
            </w:r>
          </w:p>
        </w:tc>
        <w:tc>
          <w:tcPr>
            <w:tcW w:w="3240" w:type="pct"/>
            <w:tcBorders>
              <w:top w:val="single" w:sz="4" w:space="0" w:color="auto"/>
              <w:left w:val="single" w:sz="4" w:space="0" w:color="auto"/>
              <w:bottom w:val="single" w:sz="4" w:space="0" w:color="auto"/>
              <w:right w:val="outset" w:sz="6" w:space="0" w:color="414142"/>
            </w:tcBorders>
          </w:tcPr>
          <w:p w14:paraId="17105CBF" w14:textId="77777777" w:rsidR="00EB404E" w:rsidRPr="00AD23FB" w:rsidRDefault="00EB404E" w:rsidP="000D6DF0">
            <w:pPr>
              <w:spacing w:after="0" w:line="240" w:lineRule="auto"/>
              <w:jc w:val="both"/>
              <w:rPr>
                <w:rFonts w:ascii="Times New Roman" w:hAnsi="Times New Roman"/>
                <w:sz w:val="26"/>
                <w:szCs w:val="28"/>
              </w:rPr>
            </w:pPr>
            <w:r w:rsidRPr="00AD23FB">
              <w:rPr>
                <w:rFonts w:ascii="Times New Roman" w:hAnsi="Times New Roman"/>
                <w:sz w:val="26"/>
                <w:szCs w:val="28"/>
              </w:rPr>
              <w:t>Nav.</w:t>
            </w:r>
          </w:p>
        </w:tc>
      </w:tr>
    </w:tbl>
    <w:p w14:paraId="2216687C" w14:textId="77777777" w:rsidR="006C5D0A" w:rsidRPr="00AD23FB" w:rsidRDefault="006C5D0A" w:rsidP="00354869">
      <w:pPr>
        <w:spacing w:after="0" w:line="240" w:lineRule="auto"/>
        <w:jc w:val="both"/>
        <w:rPr>
          <w:rFonts w:ascii="Times New Roman" w:eastAsia="Times New Roman" w:hAnsi="Times New Roman"/>
          <w:sz w:val="26"/>
          <w:szCs w:val="28"/>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BB0E6D" w:rsidRPr="00084355" w14:paraId="2216687E" w14:textId="77777777" w:rsidTr="00ED4330">
        <w:trPr>
          <w:trHeight w:val="442"/>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2216687D" w14:textId="6FA77B9A" w:rsidR="000E1A83" w:rsidRPr="00AD23FB" w:rsidRDefault="00363BB6" w:rsidP="003367EF">
            <w:pPr>
              <w:spacing w:before="100" w:beforeAutospacing="1" w:after="100" w:afterAutospacing="1" w:line="293" w:lineRule="atLeast"/>
              <w:jc w:val="both"/>
              <w:rPr>
                <w:rFonts w:ascii="Times New Roman" w:hAnsi="Times New Roman"/>
                <w:b/>
                <w:bCs/>
                <w:sz w:val="26"/>
                <w:szCs w:val="28"/>
              </w:rPr>
            </w:pPr>
            <w:r w:rsidRPr="00AD23FB">
              <w:rPr>
                <w:rFonts w:ascii="Times New Roman" w:hAnsi="Times New Roman"/>
                <w:sz w:val="26"/>
                <w:szCs w:val="28"/>
              </w:rPr>
              <w:t> </w:t>
            </w:r>
            <w:r w:rsidRPr="00AD23FB">
              <w:rPr>
                <w:rFonts w:ascii="Times New Roman" w:hAnsi="Times New Roman"/>
                <w:b/>
                <w:bCs/>
                <w:sz w:val="26"/>
                <w:szCs w:val="28"/>
              </w:rPr>
              <w:t>V. Tiesību akt</w:t>
            </w:r>
            <w:r w:rsidR="002B209B" w:rsidRPr="00AD23FB">
              <w:rPr>
                <w:rFonts w:ascii="Times New Roman" w:hAnsi="Times New Roman"/>
                <w:b/>
                <w:bCs/>
                <w:sz w:val="26"/>
                <w:szCs w:val="28"/>
              </w:rPr>
              <w:t>u</w:t>
            </w:r>
            <w:r w:rsidRPr="00AD23FB">
              <w:rPr>
                <w:rFonts w:ascii="Times New Roman" w:hAnsi="Times New Roman"/>
                <w:b/>
                <w:bCs/>
                <w:sz w:val="26"/>
                <w:szCs w:val="28"/>
              </w:rPr>
              <w:t xml:space="preserve"> projekt</w:t>
            </w:r>
            <w:r w:rsidR="003367EF" w:rsidRPr="00AD23FB">
              <w:rPr>
                <w:rFonts w:ascii="Times New Roman" w:hAnsi="Times New Roman"/>
                <w:b/>
                <w:bCs/>
                <w:sz w:val="26"/>
                <w:szCs w:val="28"/>
              </w:rPr>
              <w:t>u</w:t>
            </w:r>
            <w:r w:rsidRPr="00AD23FB">
              <w:rPr>
                <w:rFonts w:ascii="Times New Roman" w:hAnsi="Times New Roman"/>
                <w:b/>
                <w:bCs/>
                <w:sz w:val="26"/>
                <w:szCs w:val="28"/>
              </w:rPr>
              <w:t xml:space="preserve"> atbilstība Latvijas Republikas starptautiskajām saistībām</w:t>
            </w:r>
          </w:p>
        </w:tc>
      </w:tr>
      <w:tr w:rsidR="00BB0E6D" w:rsidRPr="00084355" w14:paraId="22166880" w14:textId="77777777" w:rsidTr="00A92049">
        <w:trPr>
          <w:trHeight w:val="306"/>
        </w:trPr>
        <w:tc>
          <w:tcPr>
            <w:tcW w:w="5000" w:type="pct"/>
            <w:tcBorders>
              <w:top w:val="outset" w:sz="6" w:space="0" w:color="414142"/>
              <w:left w:val="outset" w:sz="6" w:space="0" w:color="414142"/>
              <w:bottom w:val="outset" w:sz="6" w:space="0" w:color="414142"/>
              <w:right w:val="outset" w:sz="6" w:space="0" w:color="414142"/>
            </w:tcBorders>
            <w:hideMark/>
          </w:tcPr>
          <w:p w14:paraId="2216687F" w14:textId="77777777" w:rsidR="000E1A83" w:rsidRPr="00AD23FB" w:rsidRDefault="00363BB6" w:rsidP="00354869">
            <w:pPr>
              <w:spacing w:after="0" w:line="240" w:lineRule="auto"/>
              <w:jc w:val="center"/>
              <w:rPr>
                <w:rFonts w:ascii="Times New Roman" w:hAnsi="Times New Roman"/>
                <w:sz w:val="26"/>
                <w:szCs w:val="28"/>
              </w:rPr>
            </w:pPr>
            <w:r w:rsidRPr="00AD23FB">
              <w:rPr>
                <w:rFonts w:ascii="Times New Roman" w:hAnsi="Times New Roman"/>
                <w:sz w:val="26"/>
                <w:szCs w:val="28"/>
              </w:rPr>
              <w:t xml:space="preserve">Projekts </w:t>
            </w:r>
            <w:r w:rsidR="003F580D" w:rsidRPr="00AD23FB">
              <w:rPr>
                <w:rFonts w:ascii="Times New Roman" w:hAnsi="Times New Roman"/>
                <w:sz w:val="26"/>
                <w:szCs w:val="28"/>
              </w:rPr>
              <w:t>neskar Latvijas Republikas starptautiskās saistības</w:t>
            </w:r>
            <w:r w:rsidRPr="00AD23FB">
              <w:rPr>
                <w:rFonts w:ascii="Times New Roman" w:hAnsi="Times New Roman"/>
                <w:sz w:val="26"/>
                <w:szCs w:val="28"/>
              </w:rPr>
              <w:t>.</w:t>
            </w:r>
          </w:p>
        </w:tc>
      </w:tr>
    </w:tbl>
    <w:p w14:paraId="22166881" w14:textId="77777777" w:rsidR="000E1A83" w:rsidRPr="00AD23FB" w:rsidRDefault="000E1A83" w:rsidP="00354869">
      <w:pPr>
        <w:spacing w:after="0" w:line="240" w:lineRule="auto"/>
        <w:jc w:val="both"/>
        <w:rPr>
          <w:rFonts w:ascii="Times New Roman" w:eastAsia="Times New Roman" w:hAnsi="Times New Roman"/>
          <w:sz w:val="26"/>
          <w:szCs w:val="28"/>
          <w:lang w:eastAsia="lv-LV"/>
        </w:rPr>
      </w:pPr>
    </w:p>
    <w:tbl>
      <w:tblPr>
        <w:tblStyle w:val="TableGrid"/>
        <w:tblW w:w="5000" w:type="pct"/>
        <w:tblLook w:val="04A0" w:firstRow="1" w:lastRow="0" w:firstColumn="1" w:lastColumn="0" w:noHBand="0" w:noVBand="1"/>
      </w:tblPr>
      <w:tblGrid>
        <w:gridCol w:w="3320"/>
        <w:gridCol w:w="5741"/>
      </w:tblGrid>
      <w:tr w:rsidR="00BB0E6D" w:rsidRPr="00084355" w14:paraId="22166883" w14:textId="77777777" w:rsidTr="00C43B41">
        <w:trPr>
          <w:trHeight w:val="420"/>
        </w:trPr>
        <w:tc>
          <w:tcPr>
            <w:tcW w:w="0" w:type="auto"/>
            <w:gridSpan w:val="2"/>
            <w:hideMark/>
          </w:tcPr>
          <w:p w14:paraId="22166882" w14:textId="77777777" w:rsidR="00972CE8" w:rsidRPr="00AD23FB" w:rsidRDefault="00972CE8" w:rsidP="00354869">
            <w:pPr>
              <w:spacing w:after="0" w:line="240" w:lineRule="auto"/>
              <w:jc w:val="both"/>
              <w:rPr>
                <w:rFonts w:ascii="Times New Roman" w:hAnsi="Times New Roman"/>
                <w:b/>
                <w:bCs/>
                <w:sz w:val="26"/>
                <w:szCs w:val="28"/>
              </w:rPr>
            </w:pPr>
            <w:r w:rsidRPr="00AD23FB">
              <w:rPr>
                <w:rFonts w:ascii="Times New Roman" w:hAnsi="Times New Roman"/>
                <w:b/>
                <w:bCs/>
                <w:sz w:val="26"/>
                <w:szCs w:val="28"/>
              </w:rPr>
              <w:t>VI. Sabiedrības līdzdalība un komunikācijas aktivitātes</w:t>
            </w:r>
          </w:p>
        </w:tc>
      </w:tr>
      <w:tr w:rsidR="00BB0E6D" w:rsidRPr="00084355" w14:paraId="22166886" w14:textId="77777777" w:rsidTr="00C43B41">
        <w:trPr>
          <w:trHeight w:val="540"/>
        </w:trPr>
        <w:tc>
          <w:tcPr>
            <w:tcW w:w="1741" w:type="pct"/>
            <w:hideMark/>
          </w:tcPr>
          <w:p w14:paraId="22166884" w14:textId="7F165272" w:rsidR="00972CE8" w:rsidRPr="00AD23FB" w:rsidRDefault="00972CE8" w:rsidP="00354869">
            <w:pPr>
              <w:spacing w:after="0" w:line="240" w:lineRule="auto"/>
              <w:jc w:val="both"/>
              <w:rPr>
                <w:rFonts w:ascii="Times New Roman" w:hAnsi="Times New Roman"/>
                <w:sz w:val="26"/>
                <w:szCs w:val="28"/>
              </w:rPr>
            </w:pPr>
            <w:r w:rsidRPr="00AD23FB">
              <w:rPr>
                <w:rFonts w:ascii="Times New Roman" w:hAnsi="Times New Roman"/>
                <w:sz w:val="26"/>
                <w:szCs w:val="28"/>
              </w:rPr>
              <w:t xml:space="preserve">Plānotās sabiedrības līdzdalības un komunikācijas </w:t>
            </w:r>
            <w:r w:rsidR="002B209B" w:rsidRPr="00AD23FB">
              <w:rPr>
                <w:rFonts w:ascii="Times New Roman" w:hAnsi="Times New Roman"/>
                <w:sz w:val="26"/>
                <w:szCs w:val="28"/>
              </w:rPr>
              <w:t>aktivitātes saistībā ar projektiem</w:t>
            </w:r>
          </w:p>
        </w:tc>
        <w:tc>
          <w:tcPr>
            <w:tcW w:w="3010" w:type="pct"/>
            <w:hideMark/>
          </w:tcPr>
          <w:p w14:paraId="22166885" w14:textId="6CA024C1" w:rsidR="00972CE8" w:rsidRPr="00AD23FB" w:rsidRDefault="00A9702E" w:rsidP="00AD23FB">
            <w:pPr>
              <w:spacing w:after="0" w:line="240" w:lineRule="auto"/>
              <w:jc w:val="both"/>
              <w:rPr>
                <w:rFonts w:ascii="Times New Roman" w:hAnsi="Times New Roman"/>
                <w:bCs/>
                <w:sz w:val="26"/>
                <w:szCs w:val="28"/>
              </w:rPr>
            </w:pPr>
            <w:r w:rsidRPr="00AD23FB">
              <w:rPr>
                <w:rFonts w:ascii="Times New Roman" w:hAnsi="Times New Roman"/>
                <w:sz w:val="26"/>
                <w:szCs w:val="28"/>
              </w:rPr>
              <w:t xml:space="preserve">Projekti pirms izsludināšanas Valsts sekretāru sanāksmē tiks publicēti </w:t>
            </w:r>
            <w:r w:rsidR="00120D2C" w:rsidRPr="00AD23FB">
              <w:rPr>
                <w:rFonts w:ascii="Times New Roman" w:hAnsi="Times New Roman"/>
                <w:sz w:val="26"/>
                <w:szCs w:val="28"/>
              </w:rPr>
              <w:t xml:space="preserve">sabiedriskajai apspriešanai </w:t>
            </w:r>
            <w:r w:rsidRPr="00AD23FB">
              <w:rPr>
                <w:rFonts w:ascii="Times New Roman" w:hAnsi="Times New Roman"/>
                <w:sz w:val="26"/>
                <w:szCs w:val="28"/>
              </w:rPr>
              <w:t>Izglītības un zinātnes ministrijas un Valsts kancelejas tīmekļvietnē</w:t>
            </w:r>
            <w:r w:rsidR="00AD23FB">
              <w:rPr>
                <w:rFonts w:ascii="Times New Roman" w:hAnsi="Times New Roman"/>
                <w:sz w:val="26"/>
                <w:szCs w:val="28"/>
              </w:rPr>
              <w:t>s.</w:t>
            </w:r>
            <w:r w:rsidR="00120D2C" w:rsidRPr="00AD23FB">
              <w:rPr>
                <w:rFonts w:ascii="Times New Roman" w:hAnsi="Times New Roman"/>
                <w:sz w:val="26"/>
                <w:szCs w:val="28"/>
              </w:rPr>
              <w:t xml:space="preserve"> </w:t>
            </w:r>
          </w:p>
        </w:tc>
      </w:tr>
      <w:tr w:rsidR="00BB0E6D" w:rsidRPr="00084355" w14:paraId="22166889" w14:textId="77777777" w:rsidTr="00C43B41">
        <w:trPr>
          <w:trHeight w:val="330"/>
        </w:trPr>
        <w:tc>
          <w:tcPr>
            <w:tcW w:w="1741" w:type="pct"/>
            <w:hideMark/>
          </w:tcPr>
          <w:p w14:paraId="22166887" w14:textId="5AB3FF6D" w:rsidR="00972CE8" w:rsidRPr="00AD23FB" w:rsidRDefault="00972CE8" w:rsidP="002B209B">
            <w:pPr>
              <w:spacing w:after="0" w:line="240" w:lineRule="auto"/>
              <w:jc w:val="both"/>
              <w:rPr>
                <w:rFonts w:ascii="Times New Roman" w:hAnsi="Times New Roman"/>
                <w:sz w:val="26"/>
                <w:szCs w:val="28"/>
              </w:rPr>
            </w:pPr>
            <w:r w:rsidRPr="00AD23FB">
              <w:rPr>
                <w:rFonts w:ascii="Times New Roman" w:hAnsi="Times New Roman"/>
                <w:sz w:val="26"/>
                <w:szCs w:val="28"/>
              </w:rPr>
              <w:t>Sabiedrības līdzdalība projekt</w:t>
            </w:r>
            <w:r w:rsidR="002B209B" w:rsidRPr="00AD23FB">
              <w:rPr>
                <w:rFonts w:ascii="Times New Roman" w:hAnsi="Times New Roman"/>
                <w:sz w:val="26"/>
                <w:szCs w:val="28"/>
              </w:rPr>
              <w:t>u</w:t>
            </w:r>
            <w:r w:rsidRPr="00AD23FB">
              <w:rPr>
                <w:rFonts w:ascii="Times New Roman" w:hAnsi="Times New Roman"/>
                <w:sz w:val="26"/>
                <w:szCs w:val="28"/>
              </w:rPr>
              <w:t xml:space="preserve"> izstrādē</w:t>
            </w:r>
          </w:p>
        </w:tc>
        <w:tc>
          <w:tcPr>
            <w:tcW w:w="3010" w:type="pct"/>
            <w:hideMark/>
          </w:tcPr>
          <w:p w14:paraId="22166888" w14:textId="04B09305" w:rsidR="00972CE8" w:rsidRPr="00AD23FB" w:rsidRDefault="00481E0A" w:rsidP="00354869">
            <w:pPr>
              <w:spacing w:after="0" w:line="240" w:lineRule="auto"/>
              <w:jc w:val="both"/>
              <w:rPr>
                <w:rFonts w:ascii="Times New Roman" w:hAnsi="Times New Roman"/>
                <w:sz w:val="26"/>
                <w:szCs w:val="28"/>
              </w:rPr>
            </w:pPr>
            <w:r w:rsidRPr="00AD23FB">
              <w:rPr>
                <w:rFonts w:ascii="Times New Roman" w:hAnsi="Times New Roman"/>
                <w:sz w:val="26"/>
                <w:szCs w:val="28"/>
              </w:rPr>
              <w:t>Informācija tiks papildināta atkarībā no sabiedriskās apspriešanas rezultātiem.</w:t>
            </w:r>
          </w:p>
        </w:tc>
      </w:tr>
      <w:tr w:rsidR="00BB0E6D" w:rsidRPr="00084355" w14:paraId="2216688C" w14:textId="77777777" w:rsidTr="00C43B41">
        <w:trPr>
          <w:trHeight w:val="465"/>
        </w:trPr>
        <w:tc>
          <w:tcPr>
            <w:tcW w:w="1741" w:type="pct"/>
            <w:hideMark/>
          </w:tcPr>
          <w:p w14:paraId="2216688A" w14:textId="77777777" w:rsidR="00972CE8" w:rsidRPr="00AD23FB" w:rsidRDefault="00972CE8" w:rsidP="00354869">
            <w:pPr>
              <w:spacing w:after="0" w:line="240" w:lineRule="auto"/>
              <w:jc w:val="both"/>
              <w:rPr>
                <w:rFonts w:ascii="Times New Roman" w:hAnsi="Times New Roman"/>
                <w:sz w:val="26"/>
                <w:szCs w:val="28"/>
              </w:rPr>
            </w:pPr>
            <w:r w:rsidRPr="00AD23FB">
              <w:rPr>
                <w:rFonts w:ascii="Times New Roman" w:hAnsi="Times New Roman"/>
                <w:sz w:val="26"/>
                <w:szCs w:val="28"/>
              </w:rPr>
              <w:t>Sabiedrības līdzdalības rezultāti</w:t>
            </w:r>
          </w:p>
        </w:tc>
        <w:tc>
          <w:tcPr>
            <w:tcW w:w="3010" w:type="pct"/>
            <w:hideMark/>
          </w:tcPr>
          <w:p w14:paraId="2216688B" w14:textId="644D4DDA" w:rsidR="00972CE8" w:rsidRPr="00AD23FB" w:rsidRDefault="00481E0A" w:rsidP="00354869">
            <w:pPr>
              <w:spacing w:after="0" w:line="240" w:lineRule="auto"/>
              <w:jc w:val="both"/>
              <w:rPr>
                <w:rFonts w:ascii="Times New Roman" w:hAnsi="Times New Roman"/>
                <w:sz w:val="26"/>
                <w:szCs w:val="28"/>
              </w:rPr>
            </w:pPr>
            <w:r w:rsidRPr="00AD23FB">
              <w:rPr>
                <w:rFonts w:ascii="Times New Roman" w:hAnsi="Times New Roman"/>
                <w:sz w:val="26"/>
                <w:szCs w:val="28"/>
              </w:rPr>
              <w:t>Sadaļa tiks precizēta atkarībā no sabiedriskās apspriešanas rezultātiem.</w:t>
            </w:r>
          </w:p>
        </w:tc>
      </w:tr>
      <w:tr w:rsidR="00BB0E6D" w:rsidRPr="00084355" w14:paraId="2216688F" w14:textId="77777777" w:rsidTr="00C43B41">
        <w:trPr>
          <w:trHeight w:val="465"/>
        </w:trPr>
        <w:tc>
          <w:tcPr>
            <w:tcW w:w="1741" w:type="pct"/>
            <w:hideMark/>
          </w:tcPr>
          <w:p w14:paraId="2216688D" w14:textId="77777777" w:rsidR="00972CE8" w:rsidRPr="00AD23FB" w:rsidRDefault="00972CE8" w:rsidP="00354869">
            <w:pPr>
              <w:spacing w:after="0" w:line="240" w:lineRule="auto"/>
              <w:jc w:val="both"/>
              <w:rPr>
                <w:rFonts w:ascii="Times New Roman" w:hAnsi="Times New Roman"/>
                <w:sz w:val="26"/>
                <w:szCs w:val="28"/>
              </w:rPr>
            </w:pPr>
            <w:r w:rsidRPr="00AD23FB">
              <w:rPr>
                <w:rFonts w:ascii="Times New Roman" w:hAnsi="Times New Roman"/>
                <w:sz w:val="26"/>
                <w:szCs w:val="28"/>
              </w:rPr>
              <w:t>Cita informācija</w:t>
            </w:r>
          </w:p>
        </w:tc>
        <w:tc>
          <w:tcPr>
            <w:tcW w:w="3010" w:type="pct"/>
            <w:hideMark/>
          </w:tcPr>
          <w:p w14:paraId="2216688E" w14:textId="77777777" w:rsidR="00972CE8" w:rsidRPr="00AD23FB" w:rsidRDefault="009009EA" w:rsidP="00354869">
            <w:pPr>
              <w:spacing w:after="0" w:line="240" w:lineRule="auto"/>
              <w:jc w:val="both"/>
              <w:rPr>
                <w:rFonts w:ascii="Times New Roman" w:hAnsi="Times New Roman"/>
                <w:sz w:val="26"/>
                <w:szCs w:val="28"/>
              </w:rPr>
            </w:pPr>
            <w:r w:rsidRPr="00AD23FB">
              <w:rPr>
                <w:rFonts w:ascii="Times New Roman" w:hAnsi="Times New Roman"/>
                <w:sz w:val="26"/>
                <w:szCs w:val="28"/>
              </w:rPr>
              <w:t>Nav.</w:t>
            </w:r>
          </w:p>
        </w:tc>
      </w:tr>
    </w:tbl>
    <w:p w14:paraId="22166890" w14:textId="77777777" w:rsidR="000E1A83" w:rsidRPr="00AD23FB" w:rsidRDefault="000E1A83" w:rsidP="00354869">
      <w:pPr>
        <w:spacing w:after="0" w:line="240" w:lineRule="auto"/>
        <w:jc w:val="both"/>
        <w:rPr>
          <w:rFonts w:ascii="Times New Roman" w:eastAsia="Times New Roman" w:hAnsi="Times New Roman"/>
          <w:sz w:val="26"/>
          <w:szCs w:val="28"/>
          <w:lang w:eastAsia="lv-LV"/>
        </w:rPr>
      </w:pPr>
    </w:p>
    <w:tbl>
      <w:tblPr>
        <w:tblStyle w:val="TableGrid"/>
        <w:tblW w:w="5000" w:type="pct"/>
        <w:tblLook w:val="04A0" w:firstRow="1" w:lastRow="0" w:firstColumn="1" w:lastColumn="0" w:noHBand="0" w:noVBand="1"/>
      </w:tblPr>
      <w:tblGrid>
        <w:gridCol w:w="453"/>
        <w:gridCol w:w="3664"/>
        <w:gridCol w:w="4944"/>
      </w:tblGrid>
      <w:tr w:rsidR="00BB0E6D" w:rsidRPr="00084355" w14:paraId="22166893" w14:textId="77777777" w:rsidTr="007A2871">
        <w:trPr>
          <w:trHeight w:val="375"/>
        </w:trPr>
        <w:tc>
          <w:tcPr>
            <w:tcW w:w="0" w:type="auto"/>
            <w:gridSpan w:val="3"/>
            <w:hideMark/>
          </w:tcPr>
          <w:p w14:paraId="22166892" w14:textId="529AAE84" w:rsidR="00C96AD3" w:rsidRPr="00AD23FB" w:rsidRDefault="00363BB6" w:rsidP="002B209B">
            <w:pPr>
              <w:spacing w:before="100" w:beforeAutospacing="1" w:after="100" w:afterAutospacing="1" w:line="360" w:lineRule="auto"/>
              <w:ind w:firstLine="300"/>
              <w:jc w:val="both"/>
              <w:rPr>
                <w:rFonts w:ascii="Times New Roman" w:eastAsia="Times New Roman" w:hAnsi="Times New Roman"/>
                <w:b/>
                <w:bCs/>
                <w:sz w:val="26"/>
                <w:szCs w:val="28"/>
                <w:lang w:eastAsia="lv-LV"/>
              </w:rPr>
            </w:pPr>
            <w:r w:rsidRPr="00AD23FB">
              <w:rPr>
                <w:rFonts w:ascii="Times New Roman" w:eastAsia="Times New Roman" w:hAnsi="Times New Roman"/>
                <w:b/>
                <w:bCs/>
                <w:sz w:val="26"/>
                <w:szCs w:val="28"/>
                <w:lang w:eastAsia="lv-LV"/>
              </w:rPr>
              <w:lastRenderedPageBreak/>
              <w:t>VII. Tiesību akt</w:t>
            </w:r>
            <w:r w:rsidR="002B209B" w:rsidRPr="00AD23FB">
              <w:rPr>
                <w:rFonts w:ascii="Times New Roman" w:eastAsia="Times New Roman" w:hAnsi="Times New Roman"/>
                <w:b/>
                <w:bCs/>
                <w:sz w:val="26"/>
                <w:szCs w:val="28"/>
                <w:lang w:eastAsia="lv-LV"/>
              </w:rPr>
              <w:t>u</w:t>
            </w:r>
            <w:r w:rsidRPr="00AD23FB">
              <w:rPr>
                <w:rFonts w:ascii="Times New Roman" w:eastAsia="Times New Roman" w:hAnsi="Times New Roman"/>
                <w:b/>
                <w:bCs/>
                <w:sz w:val="26"/>
                <w:szCs w:val="28"/>
                <w:lang w:eastAsia="lv-LV"/>
              </w:rPr>
              <w:t xml:space="preserve"> </w:t>
            </w:r>
            <w:r w:rsidR="002B209B" w:rsidRPr="00AD23FB">
              <w:rPr>
                <w:rFonts w:ascii="Times New Roman" w:eastAsia="Times New Roman" w:hAnsi="Times New Roman"/>
                <w:b/>
                <w:bCs/>
                <w:sz w:val="26"/>
                <w:szCs w:val="28"/>
                <w:lang w:eastAsia="lv-LV"/>
              </w:rPr>
              <w:t>projektu</w:t>
            </w:r>
            <w:r w:rsidRPr="00AD23FB">
              <w:rPr>
                <w:rFonts w:ascii="Times New Roman" w:eastAsia="Times New Roman" w:hAnsi="Times New Roman"/>
                <w:b/>
                <w:bCs/>
                <w:sz w:val="26"/>
                <w:szCs w:val="28"/>
                <w:lang w:eastAsia="lv-LV"/>
              </w:rPr>
              <w:t xml:space="preserve"> izpildes nodrošināšana un tās ietekme uz institūcijām</w:t>
            </w:r>
          </w:p>
        </w:tc>
      </w:tr>
      <w:tr w:rsidR="00BB0E6D" w:rsidRPr="00084355" w14:paraId="22166897" w14:textId="77777777" w:rsidTr="000E1A83">
        <w:trPr>
          <w:trHeight w:val="420"/>
        </w:trPr>
        <w:tc>
          <w:tcPr>
            <w:tcW w:w="250" w:type="pct"/>
            <w:hideMark/>
          </w:tcPr>
          <w:p w14:paraId="22166894" w14:textId="77777777" w:rsidR="00C96AD3" w:rsidRPr="00AD23FB" w:rsidRDefault="00363BB6" w:rsidP="00354869">
            <w:pPr>
              <w:spacing w:after="0" w:line="240" w:lineRule="auto"/>
              <w:jc w:val="both"/>
              <w:rPr>
                <w:rFonts w:ascii="Times New Roman" w:eastAsia="Times New Roman" w:hAnsi="Times New Roman"/>
                <w:sz w:val="26"/>
                <w:szCs w:val="28"/>
                <w:lang w:eastAsia="lv-LV"/>
              </w:rPr>
            </w:pPr>
            <w:r w:rsidRPr="00AD23FB">
              <w:rPr>
                <w:rFonts w:ascii="Times New Roman" w:eastAsia="Times New Roman" w:hAnsi="Times New Roman"/>
                <w:sz w:val="26"/>
                <w:szCs w:val="28"/>
                <w:lang w:eastAsia="lv-LV"/>
              </w:rPr>
              <w:t>1.</w:t>
            </w:r>
          </w:p>
        </w:tc>
        <w:tc>
          <w:tcPr>
            <w:tcW w:w="2022" w:type="pct"/>
            <w:hideMark/>
          </w:tcPr>
          <w:p w14:paraId="22166895" w14:textId="2E66F1D3" w:rsidR="00C96AD3" w:rsidRPr="00AD23FB" w:rsidRDefault="00363BB6" w:rsidP="002B209B">
            <w:pPr>
              <w:spacing w:after="0" w:line="240" w:lineRule="auto"/>
              <w:jc w:val="both"/>
              <w:rPr>
                <w:rFonts w:ascii="Times New Roman" w:eastAsia="Times New Roman" w:hAnsi="Times New Roman"/>
                <w:sz w:val="26"/>
                <w:szCs w:val="28"/>
                <w:lang w:eastAsia="lv-LV"/>
              </w:rPr>
            </w:pPr>
            <w:r w:rsidRPr="00AD23FB">
              <w:rPr>
                <w:rFonts w:ascii="Times New Roman" w:eastAsia="Times New Roman" w:hAnsi="Times New Roman"/>
                <w:sz w:val="26"/>
                <w:szCs w:val="28"/>
                <w:lang w:eastAsia="lv-LV"/>
              </w:rPr>
              <w:t>Projekt</w:t>
            </w:r>
            <w:r w:rsidR="002B209B" w:rsidRPr="00AD23FB">
              <w:rPr>
                <w:rFonts w:ascii="Times New Roman" w:eastAsia="Times New Roman" w:hAnsi="Times New Roman"/>
                <w:sz w:val="26"/>
                <w:szCs w:val="28"/>
                <w:lang w:eastAsia="lv-LV"/>
              </w:rPr>
              <w:t>u</w:t>
            </w:r>
            <w:r w:rsidRPr="00AD23FB">
              <w:rPr>
                <w:rFonts w:ascii="Times New Roman" w:eastAsia="Times New Roman" w:hAnsi="Times New Roman"/>
                <w:sz w:val="26"/>
                <w:szCs w:val="28"/>
                <w:lang w:eastAsia="lv-LV"/>
              </w:rPr>
              <w:t xml:space="preserve"> izpildē iesaistītās institūcijas</w:t>
            </w:r>
          </w:p>
        </w:tc>
        <w:tc>
          <w:tcPr>
            <w:tcW w:w="2728" w:type="pct"/>
            <w:hideMark/>
          </w:tcPr>
          <w:p w14:paraId="22166896" w14:textId="3A370CA2" w:rsidR="00C96AD3" w:rsidRPr="00AD23FB" w:rsidRDefault="002B209B" w:rsidP="002B209B">
            <w:pPr>
              <w:spacing w:after="0" w:line="240" w:lineRule="auto"/>
              <w:jc w:val="both"/>
              <w:rPr>
                <w:rFonts w:ascii="Times New Roman" w:eastAsia="Times New Roman" w:hAnsi="Times New Roman"/>
                <w:sz w:val="26"/>
                <w:szCs w:val="28"/>
                <w:lang w:eastAsia="lv-LV"/>
              </w:rPr>
            </w:pPr>
            <w:r w:rsidRPr="00AD23FB">
              <w:rPr>
                <w:rFonts w:ascii="Times New Roman" w:eastAsia="Times New Roman" w:hAnsi="Times New Roman"/>
                <w:sz w:val="26"/>
                <w:szCs w:val="28"/>
                <w:lang w:eastAsia="lv-LV"/>
              </w:rPr>
              <w:t>AIC</w:t>
            </w:r>
            <w:r w:rsidR="00327188" w:rsidRPr="00AD23FB">
              <w:rPr>
                <w:rFonts w:ascii="Times New Roman" w:eastAsia="Times New Roman" w:hAnsi="Times New Roman"/>
                <w:sz w:val="26"/>
                <w:szCs w:val="28"/>
                <w:lang w:eastAsia="lv-LV"/>
              </w:rPr>
              <w:t>, LIZDA, LSA</w:t>
            </w:r>
            <w:r w:rsidR="00165EFB" w:rsidRPr="00AD23FB">
              <w:rPr>
                <w:rFonts w:ascii="Times New Roman" w:eastAsia="Times New Roman" w:hAnsi="Times New Roman"/>
                <w:sz w:val="26"/>
                <w:szCs w:val="28"/>
                <w:lang w:eastAsia="lv-LV"/>
              </w:rPr>
              <w:t xml:space="preserve"> un</w:t>
            </w:r>
            <w:r w:rsidR="0000759B" w:rsidRPr="00AD23FB">
              <w:rPr>
                <w:rFonts w:ascii="Times New Roman" w:eastAsia="Times New Roman" w:hAnsi="Times New Roman"/>
                <w:sz w:val="26"/>
                <w:szCs w:val="28"/>
                <w:lang w:eastAsia="lv-LV"/>
              </w:rPr>
              <w:t xml:space="preserve"> augstākās izglītības i</w:t>
            </w:r>
            <w:r w:rsidRPr="00AD23FB">
              <w:rPr>
                <w:rFonts w:ascii="Times New Roman" w:eastAsia="Times New Roman" w:hAnsi="Times New Roman"/>
                <w:sz w:val="26"/>
                <w:szCs w:val="28"/>
                <w:lang w:eastAsia="lv-LV"/>
              </w:rPr>
              <w:t>estāde</w:t>
            </w:r>
            <w:r w:rsidR="0000759B" w:rsidRPr="00AD23FB">
              <w:rPr>
                <w:rFonts w:ascii="Times New Roman" w:eastAsia="Times New Roman" w:hAnsi="Times New Roman"/>
                <w:sz w:val="26"/>
                <w:szCs w:val="28"/>
                <w:lang w:eastAsia="lv-LV"/>
              </w:rPr>
              <w:t>s.</w:t>
            </w:r>
          </w:p>
        </w:tc>
      </w:tr>
      <w:tr w:rsidR="00BB0E6D" w:rsidRPr="00084355" w14:paraId="2216689B" w14:textId="77777777" w:rsidTr="000E1A83">
        <w:trPr>
          <w:trHeight w:val="450"/>
        </w:trPr>
        <w:tc>
          <w:tcPr>
            <w:tcW w:w="250" w:type="pct"/>
            <w:hideMark/>
          </w:tcPr>
          <w:p w14:paraId="22166898" w14:textId="77777777" w:rsidR="00C96AD3" w:rsidRPr="00AD23FB" w:rsidRDefault="00363BB6" w:rsidP="00354869">
            <w:pPr>
              <w:spacing w:after="0" w:line="240" w:lineRule="auto"/>
              <w:jc w:val="both"/>
              <w:rPr>
                <w:rFonts w:ascii="Times New Roman" w:eastAsia="Times New Roman" w:hAnsi="Times New Roman"/>
                <w:sz w:val="26"/>
                <w:szCs w:val="28"/>
                <w:lang w:eastAsia="lv-LV"/>
              </w:rPr>
            </w:pPr>
            <w:r w:rsidRPr="00AD23FB">
              <w:rPr>
                <w:rFonts w:ascii="Times New Roman" w:eastAsia="Times New Roman" w:hAnsi="Times New Roman"/>
                <w:sz w:val="26"/>
                <w:szCs w:val="28"/>
                <w:lang w:eastAsia="lv-LV"/>
              </w:rPr>
              <w:t>2.</w:t>
            </w:r>
          </w:p>
        </w:tc>
        <w:tc>
          <w:tcPr>
            <w:tcW w:w="2022" w:type="pct"/>
            <w:hideMark/>
          </w:tcPr>
          <w:p w14:paraId="22166899" w14:textId="4F0604E8" w:rsidR="00C96AD3" w:rsidRPr="00AD23FB" w:rsidRDefault="00363BB6" w:rsidP="002B209B">
            <w:pPr>
              <w:spacing w:after="0" w:line="240" w:lineRule="auto"/>
              <w:jc w:val="both"/>
              <w:rPr>
                <w:rFonts w:ascii="Times New Roman" w:eastAsia="Times New Roman" w:hAnsi="Times New Roman"/>
                <w:sz w:val="26"/>
                <w:szCs w:val="28"/>
                <w:lang w:eastAsia="lv-LV"/>
              </w:rPr>
            </w:pPr>
            <w:r w:rsidRPr="00AD23FB">
              <w:rPr>
                <w:rFonts w:ascii="Times New Roman" w:eastAsia="Times New Roman" w:hAnsi="Times New Roman"/>
                <w:sz w:val="26"/>
                <w:szCs w:val="28"/>
                <w:lang w:eastAsia="lv-LV"/>
              </w:rPr>
              <w:t>Projekt</w:t>
            </w:r>
            <w:r w:rsidR="002B209B" w:rsidRPr="00AD23FB">
              <w:rPr>
                <w:rFonts w:ascii="Times New Roman" w:eastAsia="Times New Roman" w:hAnsi="Times New Roman"/>
                <w:sz w:val="26"/>
                <w:szCs w:val="28"/>
                <w:lang w:eastAsia="lv-LV"/>
              </w:rPr>
              <w:t>u</w:t>
            </w:r>
            <w:r w:rsidRPr="00AD23FB">
              <w:rPr>
                <w:rFonts w:ascii="Times New Roman" w:eastAsia="Times New Roman" w:hAnsi="Times New Roman"/>
                <w:sz w:val="26"/>
                <w:szCs w:val="28"/>
                <w:lang w:eastAsia="lv-LV"/>
              </w:rPr>
              <w:t xml:space="preserve"> izpildes ietekme uz pārvaldes funkcijām un institucionālo struktūru. Jaunu institūciju izveide, esošu institūciju likvidācija vai reorganizācija, to ietekme uz institūcijas cilvēkresursiem</w:t>
            </w:r>
          </w:p>
        </w:tc>
        <w:tc>
          <w:tcPr>
            <w:tcW w:w="2728" w:type="pct"/>
            <w:hideMark/>
          </w:tcPr>
          <w:p w14:paraId="2216689A" w14:textId="03B4D0E9" w:rsidR="00C96AD3" w:rsidRPr="00AD23FB" w:rsidRDefault="00363BB6" w:rsidP="00354869">
            <w:pPr>
              <w:spacing w:after="0" w:line="240" w:lineRule="auto"/>
              <w:jc w:val="both"/>
              <w:rPr>
                <w:rFonts w:ascii="Times New Roman" w:eastAsia="Times New Roman" w:hAnsi="Times New Roman"/>
                <w:sz w:val="26"/>
                <w:szCs w:val="28"/>
                <w:highlight w:val="yellow"/>
                <w:lang w:eastAsia="lv-LV"/>
              </w:rPr>
            </w:pPr>
            <w:r w:rsidRPr="00AD23FB">
              <w:rPr>
                <w:rFonts w:ascii="Times New Roman" w:eastAsia="Times New Roman" w:hAnsi="Times New Roman"/>
                <w:sz w:val="26"/>
                <w:szCs w:val="28"/>
                <w:lang w:eastAsia="lv-LV"/>
              </w:rPr>
              <w:t>Projekt</w:t>
            </w:r>
            <w:r w:rsidR="00BB0E6D" w:rsidRPr="00AD23FB">
              <w:rPr>
                <w:rFonts w:ascii="Times New Roman" w:eastAsia="Times New Roman" w:hAnsi="Times New Roman"/>
                <w:sz w:val="26"/>
                <w:szCs w:val="28"/>
                <w:lang w:eastAsia="lv-LV"/>
              </w:rPr>
              <w:t>ie</w:t>
            </w:r>
            <w:r w:rsidR="003F580D" w:rsidRPr="00AD23FB">
              <w:rPr>
                <w:rFonts w:ascii="Times New Roman" w:eastAsia="Times New Roman" w:hAnsi="Times New Roman"/>
                <w:sz w:val="26"/>
                <w:szCs w:val="28"/>
                <w:lang w:eastAsia="lv-LV"/>
              </w:rPr>
              <w:t>m nav ietekmes uz valsts pārvaldes funkcijām un institucionālo struktūru</w:t>
            </w:r>
            <w:r w:rsidR="003F33A6" w:rsidRPr="00AD23FB">
              <w:rPr>
                <w:rFonts w:ascii="Times New Roman" w:eastAsia="Times New Roman" w:hAnsi="Times New Roman"/>
                <w:sz w:val="26"/>
                <w:szCs w:val="28"/>
                <w:lang w:eastAsia="lv-LV"/>
              </w:rPr>
              <w:t>.</w:t>
            </w:r>
          </w:p>
        </w:tc>
      </w:tr>
      <w:tr w:rsidR="00BB0E6D" w:rsidRPr="00084355" w14:paraId="2216689F" w14:textId="77777777" w:rsidTr="000E1A83">
        <w:trPr>
          <w:trHeight w:val="390"/>
        </w:trPr>
        <w:tc>
          <w:tcPr>
            <w:tcW w:w="250" w:type="pct"/>
            <w:hideMark/>
          </w:tcPr>
          <w:p w14:paraId="2216689C" w14:textId="77777777" w:rsidR="00C96AD3" w:rsidRPr="00AD23FB" w:rsidRDefault="00363BB6" w:rsidP="00354869">
            <w:pPr>
              <w:spacing w:after="0" w:line="240" w:lineRule="auto"/>
              <w:jc w:val="both"/>
              <w:rPr>
                <w:rFonts w:ascii="Times New Roman" w:eastAsia="Times New Roman" w:hAnsi="Times New Roman"/>
                <w:sz w:val="26"/>
                <w:szCs w:val="28"/>
                <w:lang w:eastAsia="lv-LV"/>
              </w:rPr>
            </w:pPr>
            <w:r w:rsidRPr="00AD23FB">
              <w:rPr>
                <w:rFonts w:ascii="Times New Roman" w:eastAsia="Times New Roman" w:hAnsi="Times New Roman"/>
                <w:sz w:val="26"/>
                <w:szCs w:val="28"/>
                <w:lang w:eastAsia="lv-LV"/>
              </w:rPr>
              <w:t>3.</w:t>
            </w:r>
          </w:p>
        </w:tc>
        <w:tc>
          <w:tcPr>
            <w:tcW w:w="2022" w:type="pct"/>
            <w:hideMark/>
          </w:tcPr>
          <w:p w14:paraId="2216689D" w14:textId="77777777" w:rsidR="00C96AD3" w:rsidRPr="00AD23FB" w:rsidRDefault="00363BB6" w:rsidP="00354869">
            <w:pPr>
              <w:spacing w:after="0" w:line="240" w:lineRule="auto"/>
              <w:jc w:val="both"/>
              <w:rPr>
                <w:rFonts w:ascii="Times New Roman" w:eastAsia="Times New Roman" w:hAnsi="Times New Roman"/>
                <w:sz w:val="26"/>
                <w:szCs w:val="28"/>
                <w:lang w:eastAsia="lv-LV"/>
              </w:rPr>
            </w:pPr>
            <w:r w:rsidRPr="00AD23FB">
              <w:rPr>
                <w:rFonts w:ascii="Times New Roman" w:eastAsia="Times New Roman" w:hAnsi="Times New Roman"/>
                <w:sz w:val="26"/>
                <w:szCs w:val="28"/>
                <w:lang w:eastAsia="lv-LV"/>
              </w:rPr>
              <w:t>Cita informācija</w:t>
            </w:r>
          </w:p>
        </w:tc>
        <w:tc>
          <w:tcPr>
            <w:tcW w:w="2728" w:type="pct"/>
            <w:hideMark/>
          </w:tcPr>
          <w:p w14:paraId="2216689E" w14:textId="77777777" w:rsidR="00C96AD3" w:rsidRPr="00AD23FB" w:rsidRDefault="00363BB6" w:rsidP="00354869">
            <w:pPr>
              <w:spacing w:before="100" w:beforeAutospacing="1" w:after="100" w:afterAutospacing="1" w:line="360" w:lineRule="auto"/>
              <w:jc w:val="both"/>
              <w:rPr>
                <w:rFonts w:ascii="Times New Roman" w:eastAsia="Times New Roman" w:hAnsi="Times New Roman"/>
                <w:sz w:val="26"/>
                <w:szCs w:val="28"/>
                <w:lang w:eastAsia="lv-LV"/>
              </w:rPr>
            </w:pPr>
            <w:r w:rsidRPr="00AD23FB">
              <w:rPr>
                <w:rFonts w:ascii="Times New Roman" w:eastAsia="Times New Roman" w:hAnsi="Times New Roman"/>
                <w:sz w:val="26"/>
                <w:szCs w:val="28"/>
                <w:lang w:eastAsia="lv-LV"/>
              </w:rPr>
              <w:t>Nav.</w:t>
            </w:r>
          </w:p>
        </w:tc>
      </w:tr>
    </w:tbl>
    <w:p w14:paraId="221668A0" w14:textId="77777777" w:rsidR="007C5781" w:rsidRPr="00AD23FB" w:rsidRDefault="007C5781" w:rsidP="00354869">
      <w:pPr>
        <w:autoSpaceDE w:val="0"/>
        <w:autoSpaceDN w:val="0"/>
        <w:adjustRightInd w:val="0"/>
        <w:spacing w:after="0" w:line="240" w:lineRule="auto"/>
        <w:jc w:val="both"/>
        <w:rPr>
          <w:rFonts w:ascii="Times New Roman" w:hAnsi="Times New Roman"/>
          <w:sz w:val="26"/>
          <w:szCs w:val="28"/>
        </w:rPr>
      </w:pPr>
    </w:p>
    <w:p w14:paraId="221668A1" w14:textId="77777777" w:rsidR="004A505F" w:rsidRPr="00AD23FB" w:rsidRDefault="004A505F" w:rsidP="00354869">
      <w:pPr>
        <w:autoSpaceDE w:val="0"/>
        <w:autoSpaceDN w:val="0"/>
        <w:adjustRightInd w:val="0"/>
        <w:spacing w:after="0" w:line="240" w:lineRule="auto"/>
        <w:jc w:val="both"/>
        <w:rPr>
          <w:rFonts w:ascii="Times New Roman" w:hAnsi="Times New Roman"/>
          <w:sz w:val="26"/>
          <w:szCs w:val="28"/>
        </w:rPr>
      </w:pPr>
    </w:p>
    <w:p w14:paraId="4E8EEECB" w14:textId="77777777" w:rsidR="00BB0E6D" w:rsidRPr="00AD23FB" w:rsidRDefault="00BB0E6D" w:rsidP="00354869">
      <w:pPr>
        <w:autoSpaceDE w:val="0"/>
        <w:autoSpaceDN w:val="0"/>
        <w:adjustRightInd w:val="0"/>
        <w:spacing w:after="0" w:line="240" w:lineRule="auto"/>
        <w:jc w:val="both"/>
        <w:rPr>
          <w:rFonts w:ascii="Times New Roman" w:hAnsi="Times New Roman"/>
          <w:sz w:val="26"/>
          <w:szCs w:val="28"/>
        </w:rPr>
      </w:pPr>
    </w:p>
    <w:p w14:paraId="221668A2" w14:textId="3D9424A9" w:rsidR="00F31126" w:rsidRPr="00BB0E6D" w:rsidRDefault="00363BB6" w:rsidP="00F31126">
      <w:pPr>
        <w:spacing w:after="0" w:line="240" w:lineRule="auto"/>
        <w:jc w:val="both"/>
        <w:rPr>
          <w:rFonts w:ascii="Times New Roman" w:eastAsia="Times New Roman" w:hAnsi="Times New Roman"/>
          <w:sz w:val="28"/>
          <w:szCs w:val="28"/>
          <w:lang w:eastAsia="lv-LV"/>
        </w:rPr>
      </w:pPr>
      <w:r w:rsidRPr="00BB0E6D">
        <w:rPr>
          <w:rFonts w:ascii="Times New Roman" w:eastAsia="Times New Roman" w:hAnsi="Times New Roman"/>
          <w:sz w:val="28"/>
          <w:szCs w:val="28"/>
          <w:lang w:eastAsia="lv-LV"/>
        </w:rPr>
        <w:t>Izglītības un zinātne</w:t>
      </w:r>
      <w:r w:rsidR="00214AB2" w:rsidRPr="00BB0E6D">
        <w:rPr>
          <w:rFonts w:ascii="Times New Roman" w:eastAsia="Times New Roman" w:hAnsi="Times New Roman"/>
          <w:sz w:val="28"/>
          <w:szCs w:val="28"/>
          <w:lang w:eastAsia="lv-LV"/>
        </w:rPr>
        <w:t>s ministre</w:t>
      </w:r>
      <w:r w:rsidRPr="00BB0E6D">
        <w:rPr>
          <w:rFonts w:ascii="Times New Roman" w:eastAsia="Times New Roman" w:hAnsi="Times New Roman"/>
          <w:sz w:val="28"/>
          <w:szCs w:val="28"/>
          <w:lang w:eastAsia="lv-LV"/>
        </w:rPr>
        <w:tab/>
        <w:t xml:space="preserve"> </w:t>
      </w:r>
      <w:r w:rsidRPr="00BB0E6D">
        <w:rPr>
          <w:rFonts w:ascii="Times New Roman" w:eastAsia="Times New Roman" w:hAnsi="Times New Roman"/>
          <w:sz w:val="28"/>
          <w:szCs w:val="28"/>
          <w:lang w:eastAsia="lv-LV"/>
        </w:rPr>
        <w:tab/>
      </w:r>
      <w:r w:rsidR="007A2871" w:rsidRPr="00BB0E6D">
        <w:rPr>
          <w:rFonts w:ascii="Times New Roman" w:eastAsia="Times New Roman" w:hAnsi="Times New Roman"/>
          <w:sz w:val="28"/>
          <w:szCs w:val="28"/>
          <w:lang w:eastAsia="lv-LV"/>
        </w:rPr>
        <w:tab/>
      </w:r>
      <w:r w:rsidRPr="00BB0E6D">
        <w:rPr>
          <w:rFonts w:ascii="Times New Roman" w:eastAsia="Times New Roman" w:hAnsi="Times New Roman"/>
          <w:sz w:val="28"/>
          <w:szCs w:val="28"/>
          <w:lang w:eastAsia="lv-LV"/>
        </w:rPr>
        <w:tab/>
        <w:t xml:space="preserve">    </w:t>
      </w:r>
      <w:r w:rsidRPr="00BB0E6D">
        <w:rPr>
          <w:rFonts w:ascii="Times New Roman" w:eastAsia="Times New Roman" w:hAnsi="Times New Roman"/>
          <w:sz w:val="28"/>
          <w:szCs w:val="28"/>
          <w:lang w:eastAsia="lv-LV"/>
        </w:rPr>
        <w:tab/>
      </w:r>
      <w:r w:rsidR="004D1B0D" w:rsidRPr="00BB0E6D">
        <w:rPr>
          <w:rFonts w:ascii="Times New Roman" w:eastAsia="Times New Roman" w:hAnsi="Times New Roman"/>
          <w:sz w:val="28"/>
          <w:szCs w:val="28"/>
          <w:lang w:eastAsia="lv-LV"/>
        </w:rPr>
        <w:t xml:space="preserve">I. </w:t>
      </w:r>
      <w:r w:rsidR="00214AB2" w:rsidRPr="00BB0E6D">
        <w:rPr>
          <w:rFonts w:ascii="Times New Roman" w:eastAsia="Times New Roman" w:hAnsi="Times New Roman"/>
          <w:sz w:val="28"/>
          <w:szCs w:val="28"/>
          <w:lang w:eastAsia="lv-LV"/>
        </w:rPr>
        <w:t>Šuplinska</w:t>
      </w:r>
    </w:p>
    <w:p w14:paraId="221668A3" w14:textId="77777777" w:rsidR="004A505F" w:rsidRPr="00BB0E6D" w:rsidRDefault="004A505F" w:rsidP="00012B57">
      <w:pPr>
        <w:spacing w:after="0" w:line="240" w:lineRule="auto"/>
        <w:jc w:val="both"/>
        <w:rPr>
          <w:rFonts w:ascii="Times New Roman" w:eastAsia="Times New Roman" w:hAnsi="Times New Roman"/>
          <w:sz w:val="28"/>
          <w:szCs w:val="28"/>
          <w:lang w:eastAsia="lv-LV"/>
        </w:rPr>
      </w:pPr>
    </w:p>
    <w:p w14:paraId="221668A4" w14:textId="77777777" w:rsidR="00F84EF8" w:rsidRPr="00BB0E6D" w:rsidRDefault="00F84EF8" w:rsidP="00012B57">
      <w:pPr>
        <w:spacing w:after="0" w:line="240" w:lineRule="auto"/>
        <w:jc w:val="both"/>
        <w:rPr>
          <w:rFonts w:ascii="Times New Roman" w:eastAsia="Times New Roman" w:hAnsi="Times New Roman"/>
          <w:sz w:val="26"/>
          <w:szCs w:val="26"/>
          <w:lang w:eastAsia="lv-LV"/>
        </w:rPr>
      </w:pPr>
    </w:p>
    <w:p w14:paraId="221668A5" w14:textId="77777777" w:rsidR="00A76C0A" w:rsidRPr="00BB0E6D" w:rsidRDefault="00214AB2" w:rsidP="00012B57">
      <w:pPr>
        <w:spacing w:after="0" w:line="240" w:lineRule="auto"/>
        <w:jc w:val="both"/>
        <w:rPr>
          <w:rFonts w:ascii="Times New Roman" w:eastAsia="Times New Roman" w:hAnsi="Times New Roman"/>
          <w:sz w:val="26"/>
          <w:szCs w:val="26"/>
          <w:lang w:eastAsia="lv-LV"/>
        </w:rPr>
      </w:pPr>
      <w:r w:rsidRPr="00BB0E6D">
        <w:rPr>
          <w:rFonts w:ascii="Times New Roman" w:eastAsia="Times New Roman" w:hAnsi="Times New Roman"/>
          <w:sz w:val="26"/>
          <w:szCs w:val="26"/>
          <w:lang w:eastAsia="lv-LV"/>
        </w:rPr>
        <w:t>Vīza</w:t>
      </w:r>
      <w:r w:rsidR="00363BB6" w:rsidRPr="00BB0E6D">
        <w:rPr>
          <w:rFonts w:ascii="Times New Roman" w:eastAsia="Times New Roman" w:hAnsi="Times New Roman"/>
          <w:sz w:val="26"/>
          <w:szCs w:val="26"/>
          <w:lang w:eastAsia="lv-LV"/>
        </w:rPr>
        <w:t>:</w:t>
      </w:r>
    </w:p>
    <w:p w14:paraId="221668A6" w14:textId="343C06DA" w:rsidR="00012B57" w:rsidRPr="00BB0E6D" w:rsidRDefault="004D1B0D" w:rsidP="006C5F23">
      <w:pPr>
        <w:spacing w:after="0" w:line="240" w:lineRule="auto"/>
        <w:jc w:val="both"/>
        <w:rPr>
          <w:rFonts w:ascii="Times New Roman" w:eastAsia="Times New Roman" w:hAnsi="Times New Roman"/>
          <w:sz w:val="26"/>
          <w:szCs w:val="26"/>
          <w:lang w:eastAsia="lv-LV"/>
        </w:rPr>
      </w:pPr>
      <w:r w:rsidRPr="00BB0E6D">
        <w:rPr>
          <w:rFonts w:ascii="Times New Roman" w:eastAsia="Times New Roman" w:hAnsi="Times New Roman"/>
          <w:bCs/>
          <w:kern w:val="32"/>
          <w:sz w:val="26"/>
          <w:szCs w:val="26"/>
          <w:lang w:eastAsia="lv-LV"/>
        </w:rPr>
        <w:t>Valsts sekretāre</w:t>
      </w:r>
      <w:r w:rsidRPr="00BB0E6D">
        <w:rPr>
          <w:rFonts w:ascii="Times New Roman" w:eastAsia="Times New Roman" w:hAnsi="Times New Roman"/>
          <w:bCs/>
          <w:kern w:val="32"/>
          <w:sz w:val="26"/>
          <w:szCs w:val="26"/>
          <w:lang w:eastAsia="lv-LV"/>
        </w:rPr>
        <w:tab/>
      </w:r>
      <w:r w:rsidRPr="00BB0E6D">
        <w:rPr>
          <w:rFonts w:ascii="Times New Roman" w:eastAsia="Times New Roman" w:hAnsi="Times New Roman"/>
          <w:bCs/>
          <w:kern w:val="32"/>
          <w:sz w:val="26"/>
          <w:szCs w:val="26"/>
          <w:lang w:eastAsia="lv-LV"/>
        </w:rPr>
        <w:tab/>
      </w:r>
      <w:r w:rsidRPr="00BB0E6D">
        <w:rPr>
          <w:rFonts w:ascii="Times New Roman" w:eastAsia="Times New Roman" w:hAnsi="Times New Roman"/>
          <w:bCs/>
          <w:kern w:val="32"/>
          <w:sz w:val="26"/>
          <w:szCs w:val="26"/>
          <w:lang w:eastAsia="lv-LV"/>
        </w:rPr>
        <w:tab/>
      </w:r>
      <w:r w:rsidRPr="00BB0E6D">
        <w:rPr>
          <w:rFonts w:ascii="Times New Roman" w:eastAsia="Times New Roman" w:hAnsi="Times New Roman"/>
          <w:bCs/>
          <w:kern w:val="32"/>
          <w:sz w:val="26"/>
          <w:szCs w:val="26"/>
          <w:lang w:eastAsia="lv-LV"/>
        </w:rPr>
        <w:tab/>
      </w:r>
      <w:r w:rsidRPr="00BB0E6D">
        <w:rPr>
          <w:rFonts w:ascii="Times New Roman" w:eastAsia="Times New Roman" w:hAnsi="Times New Roman"/>
          <w:bCs/>
          <w:kern w:val="32"/>
          <w:sz w:val="26"/>
          <w:szCs w:val="26"/>
          <w:lang w:eastAsia="lv-LV"/>
        </w:rPr>
        <w:tab/>
      </w:r>
      <w:r w:rsidRPr="00BB0E6D">
        <w:rPr>
          <w:rFonts w:ascii="Times New Roman" w:eastAsia="Times New Roman" w:hAnsi="Times New Roman"/>
          <w:bCs/>
          <w:kern w:val="32"/>
          <w:sz w:val="26"/>
          <w:szCs w:val="26"/>
          <w:lang w:eastAsia="lv-LV"/>
        </w:rPr>
        <w:tab/>
      </w:r>
      <w:r w:rsidRPr="00BB0E6D">
        <w:rPr>
          <w:rFonts w:ascii="Times New Roman" w:eastAsia="Times New Roman" w:hAnsi="Times New Roman"/>
          <w:bCs/>
          <w:kern w:val="32"/>
          <w:sz w:val="26"/>
          <w:szCs w:val="26"/>
          <w:lang w:eastAsia="lv-LV"/>
        </w:rPr>
        <w:tab/>
        <w:t xml:space="preserve">L. </w:t>
      </w:r>
      <w:r w:rsidR="00363BB6" w:rsidRPr="00BB0E6D">
        <w:rPr>
          <w:rFonts w:ascii="Times New Roman" w:eastAsia="Times New Roman" w:hAnsi="Times New Roman"/>
          <w:bCs/>
          <w:kern w:val="32"/>
          <w:sz w:val="26"/>
          <w:szCs w:val="26"/>
          <w:lang w:eastAsia="lv-LV"/>
        </w:rPr>
        <w:t>Lejiņa</w:t>
      </w:r>
    </w:p>
    <w:p w14:paraId="3A96AE98" w14:textId="77777777" w:rsidR="000C7A7A" w:rsidRDefault="000C7A7A" w:rsidP="000425D0">
      <w:pPr>
        <w:autoSpaceDE w:val="0"/>
        <w:autoSpaceDN w:val="0"/>
        <w:adjustRightInd w:val="0"/>
        <w:spacing w:after="0"/>
        <w:rPr>
          <w:rFonts w:ascii="Times New Roman" w:hAnsi="Times New Roman"/>
          <w:sz w:val="26"/>
          <w:szCs w:val="26"/>
        </w:rPr>
      </w:pPr>
    </w:p>
    <w:p w14:paraId="4D1A91B0" w14:textId="77777777" w:rsidR="00424C9F" w:rsidRPr="00BB0E6D" w:rsidRDefault="00424C9F" w:rsidP="000425D0">
      <w:pPr>
        <w:autoSpaceDE w:val="0"/>
        <w:autoSpaceDN w:val="0"/>
        <w:adjustRightInd w:val="0"/>
        <w:spacing w:after="0"/>
        <w:rPr>
          <w:rFonts w:ascii="Times New Roman" w:hAnsi="Times New Roman"/>
          <w:sz w:val="26"/>
          <w:szCs w:val="26"/>
        </w:rPr>
      </w:pPr>
    </w:p>
    <w:p w14:paraId="2F56DEAE" w14:textId="77777777" w:rsidR="00165EFB" w:rsidRPr="00BB0E6D" w:rsidRDefault="00165EFB" w:rsidP="00A92049">
      <w:pPr>
        <w:autoSpaceDE w:val="0"/>
        <w:autoSpaceDN w:val="0"/>
        <w:adjustRightInd w:val="0"/>
        <w:spacing w:after="0"/>
        <w:rPr>
          <w:rFonts w:ascii="Times New Roman" w:hAnsi="Times New Roman"/>
          <w:sz w:val="20"/>
          <w:szCs w:val="20"/>
        </w:rPr>
      </w:pPr>
    </w:p>
    <w:p w14:paraId="2C0E4755" w14:textId="77777777" w:rsidR="00165EFB" w:rsidRPr="00BB0E6D" w:rsidRDefault="00165EFB" w:rsidP="00A92049">
      <w:pPr>
        <w:autoSpaceDE w:val="0"/>
        <w:autoSpaceDN w:val="0"/>
        <w:adjustRightInd w:val="0"/>
        <w:spacing w:after="0"/>
        <w:rPr>
          <w:rFonts w:ascii="Times New Roman" w:hAnsi="Times New Roman"/>
          <w:sz w:val="20"/>
          <w:szCs w:val="20"/>
        </w:rPr>
      </w:pPr>
      <w:proofErr w:type="spellStart"/>
      <w:r w:rsidRPr="00BB0E6D">
        <w:rPr>
          <w:rFonts w:ascii="Times New Roman" w:hAnsi="Times New Roman"/>
          <w:sz w:val="20"/>
          <w:szCs w:val="20"/>
        </w:rPr>
        <w:t>I.Akmentiņa</w:t>
      </w:r>
      <w:proofErr w:type="spellEnd"/>
      <w:r w:rsidRPr="00BB0E6D">
        <w:rPr>
          <w:rFonts w:ascii="Times New Roman" w:hAnsi="Times New Roman"/>
          <w:sz w:val="20"/>
          <w:szCs w:val="20"/>
        </w:rPr>
        <w:t>, 67047816</w:t>
      </w:r>
    </w:p>
    <w:p w14:paraId="221668AB" w14:textId="12D11E1E" w:rsidR="00A76C0A" w:rsidRPr="00BB0E6D" w:rsidRDefault="009A1A7D" w:rsidP="00A92049">
      <w:pPr>
        <w:autoSpaceDE w:val="0"/>
        <w:autoSpaceDN w:val="0"/>
        <w:adjustRightInd w:val="0"/>
        <w:spacing w:after="0"/>
        <w:rPr>
          <w:rFonts w:ascii="Times New Roman" w:hAnsi="Times New Roman"/>
          <w:sz w:val="20"/>
          <w:szCs w:val="20"/>
        </w:rPr>
      </w:pPr>
      <w:hyperlink r:id="rId14" w:history="1">
        <w:r w:rsidR="00165EFB" w:rsidRPr="00BB0E6D">
          <w:rPr>
            <w:rStyle w:val="Hyperlink"/>
            <w:rFonts w:ascii="Times New Roman" w:hAnsi="Times New Roman"/>
            <w:color w:val="auto"/>
            <w:sz w:val="20"/>
            <w:szCs w:val="20"/>
          </w:rPr>
          <w:t>inga.akmentina@izm.gov.lv</w:t>
        </w:r>
      </w:hyperlink>
      <w:r w:rsidR="00363BB6" w:rsidRPr="00BB0E6D">
        <w:rPr>
          <w:rFonts w:ascii="Times New Roman" w:hAnsi="Times New Roman"/>
          <w:sz w:val="20"/>
          <w:szCs w:val="20"/>
        </w:rPr>
        <w:tab/>
      </w:r>
      <w:r w:rsidR="00214AB2" w:rsidRPr="00BB0E6D">
        <w:rPr>
          <w:rFonts w:ascii="Times New Roman" w:eastAsia="Times New Roman" w:hAnsi="Times New Roman"/>
          <w:sz w:val="20"/>
          <w:szCs w:val="20"/>
          <w:lang w:eastAsia="lv-LV"/>
        </w:rPr>
        <w:t xml:space="preserve"> </w:t>
      </w:r>
    </w:p>
    <w:sectPr w:rsidR="00A76C0A" w:rsidRPr="00BB0E6D" w:rsidSect="00327188">
      <w:headerReference w:type="default" r:id="rId15"/>
      <w:footerReference w:type="default" r:id="rId16"/>
      <w:footerReference w:type="first" r:id="rId17"/>
      <w:pgSz w:w="11906" w:h="16838"/>
      <w:pgMar w:top="1418" w:right="1134" w:bottom="1134" w:left="1701" w:header="51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8439B" w14:textId="77777777" w:rsidR="009A1A7D" w:rsidRDefault="009A1A7D">
      <w:pPr>
        <w:spacing w:after="0" w:line="240" w:lineRule="auto"/>
      </w:pPr>
      <w:r>
        <w:separator/>
      </w:r>
    </w:p>
  </w:endnote>
  <w:endnote w:type="continuationSeparator" w:id="0">
    <w:p w14:paraId="379BF17B" w14:textId="77777777" w:rsidR="009A1A7D" w:rsidRDefault="009A1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668B4" w14:textId="70E46DBC" w:rsidR="00C43B41" w:rsidRPr="00045D0E" w:rsidRDefault="007D24B4" w:rsidP="00CD2790">
    <w:pPr>
      <w:pStyle w:val="Footer"/>
      <w:tabs>
        <w:tab w:val="clear" w:pos="4153"/>
        <w:tab w:val="clear" w:pos="8306"/>
        <w:tab w:val="left" w:pos="3948"/>
      </w:tabs>
      <w:jc w:val="both"/>
    </w:pPr>
    <w:r>
      <w:rPr>
        <w:rFonts w:ascii="Times New Roman" w:eastAsia="Times New Roman" w:hAnsi="Times New Roman"/>
        <w:bCs/>
        <w:sz w:val="20"/>
        <w:szCs w:val="20"/>
        <w:lang w:eastAsia="lv-LV"/>
      </w:rPr>
      <w:t>IZMAnot_</w:t>
    </w:r>
    <w:r w:rsidR="00A0332E">
      <w:rPr>
        <w:rFonts w:ascii="Times New Roman" w:eastAsia="Times New Roman" w:hAnsi="Times New Roman"/>
        <w:bCs/>
        <w:sz w:val="20"/>
        <w:szCs w:val="20"/>
        <w:lang w:eastAsia="lv-LV"/>
      </w:rPr>
      <w:t>1</w:t>
    </w:r>
    <w:r w:rsidR="00AD23FB">
      <w:rPr>
        <w:rFonts w:ascii="Times New Roman" w:eastAsia="Times New Roman" w:hAnsi="Times New Roman"/>
        <w:bCs/>
        <w:sz w:val="20"/>
        <w:szCs w:val="20"/>
        <w:lang w:eastAsia="lv-LV"/>
      </w:rPr>
      <w:t>5</w:t>
    </w:r>
    <w:r w:rsidR="00A0332E">
      <w:rPr>
        <w:rFonts w:ascii="Times New Roman" w:eastAsia="Times New Roman" w:hAnsi="Times New Roman"/>
        <w:bCs/>
        <w:sz w:val="20"/>
        <w:szCs w:val="20"/>
        <w:lang w:eastAsia="lv-LV"/>
      </w:rPr>
      <w:t>0720</w:t>
    </w:r>
    <w:r w:rsidR="00CD2790">
      <w:rPr>
        <w:rFonts w:ascii="Times New Roman" w:eastAsia="Times New Roman" w:hAnsi="Times New Roman"/>
        <w:bCs/>
        <w:sz w:val="20"/>
        <w:szCs w:val="20"/>
        <w:lang w:eastAsia="lv-LV"/>
      </w:rPr>
      <w:t>groz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668B6" w14:textId="30BA4DE3" w:rsidR="00C43B41" w:rsidRPr="00C650D1" w:rsidRDefault="00C650D1" w:rsidP="00C650D1">
    <w:pPr>
      <w:pStyle w:val="Footer"/>
    </w:pPr>
    <w:r>
      <w:rPr>
        <w:rFonts w:ascii="Times New Roman" w:eastAsia="Times New Roman" w:hAnsi="Times New Roman"/>
        <w:bCs/>
        <w:sz w:val="20"/>
        <w:szCs w:val="20"/>
        <w:lang w:eastAsia="lv-LV"/>
      </w:rPr>
      <w:t>IZMAnot_</w:t>
    </w:r>
    <w:r w:rsidR="00A0332E">
      <w:rPr>
        <w:rFonts w:ascii="Times New Roman" w:eastAsia="Times New Roman" w:hAnsi="Times New Roman"/>
        <w:bCs/>
        <w:sz w:val="20"/>
        <w:szCs w:val="20"/>
        <w:lang w:eastAsia="lv-LV"/>
      </w:rPr>
      <w:t>1</w:t>
    </w:r>
    <w:r w:rsidR="00AD23FB">
      <w:rPr>
        <w:rFonts w:ascii="Times New Roman" w:eastAsia="Times New Roman" w:hAnsi="Times New Roman"/>
        <w:bCs/>
        <w:sz w:val="20"/>
        <w:szCs w:val="20"/>
        <w:lang w:eastAsia="lv-LV"/>
      </w:rPr>
      <w:t>5</w:t>
    </w:r>
    <w:r>
      <w:rPr>
        <w:rFonts w:ascii="Times New Roman" w:eastAsia="Times New Roman" w:hAnsi="Times New Roman"/>
        <w:bCs/>
        <w:sz w:val="20"/>
        <w:szCs w:val="20"/>
        <w:lang w:eastAsia="lv-LV"/>
      </w:rPr>
      <w:t>0720_groz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A3AD9" w14:textId="77777777" w:rsidR="009A1A7D" w:rsidRDefault="009A1A7D">
      <w:pPr>
        <w:spacing w:after="0" w:line="240" w:lineRule="auto"/>
      </w:pPr>
      <w:r>
        <w:separator/>
      </w:r>
    </w:p>
  </w:footnote>
  <w:footnote w:type="continuationSeparator" w:id="0">
    <w:p w14:paraId="32DE4F66" w14:textId="77777777" w:rsidR="009A1A7D" w:rsidRDefault="009A1A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668B1" w14:textId="058CF91F" w:rsidR="00C43B41" w:rsidRDefault="00C43B41" w:rsidP="00F4546D">
    <w:pPr>
      <w:pStyle w:val="Header"/>
      <w:spacing w:after="0"/>
      <w:jc w:val="center"/>
      <w:rPr>
        <w:rFonts w:ascii="Times New Roman" w:hAnsi="Times New Roman"/>
        <w:sz w:val="24"/>
        <w:szCs w:val="24"/>
      </w:rPr>
    </w:pPr>
    <w:r w:rsidRPr="00F4546D">
      <w:rPr>
        <w:rFonts w:ascii="Times New Roman" w:hAnsi="Times New Roman"/>
        <w:sz w:val="24"/>
        <w:szCs w:val="24"/>
      </w:rPr>
      <w:fldChar w:fldCharType="begin"/>
    </w:r>
    <w:r w:rsidRPr="00F4546D">
      <w:rPr>
        <w:rFonts w:ascii="Times New Roman" w:hAnsi="Times New Roman"/>
        <w:sz w:val="24"/>
        <w:szCs w:val="24"/>
      </w:rPr>
      <w:instrText xml:space="preserve"> PAGE   \* MERGEFORMAT </w:instrText>
    </w:r>
    <w:r w:rsidRPr="00F4546D">
      <w:rPr>
        <w:rFonts w:ascii="Times New Roman" w:hAnsi="Times New Roman"/>
        <w:sz w:val="24"/>
        <w:szCs w:val="24"/>
      </w:rPr>
      <w:fldChar w:fldCharType="separate"/>
    </w:r>
    <w:r w:rsidR="005D3B12">
      <w:rPr>
        <w:rFonts w:ascii="Times New Roman" w:hAnsi="Times New Roman"/>
        <w:noProof/>
        <w:sz w:val="24"/>
        <w:szCs w:val="24"/>
      </w:rPr>
      <w:t>6</w:t>
    </w:r>
    <w:r w:rsidRPr="00F4546D">
      <w:rPr>
        <w:rFonts w:ascii="Times New Roman" w:hAnsi="Times New Roman"/>
        <w:sz w:val="24"/>
        <w:szCs w:val="24"/>
      </w:rPr>
      <w:fldChar w:fldCharType="end"/>
    </w:r>
  </w:p>
  <w:p w14:paraId="221668B2" w14:textId="77777777" w:rsidR="00C43B41" w:rsidRPr="00F4546D" w:rsidRDefault="00C43B41" w:rsidP="00F4546D">
    <w:pPr>
      <w:pStyle w:val="Header"/>
      <w:spacing w:after="0"/>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23184"/>
    <w:multiLevelType w:val="hybridMultilevel"/>
    <w:tmpl w:val="0FF691D4"/>
    <w:lvl w:ilvl="0" w:tplc="2B4EC20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nsid w:val="25F1508E"/>
    <w:multiLevelType w:val="hybridMultilevel"/>
    <w:tmpl w:val="5FCA446C"/>
    <w:lvl w:ilvl="0" w:tplc="D332CA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318168F4"/>
    <w:multiLevelType w:val="hybridMultilevel"/>
    <w:tmpl w:val="5484DAE6"/>
    <w:lvl w:ilvl="0" w:tplc="D20A511E">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3F2113A8"/>
    <w:multiLevelType w:val="multilevel"/>
    <w:tmpl w:val="A2D8CA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rQ0MTE2Nze2NDK2MDFW0lEKTi0uzszPAykwrgUAinSOhSwAAAA="/>
  </w:docVars>
  <w:rsids>
    <w:rsidRoot w:val="00392D00"/>
    <w:rsid w:val="00001EC4"/>
    <w:rsid w:val="00003DF0"/>
    <w:rsid w:val="00004AD6"/>
    <w:rsid w:val="0000759B"/>
    <w:rsid w:val="00010D7A"/>
    <w:rsid w:val="00012B57"/>
    <w:rsid w:val="0001406B"/>
    <w:rsid w:val="000140A6"/>
    <w:rsid w:val="00021979"/>
    <w:rsid w:val="000219F3"/>
    <w:rsid w:val="00031AE1"/>
    <w:rsid w:val="0003727D"/>
    <w:rsid w:val="000425D0"/>
    <w:rsid w:val="00043C5A"/>
    <w:rsid w:val="00045D0E"/>
    <w:rsid w:val="00047477"/>
    <w:rsid w:val="000539D2"/>
    <w:rsid w:val="00057E77"/>
    <w:rsid w:val="000621AF"/>
    <w:rsid w:val="00062A56"/>
    <w:rsid w:val="00063D99"/>
    <w:rsid w:val="00064A14"/>
    <w:rsid w:val="00064FDA"/>
    <w:rsid w:val="0006697F"/>
    <w:rsid w:val="00071D97"/>
    <w:rsid w:val="00072D9D"/>
    <w:rsid w:val="00075ABC"/>
    <w:rsid w:val="00083A33"/>
    <w:rsid w:val="00084355"/>
    <w:rsid w:val="00084A54"/>
    <w:rsid w:val="000855AA"/>
    <w:rsid w:val="00091E19"/>
    <w:rsid w:val="000937E4"/>
    <w:rsid w:val="00094EA8"/>
    <w:rsid w:val="00096496"/>
    <w:rsid w:val="0009669B"/>
    <w:rsid w:val="000A0E36"/>
    <w:rsid w:val="000A554D"/>
    <w:rsid w:val="000A6DDC"/>
    <w:rsid w:val="000B591E"/>
    <w:rsid w:val="000B59A1"/>
    <w:rsid w:val="000C0CAE"/>
    <w:rsid w:val="000C11E2"/>
    <w:rsid w:val="000C5B35"/>
    <w:rsid w:val="000C75B9"/>
    <w:rsid w:val="000C7A7A"/>
    <w:rsid w:val="000D3310"/>
    <w:rsid w:val="000D3684"/>
    <w:rsid w:val="000E1A83"/>
    <w:rsid w:val="000E248A"/>
    <w:rsid w:val="000E4955"/>
    <w:rsid w:val="000E6BD7"/>
    <w:rsid w:val="000F2F18"/>
    <w:rsid w:val="000F47DB"/>
    <w:rsid w:val="000F518F"/>
    <w:rsid w:val="000F597B"/>
    <w:rsid w:val="001045FE"/>
    <w:rsid w:val="00120D2C"/>
    <w:rsid w:val="00121135"/>
    <w:rsid w:val="00121E78"/>
    <w:rsid w:val="00122E7B"/>
    <w:rsid w:val="0012306A"/>
    <w:rsid w:val="00133AEA"/>
    <w:rsid w:val="00140A20"/>
    <w:rsid w:val="001411EF"/>
    <w:rsid w:val="00144F4C"/>
    <w:rsid w:val="00145648"/>
    <w:rsid w:val="001468E4"/>
    <w:rsid w:val="00146F58"/>
    <w:rsid w:val="001515ED"/>
    <w:rsid w:val="00152088"/>
    <w:rsid w:val="001532AA"/>
    <w:rsid w:val="00153C2A"/>
    <w:rsid w:val="00163B4F"/>
    <w:rsid w:val="00165EFB"/>
    <w:rsid w:val="00175C73"/>
    <w:rsid w:val="00183E71"/>
    <w:rsid w:val="0018480F"/>
    <w:rsid w:val="00196A76"/>
    <w:rsid w:val="00196D09"/>
    <w:rsid w:val="001A08CA"/>
    <w:rsid w:val="001A1500"/>
    <w:rsid w:val="001A1B53"/>
    <w:rsid w:val="001A3D3E"/>
    <w:rsid w:val="001A4A2F"/>
    <w:rsid w:val="001A4EBA"/>
    <w:rsid w:val="001B11B5"/>
    <w:rsid w:val="001B2B20"/>
    <w:rsid w:val="001B38E9"/>
    <w:rsid w:val="001B5181"/>
    <w:rsid w:val="001B53A6"/>
    <w:rsid w:val="001B7404"/>
    <w:rsid w:val="001C01A7"/>
    <w:rsid w:val="001C3940"/>
    <w:rsid w:val="001C7BAF"/>
    <w:rsid w:val="001D17BA"/>
    <w:rsid w:val="001D3002"/>
    <w:rsid w:val="001D3940"/>
    <w:rsid w:val="001D4A61"/>
    <w:rsid w:val="001D4CA7"/>
    <w:rsid w:val="001D5007"/>
    <w:rsid w:val="001D5D6F"/>
    <w:rsid w:val="001E1B5B"/>
    <w:rsid w:val="001E5C91"/>
    <w:rsid w:val="001E73B4"/>
    <w:rsid w:val="001F01F5"/>
    <w:rsid w:val="001F3DFC"/>
    <w:rsid w:val="001F5A13"/>
    <w:rsid w:val="00204189"/>
    <w:rsid w:val="002043C8"/>
    <w:rsid w:val="00206BC9"/>
    <w:rsid w:val="00214AB2"/>
    <w:rsid w:val="002172EA"/>
    <w:rsid w:val="00217AAD"/>
    <w:rsid w:val="00217B35"/>
    <w:rsid w:val="00217DF7"/>
    <w:rsid w:val="00226CD5"/>
    <w:rsid w:val="00230F69"/>
    <w:rsid w:val="00231770"/>
    <w:rsid w:val="00236BE0"/>
    <w:rsid w:val="00240FC0"/>
    <w:rsid w:val="002435B9"/>
    <w:rsid w:val="00246A17"/>
    <w:rsid w:val="00247BA4"/>
    <w:rsid w:val="00250073"/>
    <w:rsid w:val="0025601D"/>
    <w:rsid w:val="00257254"/>
    <w:rsid w:val="00260CAD"/>
    <w:rsid w:val="00260E26"/>
    <w:rsid w:val="002611DF"/>
    <w:rsid w:val="0026226E"/>
    <w:rsid w:val="002643D1"/>
    <w:rsid w:val="00265A5B"/>
    <w:rsid w:val="00266286"/>
    <w:rsid w:val="00272181"/>
    <w:rsid w:val="00272847"/>
    <w:rsid w:val="00275B3C"/>
    <w:rsid w:val="00281120"/>
    <w:rsid w:val="0028307E"/>
    <w:rsid w:val="002832F7"/>
    <w:rsid w:val="002865DB"/>
    <w:rsid w:val="00287DEA"/>
    <w:rsid w:val="002901D5"/>
    <w:rsid w:val="00297A2E"/>
    <w:rsid w:val="002A3597"/>
    <w:rsid w:val="002B1A24"/>
    <w:rsid w:val="002B209B"/>
    <w:rsid w:val="002B2C05"/>
    <w:rsid w:val="002B2FD9"/>
    <w:rsid w:val="002B3D38"/>
    <w:rsid w:val="002C1025"/>
    <w:rsid w:val="002C1E38"/>
    <w:rsid w:val="002C1E84"/>
    <w:rsid w:val="002C674B"/>
    <w:rsid w:val="002D0EB1"/>
    <w:rsid w:val="002D2E0E"/>
    <w:rsid w:val="002E46CA"/>
    <w:rsid w:val="002E4F4C"/>
    <w:rsid w:val="002E6E95"/>
    <w:rsid w:val="002F075C"/>
    <w:rsid w:val="002F1A22"/>
    <w:rsid w:val="002F2DAC"/>
    <w:rsid w:val="002F6EB0"/>
    <w:rsid w:val="0030421F"/>
    <w:rsid w:val="00304E39"/>
    <w:rsid w:val="003057DC"/>
    <w:rsid w:val="0030592D"/>
    <w:rsid w:val="0030609C"/>
    <w:rsid w:val="003138F6"/>
    <w:rsid w:val="00313C26"/>
    <w:rsid w:val="00316D74"/>
    <w:rsid w:val="00322FF1"/>
    <w:rsid w:val="00323728"/>
    <w:rsid w:val="003240EF"/>
    <w:rsid w:val="00324702"/>
    <w:rsid w:val="00325677"/>
    <w:rsid w:val="00325EAC"/>
    <w:rsid w:val="00327188"/>
    <w:rsid w:val="0033149E"/>
    <w:rsid w:val="00331A68"/>
    <w:rsid w:val="003367EF"/>
    <w:rsid w:val="00340944"/>
    <w:rsid w:val="003418E6"/>
    <w:rsid w:val="003435F2"/>
    <w:rsid w:val="0034371D"/>
    <w:rsid w:val="00343720"/>
    <w:rsid w:val="00343DA6"/>
    <w:rsid w:val="0034661E"/>
    <w:rsid w:val="003474BD"/>
    <w:rsid w:val="00352969"/>
    <w:rsid w:val="00354158"/>
    <w:rsid w:val="00354869"/>
    <w:rsid w:val="00363BB6"/>
    <w:rsid w:val="00364D71"/>
    <w:rsid w:val="003723FA"/>
    <w:rsid w:val="00372BB0"/>
    <w:rsid w:val="00372BE6"/>
    <w:rsid w:val="00374FC5"/>
    <w:rsid w:val="0037596D"/>
    <w:rsid w:val="003807EF"/>
    <w:rsid w:val="00382522"/>
    <w:rsid w:val="0038608C"/>
    <w:rsid w:val="00392844"/>
    <w:rsid w:val="00392D00"/>
    <w:rsid w:val="00396EBE"/>
    <w:rsid w:val="003A0DBC"/>
    <w:rsid w:val="003A5C1F"/>
    <w:rsid w:val="003A6BFF"/>
    <w:rsid w:val="003B0459"/>
    <w:rsid w:val="003B22F8"/>
    <w:rsid w:val="003B26A5"/>
    <w:rsid w:val="003B42F1"/>
    <w:rsid w:val="003C3AB5"/>
    <w:rsid w:val="003D2073"/>
    <w:rsid w:val="003D3D77"/>
    <w:rsid w:val="003D5881"/>
    <w:rsid w:val="003D6A76"/>
    <w:rsid w:val="003E049C"/>
    <w:rsid w:val="003E12C5"/>
    <w:rsid w:val="003E3CA6"/>
    <w:rsid w:val="003E49E2"/>
    <w:rsid w:val="003F1D64"/>
    <w:rsid w:val="003F33A6"/>
    <w:rsid w:val="003F580D"/>
    <w:rsid w:val="003F5FCF"/>
    <w:rsid w:val="003F61DF"/>
    <w:rsid w:val="003F793F"/>
    <w:rsid w:val="00400644"/>
    <w:rsid w:val="004051AC"/>
    <w:rsid w:val="00405856"/>
    <w:rsid w:val="00415715"/>
    <w:rsid w:val="00424C9F"/>
    <w:rsid w:val="00430DB4"/>
    <w:rsid w:val="004324E9"/>
    <w:rsid w:val="00432F3A"/>
    <w:rsid w:val="004358D3"/>
    <w:rsid w:val="0044261E"/>
    <w:rsid w:val="00443A86"/>
    <w:rsid w:val="004460C6"/>
    <w:rsid w:val="004522AD"/>
    <w:rsid w:val="00452DE6"/>
    <w:rsid w:val="00454A2A"/>
    <w:rsid w:val="0045553F"/>
    <w:rsid w:val="00455FA2"/>
    <w:rsid w:val="004566F5"/>
    <w:rsid w:val="00457D4F"/>
    <w:rsid w:val="00462E02"/>
    <w:rsid w:val="004665C6"/>
    <w:rsid w:val="00470A88"/>
    <w:rsid w:val="00477130"/>
    <w:rsid w:val="00477E37"/>
    <w:rsid w:val="00481E0A"/>
    <w:rsid w:val="00482C68"/>
    <w:rsid w:val="004840C1"/>
    <w:rsid w:val="0048517A"/>
    <w:rsid w:val="004940D8"/>
    <w:rsid w:val="004A16FD"/>
    <w:rsid w:val="004A22C6"/>
    <w:rsid w:val="004A2D22"/>
    <w:rsid w:val="004A505F"/>
    <w:rsid w:val="004A5234"/>
    <w:rsid w:val="004A53C8"/>
    <w:rsid w:val="004A549F"/>
    <w:rsid w:val="004A7FA9"/>
    <w:rsid w:val="004B0B28"/>
    <w:rsid w:val="004B1678"/>
    <w:rsid w:val="004B1F18"/>
    <w:rsid w:val="004B33BE"/>
    <w:rsid w:val="004B56ED"/>
    <w:rsid w:val="004C1815"/>
    <w:rsid w:val="004C4E93"/>
    <w:rsid w:val="004C67A8"/>
    <w:rsid w:val="004C7002"/>
    <w:rsid w:val="004D1B0D"/>
    <w:rsid w:val="004D2904"/>
    <w:rsid w:val="004D3CA0"/>
    <w:rsid w:val="004D480D"/>
    <w:rsid w:val="004D4867"/>
    <w:rsid w:val="004D6490"/>
    <w:rsid w:val="004D686B"/>
    <w:rsid w:val="004E520A"/>
    <w:rsid w:val="004F034E"/>
    <w:rsid w:val="004F12E5"/>
    <w:rsid w:val="004F1748"/>
    <w:rsid w:val="00501379"/>
    <w:rsid w:val="00502120"/>
    <w:rsid w:val="00507FA4"/>
    <w:rsid w:val="0051068A"/>
    <w:rsid w:val="0051292E"/>
    <w:rsid w:val="005136C2"/>
    <w:rsid w:val="00514BF6"/>
    <w:rsid w:val="00515903"/>
    <w:rsid w:val="00517034"/>
    <w:rsid w:val="00517E63"/>
    <w:rsid w:val="00524779"/>
    <w:rsid w:val="00524BA9"/>
    <w:rsid w:val="00525FA0"/>
    <w:rsid w:val="005316AF"/>
    <w:rsid w:val="00531930"/>
    <w:rsid w:val="005326EC"/>
    <w:rsid w:val="00533735"/>
    <w:rsid w:val="005351A8"/>
    <w:rsid w:val="00536EC5"/>
    <w:rsid w:val="005371AB"/>
    <w:rsid w:val="0054191C"/>
    <w:rsid w:val="00541C3B"/>
    <w:rsid w:val="005462A0"/>
    <w:rsid w:val="00551B92"/>
    <w:rsid w:val="005526F3"/>
    <w:rsid w:val="0055650F"/>
    <w:rsid w:val="005567A5"/>
    <w:rsid w:val="00561B38"/>
    <w:rsid w:val="0056268C"/>
    <w:rsid w:val="0056429A"/>
    <w:rsid w:val="0056785C"/>
    <w:rsid w:val="00573943"/>
    <w:rsid w:val="00574833"/>
    <w:rsid w:val="005749B4"/>
    <w:rsid w:val="00575FEB"/>
    <w:rsid w:val="00577216"/>
    <w:rsid w:val="005925F2"/>
    <w:rsid w:val="00593637"/>
    <w:rsid w:val="00593BF9"/>
    <w:rsid w:val="005952D6"/>
    <w:rsid w:val="005B0B0C"/>
    <w:rsid w:val="005B26B7"/>
    <w:rsid w:val="005B42B6"/>
    <w:rsid w:val="005B4D39"/>
    <w:rsid w:val="005C3999"/>
    <w:rsid w:val="005C3F18"/>
    <w:rsid w:val="005C42B1"/>
    <w:rsid w:val="005C545F"/>
    <w:rsid w:val="005C6A4E"/>
    <w:rsid w:val="005D3B12"/>
    <w:rsid w:val="005D50C1"/>
    <w:rsid w:val="005D56D4"/>
    <w:rsid w:val="005D734C"/>
    <w:rsid w:val="005E052F"/>
    <w:rsid w:val="005E221A"/>
    <w:rsid w:val="005E3784"/>
    <w:rsid w:val="005E4A68"/>
    <w:rsid w:val="005E51CF"/>
    <w:rsid w:val="005E5661"/>
    <w:rsid w:val="005F349E"/>
    <w:rsid w:val="005F5ADA"/>
    <w:rsid w:val="00604D13"/>
    <w:rsid w:val="00606E19"/>
    <w:rsid w:val="00607B56"/>
    <w:rsid w:val="00611C05"/>
    <w:rsid w:val="00613DAC"/>
    <w:rsid w:val="00627042"/>
    <w:rsid w:val="00627A99"/>
    <w:rsid w:val="00630BEE"/>
    <w:rsid w:val="00631529"/>
    <w:rsid w:val="00633DE9"/>
    <w:rsid w:val="0063432B"/>
    <w:rsid w:val="00634BA3"/>
    <w:rsid w:val="0063608B"/>
    <w:rsid w:val="00636576"/>
    <w:rsid w:val="0064042F"/>
    <w:rsid w:val="006464A8"/>
    <w:rsid w:val="006464EB"/>
    <w:rsid w:val="00646DB9"/>
    <w:rsid w:val="00647130"/>
    <w:rsid w:val="00647270"/>
    <w:rsid w:val="0065161F"/>
    <w:rsid w:val="00651D61"/>
    <w:rsid w:val="00655425"/>
    <w:rsid w:val="00655813"/>
    <w:rsid w:val="00661520"/>
    <w:rsid w:val="0066187E"/>
    <w:rsid w:val="006637E0"/>
    <w:rsid w:val="00664145"/>
    <w:rsid w:val="0066744F"/>
    <w:rsid w:val="006712BC"/>
    <w:rsid w:val="00675EB6"/>
    <w:rsid w:val="006825C0"/>
    <w:rsid w:val="00683C8D"/>
    <w:rsid w:val="00685459"/>
    <w:rsid w:val="0069031B"/>
    <w:rsid w:val="00690357"/>
    <w:rsid w:val="00692A2E"/>
    <w:rsid w:val="006934DF"/>
    <w:rsid w:val="00694633"/>
    <w:rsid w:val="006A33BF"/>
    <w:rsid w:val="006A3AD6"/>
    <w:rsid w:val="006A3B0A"/>
    <w:rsid w:val="006A4D39"/>
    <w:rsid w:val="006C0876"/>
    <w:rsid w:val="006C1B2D"/>
    <w:rsid w:val="006C2731"/>
    <w:rsid w:val="006C55FB"/>
    <w:rsid w:val="006C5D0A"/>
    <w:rsid w:val="006C5F23"/>
    <w:rsid w:val="006C78A2"/>
    <w:rsid w:val="006C7B30"/>
    <w:rsid w:val="006D29F2"/>
    <w:rsid w:val="006D2C85"/>
    <w:rsid w:val="006E00B4"/>
    <w:rsid w:val="006E0FC5"/>
    <w:rsid w:val="006E5456"/>
    <w:rsid w:val="006E5A82"/>
    <w:rsid w:val="006F0052"/>
    <w:rsid w:val="006F11ED"/>
    <w:rsid w:val="006F1311"/>
    <w:rsid w:val="006F1CFF"/>
    <w:rsid w:val="006F3CAE"/>
    <w:rsid w:val="006F56C4"/>
    <w:rsid w:val="006F5BE5"/>
    <w:rsid w:val="00702234"/>
    <w:rsid w:val="00703A62"/>
    <w:rsid w:val="007058CE"/>
    <w:rsid w:val="00707CE5"/>
    <w:rsid w:val="0071082B"/>
    <w:rsid w:val="00710925"/>
    <w:rsid w:val="00712F83"/>
    <w:rsid w:val="00713259"/>
    <w:rsid w:val="007147BE"/>
    <w:rsid w:val="00714E76"/>
    <w:rsid w:val="007167C8"/>
    <w:rsid w:val="00717B60"/>
    <w:rsid w:val="00717F7C"/>
    <w:rsid w:val="007248FB"/>
    <w:rsid w:val="007275D3"/>
    <w:rsid w:val="00730B75"/>
    <w:rsid w:val="00732C0E"/>
    <w:rsid w:val="00733C8C"/>
    <w:rsid w:val="00737439"/>
    <w:rsid w:val="00737837"/>
    <w:rsid w:val="0074653E"/>
    <w:rsid w:val="007535F8"/>
    <w:rsid w:val="00755486"/>
    <w:rsid w:val="007554BB"/>
    <w:rsid w:val="00755BBF"/>
    <w:rsid w:val="00763606"/>
    <w:rsid w:val="00765515"/>
    <w:rsid w:val="007666BE"/>
    <w:rsid w:val="00766C57"/>
    <w:rsid w:val="00767FD6"/>
    <w:rsid w:val="00771AE0"/>
    <w:rsid w:val="00772799"/>
    <w:rsid w:val="00773158"/>
    <w:rsid w:val="00773C6A"/>
    <w:rsid w:val="007753CF"/>
    <w:rsid w:val="0077629E"/>
    <w:rsid w:val="00776DCD"/>
    <w:rsid w:val="007777AF"/>
    <w:rsid w:val="00784229"/>
    <w:rsid w:val="00787327"/>
    <w:rsid w:val="00787C61"/>
    <w:rsid w:val="007964D0"/>
    <w:rsid w:val="007973E0"/>
    <w:rsid w:val="007A0535"/>
    <w:rsid w:val="007A20AE"/>
    <w:rsid w:val="007A2871"/>
    <w:rsid w:val="007A2A1B"/>
    <w:rsid w:val="007A4B2D"/>
    <w:rsid w:val="007A5D0E"/>
    <w:rsid w:val="007B07F6"/>
    <w:rsid w:val="007C4012"/>
    <w:rsid w:val="007C47AB"/>
    <w:rsid w:val="007C5781"/>
    <w:rsid w:val="007C70E5"/>
    <w:rsid w:val="007C7782"/>
    <w:rsid w:val="007D0BDC"/>
    <w:rsid w:val="007D24B4"/>
    <w:rsid w:val="007D4663"/>
    <w:rsid w:val="007D5238"/>
    <w:rsid w:val="007D5F8D"/>
    <w:rsid w:val="007D62B7"/>
    <w:rsid w:val="007D789A"/>
    <w:rsid w:val="007E2278"/>
    <w:rsid w:val="007E5BE4"/>
    <w:rsid w:val="007E5DBD"/>
    <w:rsid w:val="007E79BA"/>
    <w:rsid w:val="007E7C9E"/>
    <w:rsid w:val="007E7F04"/>
    <w:rsid w:val="007F2B8D"/>
    <w:rsid w:val="007F5953"/>
    <w:rsid w:val="007F662D"/>
    <w:rsid w:val="007F68A9"/>
    <w:rsid w:val="007F7E77"/>
    <w:rsid w:val="00800369"/>
    <w:rsid w:val="00810A06"/>
    <w:rsid w:val="00812271"/>
    <w:rsid w:val="00814AD3"/>
    <w:rsid w:val="00816BD1"/>
    <w:rsid w:val="0082002F"/>
    <w:rsid w:val="00824AD3"/>
    <w:rsid w:val="00824AF4"/>
    <w:rsid w:val="00827607"/>
    <w:rsid w:val="00833E9A"/>
    <w:rsid w:val="00835064"/>
    <w:rsid w:val="00840CFA"/>
    <w:rsid w:val="00841EA8"/>
    <w:rsid w:val="00845656"/>
    <w:rsid w:val="008469B2"/>
    <w:rsid w:val="00847C9F"/>
    <w:rsid w:val="008514FB"/>
    <w:rsid w:val="00854F3B"/>
    <w:rsid w:val="00857EFA"/>
    <w:rsid w:val="00863303"/>
    <w:rsid w:val="00866508"/>
    <w:rsid w:val="0087335D"/>
    <w:rsid w:val="0087596C"/>
    <w:rsid w:val="0087656E"/>
    <w:rsid w:val="00882564"/>
    <w:rsid w:val="0088387E"/>
    <w:rsid w:val="00884237"/>
    <w:rsid w:val="0088456E"/>
    <w:rsid w:val="00885F9D"/>
    <w:rsid w:val="00887082"/>
    <w:rsid w:val="008907EB"/>
    <w:rsid w:val="00895EF4"/>
    <w:rsid w:val="008A0751"/>
    <w:rsid w:val="008A4FDB"/>
    <w:rsid w:val="008B28C5"/>
    <w:rsid w:val="008B4FFB"/>
    <w:rsid w:val="008B5023"/>
    <w:rsid w:val="008B68AD"/>
    <w:rsid w:val="008C0B91"/>
    <w:rsid w:val="008C2F6A"/>
    <w:rsid w:val="008D2D57"/>
    <w:rsid w:val="008D3242"/>
    <w:rsid w:val="008D37A4"/>
    <w:rsid w:val="008D3E73"/>
    <w:rsid w:val="008D676F"/>
    <w:rsid w:val="008E2CDA"/>
    <w:rsid w:val="008E3149"/>
    <w:rsid w:val="009009EA"/>
    <w:rsid w:val="00900D9C"/>
    <w:rsid w:val="009045C2"/>
    <w:rsid w:val="00905133"/>
    <w:rsid w:val="0090758C"/>
    <w:rsid w:val="009079D6"/>
    <w:rsid w:val="009101D5"/>
    <w:rsid w:val="0091315B"/>
    <w:rsid w:val="009166BB"/>
    <w:rsid w:val="009169A6"/>
    <w:rsid w:val="009227DC"/>
    <w:rsid w:val="00925F9E"/>
    <w:rsid w:val="00927E87"/>
    <w:rsid w:val="00930A74"/>
    <w:rsid w:val="00934938"/>
    <w:rsid w:val="0093566F"/>
    <w:rsid w:val="00937E6B"/>
    <w:rsid w:val="00940A94"/>
    <w:rsid w:val="00944E05"/>
    <w:rsid w:val="0094577B"/>
    <w:rsid w:val="009459B3"/>
    <w:rsid w:val="00946764"/>
    <w:rsid w:val="00951E78"/>
    <w:rsid w:val="009625C1"/>
    <w:rsid w:val="009636D0"/>
    <w:rsid w:val="009637FE"/>
    <w:rsid w:val="0096392A"/>
    <w:rsid w:val="00964AFB"/>
    <w:rsid w:val="009675F2"/>
    <w:rsid w:val="00970000"/>
    <w:rsid w:val="0097053E"/>
    <w:rsid w:val="009705CA"/>
    <w:rsid w:val="00971FE2"/>
    <w:rsid w:val="00972CE8"/>
    <w:rsid w:val="00973AB7"/>
    <w:rsid w:val="00974FA1"/>
    <w:rsid w:val="00975797"/>
    <w:rsid w:val="00975A96"/>
    <w:rsid w:val="0098126F"/>
    <w:rsid w:val="00985459"/>
    <w:rsid w:val="00990D66"/>
    <w:rsid w:val="00992869"/>
    <w:rsid w:val="009A1492"/>
    <w:rsid w:val="009A15F7"/>
    <w:rsid w:val="009A1A7D"/>
    <w:rsid w:val="009A1BAC"/>
    <w:rsid w:val="009A1E24"/>
    <w:rsid w:val="009B0744"/>
    <w:rsid w:val="009B2A08"/>
    <w:rsid w:val="009B36A9"/>
    <w:rsid w:val="009B3D56"/>
    <w:rsid w:val="009B3D7E"/>
    <w:rsid w:val="009B72CA"/>
    <w:rsid w:val="009C2A66"/>
    <w:rsid w:val="009D22A8"/>
    <w:rsid w:val="009D357C"/>
    <w:rsid w:val="009D45B3"/>
    <w:rsid w:val="009E0243"/>
    <w:rsid w:val="009E3113"/>
    <w:rsid w:val="009E4133"/>
    <w:rsid w:val="009E5CE8"/>
    <w:rsid w:val="009E628A"/>
    <w:rsid w:val="009E6B5C"/>
    <w:rsid w:val="009F17F8"/>
    <w:rsid w:val="009F6089"/>
    <w:rsid w:val="009F6551"/>
    <w:rsid w:val="009F6813"/>
    <w:rsid w:val="00A00A81"/>
    <w:rsid w:val="00A0332E"/>
    <w:rsid w:val="00A04961"/>
    <w:rsid w:val="00A069D5"/>
    <w:rsid w:val="00A109A0"/>
    <w:rsid w:val="00A13AAD"/>
    <w:rsid w:val="00A25B5A"/>
    <w:rsid w:val="00A26DC3"/>
    <w:rsid w:val="00A272D5"/>
    <w:rsid w:val="00A31A97"/>
    <w:rsid w:val="00A31AE2"/>
    <w:rsid w:val="00A325FA"/>
    <w:rsid w:val="00A415D2"/>
    <w:rsid w:val="00A4504C"/>
    <w:rsid w:val="00A458A2"/>
    <w:rsid w:val="00A516CD"/>
    <w:rsid w:val="00A52E41"/>
    <w:rsid w:val="00A53BD9"/>
    <w:rsid w:val="00A53E4C"/>
    <w:rsid w:val="00A54BE6"/>
    <w:rsid w:val="00A5767A"/>
    <w:rsid w:val="00A60514"/>
    <w:rsid w:val="00A61D9E"/>
    <w:rsid w:val="00A62082"/>
    <w:rsid w:val="00A6532E"/>
    <w:rsid w:val="00A65786"/>
    <w:rsid w:val="00A704E5"/>
    <w:rsid w:val="00A76331"/>
    <w:rsid w:val="00A76C0A"/>
    <w:rsid w:val="00A81E91"/>
    <w:rsid w:val="00A8231F"/>
    <w:rsid w:val="00A85C71"/>
    <w:rsid w:val="00A86781"/>
    <w:rsid w:val="00A8712C"/>
    <w:rsid w:val="00A87395"/>
    <w:rsid w:val="00A8751E"/>
    <w:rsid w:val="00A917AF"/>
    <w:rsid w:val="00A92049"/>
    <w:rsid w:val="00A92601"/>
    <w:rsid w:val="00A9702E"/>
    <w:rsid w:val="00AA1D41"/>
    <w:rsid w:val="00AA3E1C"/>
    <w:rsid w:val="00AA40C0"/>
    <w:rsid w:val="00AA4BE4"/>
    <w:rsid w:val="00AC20F9"/>
    <w:rsid w:val="00AC2235"/>
    <w:rsid w:val="00AC6246"/>
    <w:rsid w:val="00AC62B2"/>
    <w:rsid w:val="00AD14D8"/>
    <w:rsid w:val="00AD23FB"/>
    <w:rsid w:val="00AD32A3"/>
    <w:rsid w:val="00AD5039"/>
    <w:rsid w:val="00AE07FF"/>
    <w:rsid w:val="00AE0F01"/>
    <w:rsid w:val="00AF23CB"/>
    <w:rsid w:val="00AF3B07"/>
    <w:rsid w:val="00AF6AED"/>
    <w:rsid w:val="00AF7504"/>
    <w:rsid w:val="00B01379"/>
    <w:rsid w:val="00B01CC6"/>
    <w:rsid w:val="00B04FE3"/>
    <w:rsid w:val="00B07928"/>
    <w:rsid w:val="00B10218"/>
    <w:rsid w:val="00B12993"/>
    <w:rsid w:val="00B15599"/>
    <w:rsid w:val="00B15B51"/>
    <w:rsid w:val="00B17C9B"/>
    <w:rsid w:val="00B21F14"/>
    <w:rsid w:val="00B232E9"/>
    <w:rsid w:val="00B2641B"/>
    <w:rsid w:val="00B31D70"/>
    <w:rsid w:val="00B36385"/>
    <w:rsid w:val="00B4276B"/>
    <w:rsid w:val="00B45B0B"/>
    <w:rsid w:val="00B4613D"/>
    <w:rsid w:val="00B47243"/>
    <w:rsid w:val="00B47F3F"/>
    <w:rsid w:val="00B52298"/>
    <w:rsid w:val="00B54E5E"/>
    <w:rsid w:val="00B61941"/>
    <w:rsid w:val="00B64DF2"/>
    <w:rsid w:val="00B65C59"/>
    <w:rsid w:val="00B665C6"/>
    <w:rsid w:val="00B720F6"/>
    <w:rsid w:val="00B72734"/>
    <w:rsid w:val="00B73480"/>
    <w:rsid w:val="00B8086F"/>
    <w:rsid w:val="00B82DD6"/>
    <w:rsid w:val="00B86F4B"/>
    <w:rsid w:val="00B9156B"/>
    <w:rsid w:val="00B91E30"/>
    <w:rsid w:val="00B93008"/>
    <w:rsid w:val="00B94FD4"/>
    <w:rsid w:val="00BA05D6"/>
    <w:rsid w:val="00BA1F1E"/>
    <w:rsid w:val="00BA386C"/>
    <w:rsid w:val="00BA5691"/>
    <w:rsid w:val="00BA6170"/>
    <w:rsid w:val="00BA690F"/>
    <w:rsid w:val="00BB0E6D"/>
    <w:rsid w:val="00BB10ED"/>
    <w:rsid w:val="00BB24B4"/>
    <w:rsid w:val="00BB4E3B"/>
    <w:rsid w:val="00BC1705"/>
    <w:rsid w:val="00BC4339"/>
    <w:rsid w:val="00BC647B"/>
    <w:rsid w:val="00BD1C23"/>
    <w:rsid w:val="00BD1D74"/>
    <w:rsid w:val="00BD28E5"/>
    <w:rsid w:val="00BD2E39"/>
    <w:rsid w:val="00BD7DA0"/>
    <w:rsid w:val="00BE1AEA"/>
    <w:rsid w:val="00BE3E44"/>
    <w:rsid w:val="00BE4550"/>
    <w:rsid w:val="00BE4BFC"/>
    <w:rsid w:val="00BE4EF9"/>
    <w:rsid w:val="00BF08C0"/>
    <w:rsid w:val="00BF0E99"/>
    <w:rsid w:val="00BF59EF"/>
    <w:rsid w:val="00C0003C"/>
    <w:rsid w:val="00C004EA"/>
    <w:rsid w:val="00C02C2B"/>
    <w:rsid w:val="00C05444"/>
    <w:rsid w:val="00C110A3"/>
    <w:rsid w:val="00C1270E"/>
    <w:rsid w:val="00C13111"/>
    <w:rsid w:val="00C209A8"/>
    <w:rsid w:val="00C21978"/>
    <w:rsid w:val="00C2658E"/>
    <w:rsid w:val="00C3373E"/>
    <w:rsid w:val="00C348E5"/>
    <w:rsid w:val="00C3497B"/>
    <w:rsid w:val="00C37291"/>
    <w:rsid w:val="00C375CD"/>
    <w:rsid w:val="00C41749"/>
    <w:rsid w:val="00C418E7"/>
    <w:rsid w:val="00C41CAB"/>
    <w:rsid w:val="00C43B41"/>
    <w:rsid w:val="00C46EEE"/>
    <w:rsid w:val="00C51360"/>
    <w:rsid w:val="00C518F1"/>
    <w:rsid w:val="00C56610"/>
    <w:rsid w:val="00C64748"/>
    <w:rsid w:val="00C650D1"/>
    <w:rsid w:val="00C71BD0"/>
    <w:rsid w:val="00C75552"/>
    <w:rsid w:val="00C755AE"/>
    <w:rsid w:val="00C76A5D"/>
    <w:rsid w:val="00C77A99"/>
    <w:rsid w:val="00C85192"/>
    <w:rsid w:val="00C86F15"/>
    <w:rsid w:val="00C918B2"/>
    <w:rsid w:val="00C95874"/>
    <w:rsid w:val="00C958E3"/>
    <w:rsid w:val="00C96AD3"/>
    <w:rsid w:val="00CA0E56"/>
    <w:rsid w:val="00CA27C5"/>
    <w:rsid w:val="00CA30F4"/>
    <w:rsid w:val="00CA4CB1"/>
    <w:rsid w:val="00CA6575"/>
    <w:rsid w:val="00CB018F"/>
    <w:rsid w:val="00CB458F"/>
    <w:rsid w:val="00CC44D3"/>
    <w:rsid w:val="00CD2790"/>
    <w:rsid w:val="00CD6CB1"/>
    <w:rsid w:val="00CE1A78"/>
    <w:rsid w:val="00CF1208"/>
    <w:rsid w:val="00CF4149"/>
    <w:rsid w:val="00CF5102"/>
    <w:rsid w:val="00D008C6"/>
    <w:rsid w:val="00D052D6"/>
    <w:rsid w:val="00D119D3"/>
    <w:rsid w:val="00D13A06"/>
    <w:rsid w:val="00D14B1E"/>
    <w:rsid w:val="00D169F6"/>
    <w:rsid w:val="00D17C6B"/>
    <w:rsid w:val="00D22286"/>
    <w:rsid w:val="00D23701"/>
    <w:rsid w:val="00D23B0E"/>
    <w:rsid w:val="00D24B1E"/>
    <w:rsid w:val="00D24C48"/>
    <w:rsid w:val="00D26CE6"/>
    <w:rsid w:val="00D3103A"/>
    <w:rsid w:val="00D32E3B"/>
    <w:rsid w:val="00D368A8"/>
    <w:rsid w:val="00D36E64"/>
    <w:rsid w:val="00D4391E"/>
    <w:rsid w:val="00D46E3E"/>
    <w:rsid w:val="00D506D9"/>
    <w:rsid w:val="00D52C05"/>
    <w:rsid w:val="00D57841"/>
    <w:rsid w:val="00D60FF5"/>
    <w:rsid w:val="00D64C95"/>
    <w:rsid w:val="00D6561E"/>
    <w:rsid w:val="00D6609E"/>
    <w:rsid w:val="00D664F2"/>
    <w:rsid w:val="00D716AE"/>
    <w:rsid w:val="00D7234C"/>
    <w:rsid w:val="00D808AD"/>
    <w:rsid w:val="00D80D82"/>
    <w:rsid w:val="00D84F71"/>
    <w:rsid w:val="00D86E70"/>
    <w:rsid w:val="00D8781A"/>
    <w:rsid w:val="00D91CA4"/>
    <w:rsid w:val="00D926A5"/>
    <w:rsid w:val="00D947A5"/>
    <w:rsid w:val="00D95545"/>
    <w:rsid w:val="00D95F93"/>
    <w:rsid w:val="00D96AA6"/>
    <w:rsid w:val="00DA2147"/>
    <w:rsid w:val="00DA4DF2"/>
    <w:rsid w:val="00DB1A7D"/>
    <w:rsid w:val="00DB252B"/>
    <w:rsid w:val="00DB30BA"/>
    <w:rsid w:val="00DB3160"/>
    <w:rsid w:val="00DB475F"/>
    <w:rsid w:val="00DB5392"/>
    <w:rsid w:val="00DC3E6D"/>
    <w:rsid w:val="00DC6380"/>
    <w:rsid w:val="00DC6BAF"/>
    <w:rsid w:val="00DD0C57"/>
    <w:rsid w:val="00DD162D"/>
    <w:rsid w:val="00DD60F6"/>
    <w:rsid w:val="00DE3E54"/>
    <w:rsid w:val="00DE55B6"/>
    <w:rsid w:val="00DE571D"/>
    <w:rsid w:val="00DF12C5"/>
    <w:rsid w:val="00DF142D"/>
    <w:rsid w:val="00DF263D"/>
    <w:rsid w:val="00DF2CE1"/>
    <w:rsid w:val="00DF53C3"/>
    <w:rsid w:val="00E01393"/>
    <w:rsid w:val="00E05857"/>
    <w:rsid w:val="00E06F3D"/>
    <w:rsid w:val="00E16634"/>
    <w:rsid w:val="00E20065"/>
    <w:rsid w:val="00E203D7"/>
    <w:rsid w:val="00E20C54"/>
    <w:rsid w:val="00E223F6"/>
    <w:rsid w:val="00E22B04"/>
    <w:rsid w:val="00E24AE4"/>
    <w:rsid w:val="00E27CCE"/>
    <w:rsid w:val="00E30404"/>
    <w:rsid w:val="00E32858"/>
    <w:rsid w:val="00E3322F"/>
    <w:rsid w:val="00E432F3"/>
    <w:rsid w:val="00E44DD5"/>
    <w:rsid w:val="00E47B7E"/>
    <w:rsid w:val="00E50A24"/>
    <w:rsid w:val="00E515AE"/>
    <w:rsid w:val="00E51FC0"/>
    <w:rsid w:val="00E521AB"/>
    <w:rsid w:val="00E53819"/>
    <w:rsid w:val="00E55E96"/>
    <w:rsid w:val="00E56620"/>
    <w:rsid w:val="00E60469"/>
    <w:rsid w:val="00E6233F"/>
    <w:rsid w:val="00E652EA"/>
    <w:rsid w:val="00E67DE9"/>
    <w:rsid w:val="00E71CF5"/>
    <w:rsid w:val="00E75498"/>
    <w:rsid w:val="00E762E9"/>
    <w:rsid w:val="00E77739"/>
    <w:rsid w:val="00E808EA"/>
    <w:rsid w:val="00E833A7"/>
    <w:rsid w:val="00E854E0"/>
    <w:rsid w:val="00E8589E"/>
    <w:rsid w:val="00E87AB0"/>
    <w:rsid w:val="00E90688"/>
    <w:rsid w:val="00E90742"/>
    <w:rsid w:val="00E9127A"/>
    <w:rsid w:val="00E944CE"/>
    <w:rsid w:val="00E97CB8"/>
    <w:rsid w:val="00EA169C"/>
    <w:rsid w:val="00EA2144"/>
    <w:rsid w:val="00EA219F"/>
    <w:rsid w:val="00EA6CD0"/>
    <w:rsid w:val="00EB2792"/>
    <w:rsid w:val="00EB38B0"/>
    <w:rsid w:val="00EB404E"/>
    <w:rsid w:val="00EB4EB5"/>
    <w:rsid w:val="00EB5CF8"/>
    <w:rsid w:val="00EC08CE"/>
    <w:rsid w:val="00EC1F0E"/>
    <w:rsid w:val="00EC2AEA"/>
    <w:rsid w:val="00EC3A4A"/>
    <w:rsid w:val="00EC3AB1"/>
    <w:rsid w:val="00EC418C"/>
    <w:rsid w:val="00EC5357"/>
    <w:rsid w:val="00EC7EEC"/>
    <w:rsid w:val="00ED05AC"/>
    <w:rsid w:val="00ED4330"/>
    <w:rsid w:val="00ED621F"/>
    <w:rsid w:val="00ED7783"/>
    <w:rsid w:val="00EE3ABA"/>
    <w:rsid w:val="00EE6F45"/>
    <w:rsid w:val="00EF030E"/>
    <w:rsid w:val="00EF16F5"/>
    <w:rsid w:val="00EF5512"/>
    <w:rsid w:val="00EF6B62"/>
    <w:rsid w:val="00EF6D74"/>
    <w:rsid w:val="00F0644E"/>
    <w:rsid w:val="00F14EE6"/>
    <w:rsid w:val="00F158EE"/>
    <w:rsid w:val="00F17C81"/>
    <w:rsid w:val="00F20681"/>
    <w:rsid w:val="00F259FB"/>
    <w:rsid w:val="00F27896"/>
    <w:rsid w:val="00F30CB9"/>
    <w:rsid w:val="00F31126"/>
    <w:rsid w:val="00F316C3"/>
    <w:rsid w:val="00F37BAD"/>
    <w:rsid w:val="00F41E94"/>
    <w:rsid w:val="00F44C04"/>
    <w:rsid w:val="00F4546D"/>
    <w:rsid w:val="00F4600C"/>
    <w:rsid w:val="00F476E5"/>
    <w:rsid w:val="00F531A3"/>
    <w:rsid w:val="00F561CF"/>
    <w:rsid w:val="00F57AD5"/>
    <w:rsid w:val="00F61F8A"/>
    <w:rsid w:val="00F63772"/>
    <w:rsid w:val="00F65758"/>
    <w:rsid w:val="00F65ED7"/>
    <w:rsid w:val="00F67302"/>
    <w:rsid w:val="00F7235A"/>
    <w:rsid w:val="00F73FAE"/>
    <w:rsid w:val="00F75BFD"/>
    <w:rsid w:val="00F76826"/>
    <w:rsid w:val="00F834B3"/>
    <w:rsid w:val="00F84EF8"/>
    <w:rsid w:val="00F911C3"/>
    <w:rsid w:val="00F92AF7"/>
    <w:rsid w:val="00F92B20"/>
    <w:rsid w:val="00F93702"/>
    <w:rsid w:val="00F93ADB"/>
    <w:rsid w:val="00F943E6"/>
    <w:rsid w:val="00F9465B"/>
    <w:rsid w:val="00FA6517"/>
    <w:rsid w:val="00FB372B"/>
    <w:rsid w:val="00FB455A"/>
    <w:rsid w:val="00FC0BD9"/>
    <w:rsid w:val="00FC308D"/>
    <w:rsid w:val="00FC4FD8"/>
    <w:rsid w:val="00FC5C76"/>
    <w:rsid w:val="00FC68B2"/>
    <w:rsid w:val="00FC7EFA"/>
    <w:rsid w:val="00FD123F"/>
    <w:rsid w:val="00FD13F6"/>
    <w:rsid w:val="00FD24DE"/>
    <w:rsid w:val="00FD7C5C"/>
    <w:rsid w:val="00FE08D2"/>
    <w:rsid w:val="00FE2258"/>
    <w:rsid w:val="00FE2734"/>
    <w:rsid w:val="00FE4BB8"/>
    <w:rsid w:val="00FE6554"/>
    <w:rsid w:val="00FE78C8"/>
    <w:rsid w:val="00FF6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66704"/>
  <w15:docId w15:val="{80F50CF0-A7FE-456F-AB66-E3E9FE2B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F0E"/>
    <w:pPr>
      <w:spacing w:after="200" w:line="276" w:lineRule="auto"/>
    </w:pPr>
    <w:rPr>
      <w:sz w:val="22"/>
      <w:szCs w:val="22"/>
      <w:lang w:val="lv-LV"/>
    </w:rPr>
  </w:style>
  <w:style w:type="paragraph" w:styleId="Heading4">
    <w:name w:val="heading 4"/>
    <w:basedOn w:val="Normal"/>
    <w:link w:val="Heading4Char"/>
    <w:uiPriority w:val="9"/>
    <w:qFormat/>
    <w:rsid w:val="00392D00"/>
    <w:pPr>
      <w:spacing w:before="100" w:beforeAutospacing="1" w:after="100" w:afterAutospacing="1" w:line="240" w:lineRule="auto"/>
      <w:outlineLvl w:val="3"/>
    </w:pPr>
    <w:rPr>
      <w:rFonts w:ascii="Times New Roman" w:eastAsia="Times New Roman" w:hAnsi="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92D00"/>
    <w:rPr>
      <w:rFonts w:ascii="Times New Roman" w:eastAsia="Times New Roman" w:hAnsi="Times New Roman" w:cs="Times New Roman"/>
      <w:b/>
      <w:bCs/>
      <w:sz w:val="24"/>
      <w:szCs w:val="24"/>
      <w:lang w:eastAsia="lv-LV"/>
    </w:rPr>
  </w:style>
  <w:style w:type="paragraph" w:styleId="NormalWeb">
    <w:name w:val="Normal (Web)"/>
    <w:basedOn w:val="Normal"/>
    <w:uiPriority w:val="99"/>
    <w:unhideWhenUsed/>
    <w:rsid w:val="00392D00"/>
    <w:pPr>
      <w:spacing w:before="100" w:beforeAutospacing="1" w:after="100" w:afterAutospacing="1" w:line="240" w:lineRule="auto"/>
    </w:pPr>
    <w:rPr>
      <w:rFonts w:ascii="Times New Roman" w:eastAsia="Times New Roman" w:hAnsi="Times New Roman"/>
      <w:sz w:val="24"/>
      <w:szCs w:val="24"/>
      <w:lang w:eastAsia="lv-LV"/>
    </w:rPr>
  </w:style>
  <w:style w:type="paragraph" w:styleId="Header">
    <w:name w:val="header"/>
    <w:basedOn w:val="Normal"/>
    <w:link w:val="HeaderChar"/>
    <w:uiPriority w:val="99"/>
    <w:unhideWhenUsed/>
    <w:rsid w:val="004A53C8"/>
    <w:pPr>
      <w:tabs>
        <w:tab w:val="center" w:pos="4153"/>
        <w:tab w:val="right" w:pos="8306"/>
      </w:tabs>
    </w:pPr>
  </w:style>
  <w:style w:type="character" w:customStyle="1" w:styleId="HeaderChar">
    <w:name w:val="Header Char"/>
    <w:basedOn w:val="DefaultParagraphFont"/>
    <w:link w:val="Header"/>
    <w:uiPriority w:val="99"/>
    <w:rsid w:val="004A53C8"/>
    <w:rPr>
      <w:sz w:val="22"/>
      <w:szCs w:val="22"/>
      <w:lang w:eastAsia="en-US"/>
    </w:rPr>
  </w:style>
  <w:style w:type="paragraph" w:styleId="Footer">
    <w:name w:val="footer"/>
    <w:basedOn w:val="Normal"/>
    <w:link w:val="FooterChar"/>
    <w:uiPriority w:val="99"/>
    <w:unhideWhenUsed/>
    <w:rsid w:val="004A53C8"/>
    <w:pPr>
      <w:tabs>
        <w:tab w:val="center" w:pos="4153"/>
        <w:tab w:val="right" w:pos="8306"/>
      </w:tabs>
    </w:pPr>
  </w:style>
  <w:style w:type="character" w:customStyle="1" w:styleId="FooterChar">
    <w:name w:val="Footer Char"/>
    <w:basedOn w:val="DefaultParagraphFont"/>
    <w:link w:val="Footer"/>
    <w:uiPriority w:val="99"/>
    <w:rsid w:val="004A53C8"/>
    <w:rPr>
      <w:sz w:val="22"/>
      <w:szCs w:val="22"/>
      <w:lang w:eastAsia="en-US"/>
    </w:rPr>
  </w:style>
  <w:style w:type="character" w:styleId="Hyperlink">
    <w:name w:val="Hyperlink"/>
    <w:basedOn w:val="DefaultParagraphFont"/>
    <w:uiPriority w:val="99"/>
    <w:unhideWhenUsed/>
    <w:rsid w:val="00A6532E"/>
    <w:rPr>
      <w:color w:val="0000FF"/>
      <w:u w:val="single"/>
    </w:rPr>
  </w:style>
  <w:style w:type="paragraph" w:styleId="EndnoteText">
    <w:name w:val="endnote text"/>
    <w:basedOn w:val="Normal"/>
    <w:link w:val="EndnoteTextChar"/>
    <w:uiPriority w:val="99"/>
    <w:semiHidden/>
    <w:unhideWhenUsed/>
    <w:rsid w:val="007E7C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E7C9E"/>
    <w:rPr>
      <w:lang w:val="lv-LV"/>
    </w:rPr>
  </w:style>
  <w:style w:type="character" w:styleId="EndnoteReference">
    <w:name w:val="endnote reference"/>
    <w:basedOn w:val="DefaultParagraphFont"/>
    <w:uiPriority w:val="99"/>
    <w:semiHidden/>
    <w:unhideWhenUsed/>
    <w:rsid w:val="007E7C9E"/>
    <w:rPr>
      <w:vertAlign w:val="superscript"/>
    </w:rPr>
  </w:style>
  <w:style w:type="paragraph" w:styleId="BalloonText">
    <w:name w:val="Balloon Text"/>
    <w:basedOn w:val="Normal"/>
    <w:link w:val="BalloonTextChar"/>
    <w:uiPriority w:val="99"/>
    <w:semiHidden/>
    <w:unhideWhenUsed/>
    <w:rsid w:val="00F17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C81"/>
    <w:rPr>
      <w:rFonts w:ascii="Segoe UI" w:hAnsi="Segoe UI" w:cs="Segoe UI"/>
      <w:sz w:val="18"/>
      <w:szCs w:val="18"/>
      <w:lang w:val="lv-LV"/>
    </w:rPr>
  </w:style>
  <w:style w:type="character" w:styleId="FollowedHyperlink">
    <w:name w:val="FollowedHyperlink"/>
    <w:basedOn w:val="DefaultParagraphFont"/>
    <w:uiPriority w:val="99"/>
    <w:semiHidden/>
    <w:unhideWhenUsed/>
    <w:rsid w:val="0087656E"/>
    <w:rPr>
      <w:color w:val="800080" w:themeColor="followedHyperlink"/>
      <w:u w:val="single"/>
    </w:rPr>
  </w:style>
  <w:style w:type="character" w:styleId="CommentReference">
    <w:name w:val="annotation reference"/>
    <w:basedOn w:val="DefaultParagraphFont"/>
    <w:uiPriority w:val="99"/>
    <w:semiHidden/>
    <w:unhideWhenUsed/>
    <w:rsid w:val="00944E05"/>
    <w:rPr>
      <w:sz w:val="16"/>
      <w:szCs w:val="16"/>
    </w:rPr>
  </w:style>
  <w:style w:type="paragraph" w:styleId="CommentText">
    <w:name w:val="annotation text"/>
    <w:basedOn w:val="Normal"/>
    <w:link w:val="CommentTextChar"/>
    <w:uiPriority w:val="99"/>
    <w:unhideWhenUsed/>
    <w:rsid w:val="00944E05"/>
    <w:pPr>
      <w:spacing w:line="240" w:lineRule="auto"/>
    </w:pPr>
    <w:rPr>
      <w:sz w:val="20"/>
      <w:szCs w:val="20"/>
    </w:rPr>
  </w:style>
  <w:style w:type="character" w:customStyle="1" w:styleId="CommentTextChar">
    <w:name w:val="Comment Text Char"/>
    <w:basedOn w:val="DefaultParagraphFont"/>
    <w:link w:val="CommentText"/>
    <w:uiPriority w:val="99"/>
    <w:rsid w:val="00944E05"/>
    <w:rPr>
      <w:lang w:val="lv-LV"/>
    </w:rPr>
  </w:style>
  <w:style w:type="paragraph" w:styleId="CommentSubject">
    <w:name w:val="annotation subject"/>
    <w:basedOn w:val="CommentText"/>
    <w:next w:val="CommentText"/>
    <w:link w:val="CommentSubjectChar"/>
    <w:uiPriority w:val="99"/>
    <w:semiHidden/>
    <w:unhideWhenUsed/>
    <w:rsid w:val="00944E05"/>
    <w:rPr>
      <w:b/>
      <w:bCs/>
    </w:rPr>
  </w:style>
  <w:style w:type="character" w:customStyle="1" w:styleId="CommentSubjectChar">
    <w:name w:val="Comment Subject Char"/>
    <w:basedOn w:val="CommentTextChar"/>
    <w:link w:val="CommentSubject"/>
    <w:uiPriority w:val="99"/>
    <w:semiHidden/>
    <w:rsid w:val="00944E05"/>
    <w:rPr>
      <w:b/>
      <w:bCs/>
      <w:lang w:val="lv-LV"/>
    </w:rPr>
  </w:style>
  <w:style w:type="table" w:styleId="TableGrid">
    <w:name w:val="Table Grid"/>
    <w:basedOn w:val="TableNormal"/>
    <w:uiPriority w:val="39"/>
    <w:rsid w:val="007A28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674B"/>
    <w:pPr>
      <w:ind w:left="720"/>
      <w:contextualSpacing/>
    </w:pPr>
  </w:style>
  <w:style w:type="paragraph" w:customStyle="1" w:styleId="Normal1">
    <w:name w:val="Normal1"/>
    <w:basedOn w:val="Normal"/>
    <w:rsid w:val="001E73B4"/>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char">
    <w:name w:val="normal__char"/>
    <w:basedOn w:val="DefaultParagraphFont"/>
    <w:rsid w:val="001E73B4"/>
  </w:style>
  <w:style w:type="paragraph" w:customStyle="1" w:styleId="tv2132">
    <w:name w:val="tv2132"/>
    <w:basedOn w:val="Normal"/>
    <w:rsid w:val="0063432B"/>
    <w:pPr>
      <w:spacing w:after="0" w:line="360" w:lineRule="auto"/>
      <w:ind w:firstLine="300"/>
    </w:pPr>
    <w:rPr>
      <w:rFonts w:ascii="Times New Roman" w:eastAsia="Times New Roman" w:hAnsi="Times New Roman"/>
      <w:color w:val="414142"/>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0264">
      <w:bodyDiv w:val="1"/>
      <w:marLeft w:val="0"/>
      <w:marRight w:val="0"/>
      <w:marTop w:val="0"/>
      <w:marBottom w:val="0"/>
      <w:divBdr>
        <w:top w:val="none" w:sz="0" w:space="0" w:color="auto"/>
        <w:left w:val="none" w:sz="0" w:space="0" w:color="auto"/>
        <w:bottom w:val="none" w:sz="0" w:space="0" w:color="auto"/>
        <w:right w:val="none" w:sz="0" w:space="0" w:color="auto"/>
      </w:divBdr>
      <w:divsChild>
        <w:div w:id="825166045">
          <w:marLeft w:val="0"/>
          <w:marRight w:val="0"/>
          <w:marTop w:val="0"/>
          <w:marBottom w:val="0"/>
          <w:divBdr>
            <w:top w:val="none" w:sz="0" w:space="0" w:color="auto"/>
            <w:left w:val="none" w:sz="0" w:space="0" w:color="auto"/>
            <w:bottom w:val="none" w:sz="0" w:space="0" w:color="auto"/>
            <w:right w:val="none" w:sz="0" w:space="0" w:color="auto"/>
          </w:divBdr>
          <w:divsChild>
            <w:div w:id="974026865">
              <w:marLeft w:val="0"/>
              <w:marRight w:val="0"/>
              <w:marTop w:val="0"/>
              <w:marBottom w:val="0"/>
              <w:divBdr>
                <w:top w:val="none" w:sz="0" w:space="0" w:color="auto"/>
                <w:left w:val="none" w:sz="0" w:space="0" w:color="auto"/>
                <w:bottom w:val="none" w:sz="0" w:space="0" w:color="auto"/>
                <w:right w:val="none" w:sz="0" w:space="0" w:color="auto"/>
              </w:divBdr>
              <w:divsChild>
                <w:div w:id="922254029">
                  <w:marLeft w:val="0"/>
                  <w:marRight w:val="0"/>
                  <w:marTop w:val="0"/>
                  <w:marBottom w:val="0"/>
                  <w:divBdr>
                    <w:top w:val="none" w:sz="0" w:space="0" w:color="auto"/>
                    <w:left w:val="none" w:sz="0" w:space="0" w:color="auto"/>
                    <w:bottom w:val="none" w:sz="0" w:space="0" w:color="auto"/>
                    <w:right w:val="none" w:sz="0" w:space="0" w:color="auto"/>
                  </w:divBdr>
                  <w:divsChild>
                    <w:div w:id="605691951">
                      <w:marLeft w:val="0"/>
                      <w:marRight w:val="0"/>
                      <w:marTop w:val="0"/>
                      <w:marBottom w:val="0"/>
                      <w:divBdr>
                        <w:top w:val="none" w:sz="0" w:space="0" w:color="auto"/>
                        <w:left w:val="none" w:sz="0" w:space="0" w:color="auto"/>
                        <w:bottom w:val="none" w:sz="0" w:space="0" w:color="auto"/>
                        <w:right w:val="none" w:sz="0" w:space="0" w:color="auto"/>
                      </w:divBdr>
                      <w:divsChild>
                        <w:div w:id="303313963">
                          <w:marLeft w:val="0"/>
                          <w:marRight w:val="0"/>
                          <w:marTop w:val="0"/>
                          <w:marBottom w:val="0"/>
                          <w:divBdr>
                            <w:top w:val="none" w:sz="0" w:space="0" w:color="auto"/>
                            <w:left w:val="none" w:sz="0" w:space="0" w:color="auto"/>
                            <w:bottom w:val="none" w:sz="0" w:space="0" w:color="auto"/>
                            <w:right w:val="none" w:sz="0" w:space="0" w:color="auto"/>
                          </w:divBdr>
                          <w:divsChild>
                            <w:div w:id="56303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15280">
      <w:bodyDiv w:val="1"/>
      <w:marLeft w:val="0"/>
      <w:marRight w:val="0"/>
      <w:marTop w:val="0"/>
      <w:marBottom w:val="0"/>
      <w:divBdr>
        <w:top w:val="none" w:sz="0" w:space="0" w:color="auto"/>
        <w:left w:val="none" w:sz="0" w:space="0" w:color="auto"/>
        <w:bottom w:val="none" w:sz="0" w:space="0" w:color="auto"/>
        <w:right w:val="none" w:sz="0" w:space="0" w:color="auto"/>
      </w:divBdr>
    </w:div>
    <w:div w:id="109276640">
      <w:bodyDiv w:val="1"/>
      <w:marLeft w:val="0"/>
      <w:marRight w:val="0"/>
      <w:marTop w:val="0"/>
      <w:marBottom w:val="0"/>
      <w:divBdr>
        <w:top w:val="none" w:sz="0" w:space="0" w:color="auto"/>
        <w:left w:val="none" w:sz="0" w:space="0" w:color="auto"/>
        <w:bottom w:val="none" w:sz="0" w:space="0" w:color="auto"/>
        <w:right w:val="none" w:sz="0" w:space="0" w:color="auto"/>
      </w:divBdr>
    </w:div>
    <w:div w:id="124662280">
      <w:bodyDiv w:val="1"/>
      <w:marLeft w:val="0"/>
      <w:marRight w:val="0"/>
      <w:marTop w:val="0"/>
      <w:marBottom w:val="0"/>
      <w:divBdr>
        <w:top w:val="none" w:sz="0" w:space="0" w:color="auto"/>
        <w:left w:val="none" w:sz="0" w:space="0" w:color="auto"/>
        <w:bottom w:val="none" w:sz="0" w:space="0" w:color="auto"/>
        <w:right w:val="none" w:sz="0" w:space="0" w:color="auto"/>
      </w:divBdr>
    </w:div>
    <w:div w:id="448010599">
      <w:bodyDiv w:val="1"/>
      <w:marLeft w:val="0"/>
      <w:marRight w:val="0"/>
      <w:marTop w:val="0"/>
      <w:marBottom w:val="0"/>
      <w:divBdr>
        <w:top w:val="none" w:sz="0" w:space="0" w:color="auto"/>
        <w:left w:val="none" w:sz="0" w:space="0" w:color="auto"/>
        <w:bottom w:val="none" w:sz="0" w:space="0" w:color="auto"/>
        <w:right w:val="none" w:sz="0" w:space="0" w:color="auto"/>
      </w:divBdr>
    </w:div>
    <w:div w:id="719329252">
      <w:bodyDiv w:val="1"/>
      <w:marLeft w:val="0"/>
      <w:marRight w:val="0"/>
      <w:marTop w:val="0"/>
      <w:marBottom w:val="0"/>
      <w:divBdr>
        <w:top w:val="none" w:sz="0" w:space="0" w:color="auto"/>
        <w:left w:val="none" w:sz="0" w:space="0" w:color="auto"/>
        <w:bottom w:val="none" w:sz="0" w:space="0" w:color="auto"/>
        <w:right w:val="none" w:sz="0" w:space="0" w:color="auto"/>
      </w:divBdr>
    </w:div>
    <w:div w:id="792987859">
      <w:bodyDiv w:val="1"/>
      <w:marLeft w:val="0"/>
      <w:marRight w:val="0"/>
      <w:marTop w:val="0"/>
      <w:marBottom w:val="0"/>
      <w:divBdr>
        <w:top w:val="none" w:sz="0" w:space="0" w:color="auto"/>
        <w:left w:val="none" w:sz="0" w:space="0" w:color="auto"/>
        <w:bottom w:val="none" w:sz="0" w:space="0" w:color="auto"/>
        <w:right w:val="none" w:sz="0" w:space="0" w:color="auto"/>
      </w:divBdr>
    </w:div>
    <w:div w:id="839462780">
      <w:bodyDiv w:val="1"/>
      <w:marLeft w:val="0"/>
      <w:marRight w:val="0"/>
      <w:marTop w:val="0"/>
      <w:marBottom w:val="0"/>
      <w:divBdr>
        <w:top w:val="none" w:sz="0" w:space="0" w:color="auto"/>
        <w:left w:val="none" w:sz="0" w:space="0" w:color="auto"/>
        <w:bottom w:val="none" w:sz="0" w:space="0" w:color="auto"/>
        <w:right w:val="none" w:sz="0" w:space="0" w:color="auto"/>
      </w:divBdr>
    </w:div>
    <w:div w:id="876504172">
      <w:bodyDiv w:val="1"/>
      <w:marLeft w:val="0"/>
      <w:marRight w:val="0"/>
      <w:marTop w:val="0"/>
      <w:marBottom w:val="0"/>
      <w:divBdr>
        <w:top w:val="none" w:sz="0" w:space="0" w:color="auto"/>
        <w:left w:val="none" w:sz="0" w:space="0" w:color="auto"/>
        <w:bottom w:val="none" w:sz="0" w:space="0" w:color="auto"/>
        <w:right w:val="none" w:sz="0" w:space="0" w:color="auto"/>
      </w:divBdr>
      <w:divsChild>
        <w:div w:id="139612460">
          <w:marLeft w:val="0"/>
          <w:marRight w:val="0"/>
          <w:marTop w:val="0"/>
          <w:marBottom w:val="0"/>
          <w:divBdr>
            <w:top w:val="none" w:sz="0" w:space="0" w:color="auto"/>
            <w:left w:val="none" w:sz="0" w:space="0" w:color="auto"/>
            <w:bottom w:val="none" w:sz="0" w:space="0" w:color="auto"/>
            <w:right w:val="none" w:sz="0" w:space="0" w:color="auto"/>
          </w:divBdr>
          <w:divsChild>
            <w:div w:id="919293357">
              <w:marLeft w:val="0"/>
              <w:marRight w:val="0"/>
              <w:marTop w:val="0"/>
              <w:marBottom w:val="0"/>
              <w:divBdr>
                <w:top w:val="none" w:sz="0" w:space="0" w:color="auto"/>
                <w:left w:val="none" w:sz="0" w:space="0" w:color="auto"/>
                <w:bottom w:val="none" w:sz="0" w:space="0" w:color="auto"/>
                <w:right w:val="none" w:sz="0" w:space="0" w:color="auto"/>
              </w:divBdr>
              <w:divsChild>
                <w:div w:id="1657421276">
                  <w:marLeft w:val="0"/>
                  <w:marRight w:val="0"/>
                  <w:marTop w:val="0"/>
                  <w:marBottom w:val="0"/>
                  <w:divBdr>
                    <w:top w:val="none" w:sz="0" w:space="0" w:color="auto"/>
                    <w:left w:val="none" w:sz="0" w:space="0" w:color="auto"/>
                    <w:bottom w:val="none" w:sz="0" w:space="0" w:color="auto"/>
                    <w:right w:val="none" w:sz="0" w:space="0" w:color="auto"/>
                  </w:divBdr>
                  <w:divsChild>
                    <w:div w:id="1684745905">
                      <w:marLeft w:val="0"/>
                      <w:marRight w:val="0"/>
                      <w:marTop w:val="0"/>
                      <w:marBottom w:val="0"/>
                      <w:divBdr>
                        <w:top w:val="none" w:sz="0" w:space="0" w:color="auto"/>
                        <w:left w:val="none" w:sz="0" w:space="0" w:color="auto"/>
                        <w:bottom w:val="none" w:sz="0" w:space="0" w:color="auto"/>
                        <w:right w:val="none" w:sz="0" w:space="0" w:color="auto"/>
                      </w:divBdr>
                      <w:divsChild>
                        <w:div w:id="2112509031">
                          <w:marLeft w:val="0"/>
                          <w:marRight w:val="0"/>
                          <w:marTop w:val="0"/>
                          <w:marBottom w:val="0"/>
                          <w:divBdr>
                            <w:top w:val="none" w:sz="0" w:space="0" w:color="auto"/>
                            <w:left w:val="none" w:sz="0" w:space="0" w:color="auto"/>
                            <w:bottom w:val="none" w:sz="0" w:space="0" w:color="auto"/>
                            <w:right w:val="none" w:sz="0" w:space="0" w:color="auto"/>
                          </w:divBdr>
                          <w:divsChild>
                            <w:div w:id="22271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760109">
      <w:bodyDiv w:val="1"/>
      <w:marLeft w:val="0"/>
      <w:marRight w:val="0"/>
      <w:marTop w:val="0"/>
      <w:marBottom w:val="0"/>
      <w:divBdr>
        <w:top w:val="none" w:sz="0" w:space="0" w:color="auto"/>
        <w:left w:val="none" w:sz="0" w:space="0" w:color="auto"/>
        <w:bottom w:val="none" w:sz="0" w:space="0" w:color="auto"/>
        <w:right w:val="none" w:sz="0" w:space="0" w:color="auto"/>
      </w:divBdr>
    </w:div>
    <w:div w:id="1380782661">
      <w:bodyDiv w:val="1"/>
      <w:marLeft w:val="0"/>
      <w:marRight w:val="0"/>
      <w:marTop w:val="0"/>
      <w:marBottom w:val="0"/>
      <w:divBdr>
        <w:top w:val="none" w:sz="0" w:space="0" w:color="auto"/>
        <w:left w:val="none" w:sz="0" w:space="0" w:color="auto"/>
        <w:bottom w:val="none" w:sz="0" w:space="0" w:color="auto"/>
        <w:right w:val="none" w:sz="0" w:space="0" w:color="auto"/>
      </w:divBdr>
      <w:divsChild>
        <w:div w:id="285741763">
          <w:marLeft w:val="0"/>
          <w:marRight w:val="0"/>
          <w:marTop w:val="0"/>
          <w:marBottom w:val="0"/>
          <w:divBdr>
            <w:top w:val="none" w:sz="0" w:space="0" w:color="auto"/>
            <w:left w:val="none" w:sz="0" w:space="0" w:color="auto"/>
            <w:bottom w:val="none" w:sz="0" w:space="0" w:color="auto"/>
            <w:right w:val="none" w:sz="0" w:space="0" w:color="auto"/>
          </w:divBdr>
          <w:divsChild>
            <w:div w:id="1164513618">
              <w:marLeft w:val="0"/>
              <w:marRight w:val="0"/>
              <w:marTop w:val="0"/>
              <w:marBottom w:val="0"/>
              <w:divBdr>
                <w:top w:val="none" w:sz="0" w:space="0" w:color="auto"/>
                <w:left w:val="none" w:sz="0" w:space="0" w:color="auto"/>
                <w:bottom w:val="none" w:sz="0" w:space="0" w:color="auto"/>
                <w:right w:val="none" w:sz="0" w:space="0" w:color="auto"/>
              </w:divBdr>
              <w:divsChild>
                <w:div w:id="1428118603">
                  <w:marLeft w:val="0"/>
                  <w:marRight w:val="0"/>
                  <w:marTop w:val="0"/>
                  <w:marBottom w:val="0"/>
                  <w:divBdr>
                    <w:top w:val="none" w:sz="0" w:space="0" w:color="auto"/>
                    <w:left w:val="none" w:sz="0" w:space="0" w:color="auto"/>
                    <w:bottom w:val="none" w:sz="0" w:space="0" w:color="auto"/>
                    <w:right w:val="none" w:sz="0" w:space="0" w:color="auto"/>
                  </w:divBdr>
                  <w:divsChild>
                    <w:div w:id="669330871">
                      <w:marLeft w:val="0"/>
                      <w:marRight w:val="0"/>
                      <w:marTop w:val="0"/>
                      <w:marBottom w:val="0"/>
                      <w:divBdr>
                        <w:top w:val="none" w:sz="0" w:space="0" w:color="auto"/>
                        <w:left w:val="none" w:sz="0" w:space="0" w:color="auto"/>
                        <w:bottom w:val="none" w:sz="0" w:space="0" w:color="auto"/>
                        <w:right w:val="none" w:sz="0" w:space="0" w:color="auto"/>
                      </w:divBdr>
                      <w:divsChild>
                        <w:div w:id="62798485">
                          <w:marLeft w:val="0"/>
                          <w:marRight w:val="0"/>
                          <w:marTop w:val="0"/>
                          <w:marBottom w:val="0"/>
                          <w:divBdr>
                            <w:top w:val="none" w:sz="0" w:space="0" w:color="auto"/>
                            <w:left w:val="none" w:sz="0" w:space="0" w:color="auto"/>
                            <w:bottom w:val="none" w:sz="0" w:space="0" w:color="auto"/>
                            <w:right w:val="none" w:sz="0" w:space="0" w:color="auto"/>
                          </w:divBdr>
                          <w:divsChild>
                            <w:div w:id="25271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618443">
      <w:bodyDiv w:val="1"/>
      <w:marLeft w:val="0"/>
      <w:marRight w:val="0"/>
      <w:marTop w:val="0"/>
      <w:marBottom w:val="0"/>
      <w:divBdr>
        <w:top w:val="none" w:sz="0" w:space="0" w:color="auto"/>
        <w:left w:val="none" w:sz="0" w:space="0" w:color="auto"/>
        <w:bottom w:val="none" w:sz="0" w:space="0" w:color="auto"/>
        <w:right w:val="none" w:sz="0" w:space="0" w:color="auto"/>
      </w:divBdr>
      <w:divsChild>
        <w:div w:id="1694334206">
          <w:marLeft w:val="0"/>
          <w:marRight w:val="0"/>
          <w:marTop w:val="0"/>
          <w:marBottom w:val="0"/>
          <w:divBdr>
            <w:top w:val="none" w:sz="0" w:space="0" w:color="auto"/>
            <w:left w:val="none" w:sz="0" w:space="0" w:color="auto"/>
            <w:bottom w:val="none" w:sz="0" w:space="0" w:color="auto"/>
            <w:right w:val="none" w:sz="0" w:space="0" w:color="auto"/>
          </w:divBdr>
          <w:divsChild>
            <w:div w:id="2557992">
              <w:marLeft w:val="0"/>
              <w:marRight w:val="0"/>
              <w:marTop w:val="0"/>
              <w:marBottom w:val="0"/>
              <w:divBdr>
                <w:top w:val="none" w:sz="0" w:space="0" w:color="auto"/>
                <w:left w:val="none" w:sz="0" w:space="0" w:color="auto"/>
                <w:bottom w:val="none" w:sz="0" w:space="0" w:color="auto"/>
                <w:right w:val="none" w:sz="0" w:space="0" w:color="auto"/>
              </w:divBdr>
              <w:divsChild>
                <w:div w:id="711004928">
                  <w:marLeft w:val="0"/>
                  <w:marRight w:val="0"/>
                  <w:marTop w:val="0"/>
                  <w:marBottom w:val="0"/>
                  <w:divBdr>
                    <w:top w:val="none" w:sz="0" w:space="0" w:color="auto"/>
                    <w:left w:val="none" w:sz="0" w:space="0" w:color="auto"/>
                    <w:bottom w:val="none" w:sz="0" w:space="0" w:color="auto"/>
                    <w:right w:val="none" w:sz="0" w:space="0" w:color="auto"/>
                  </w:divBdr>
                  <w:divsChild>
                    <w:div w:id="337117879">
                      <w:marLeft w:val="0"/>
                      <w:marRight w:val="0"/>
                      <w:marTop w:val="0"/>
                      <w:marBottom w:val="0"/>
                      <w:divBdr>
                        <w:top w:val="none" w:sz="0" w:space="0" w:color="auto"/>
                        <w:left w:val="none" w:sz="0" w:space="0" w:color="auto"/>
                        <w:bottom w:val="none" w:sz="0" w:space="0" w:color="auto"/>
                        <w:right w:val="none" w:sz="0" w:space="0" w:color="auto"/>
                      </w:divBdr>
                      <w:divsChild>
                        <w:div w:id="379745836">
                          <w:marLeft w:val="0"/>
                          <w:marRight w:val="0"/>
                          <w:marTop w:val="0"/>
                          <w:marBottom w:val="0"/>
                          <w:divBdr>
                            <w:top w:val="none" w:sz="0" w:space="0" w:color="auto"/>
                            <w:left w:val="none" w:sz="0" w:space="0" w:color="auto"/>
                            <w:bottom w:val="none" w:sz="0" w:space="0" w:color="auto"/>
                            <w:right w:val="none" w:sz="0" w:space="0" w:color="auto"/>
                          </w:divBdr>
                          <w:divsChild>
                            <w:div w:id="11086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379908">
      <w:bodyDiv w:val="1"/>
      <w:marLeft w:val="0"/>
      <w:marRight w:val="0"/>
      <w:marTop w:val="0"/>
      <w:marBottom w:val="0"/>
      <w:divBdr>
        <w:top w:val="none" w:sz="0" w:space="0" w:color="auto"/>
        <w:left w:val="none" w:sz="0" w:space="0" w:color="auto"/>
        <w:bottom w:val="none" w:sz="0" w:space="0" w:color="auto"/>
        <w:right w:val="none" w:sz="0" w:space="0" w:color="auto"/>
      </w:divBdr>
      <w:divsChild>
        <w:div w:id="1562865007">
          <w:marLeft w:val="0"/>
          <w:marRight w:val="0"/>
          <w:marTop w:val="0"/>
          <w:marBottom w:val="0"/>
          <w:divBdr>
            <w:top w:val="none" w:sz="0" w:space="0" w:color="auto"/>
            <w:left w:val="none" w:sz="0" w:space="0" w:color="auto"/>
            <w:bottom w:val="none" w:sz="0" w:space="0" w:color="auto"/>
            <w:right w:val="none" w:sz="0" w:space="0" w:color="auto"/>
          </w:divBdr>
          <w:divsChild>
            <w:div w:id="1068460218">
              <w:marLeft w:val="0"/>
              <w:marRight w:val="0"/>
              <w:marTop w:val="0"/>
              <w:marBottom w:val="0"/>
              <w:divBdr>
                <w:top w:val="none" w:sz="0" w:space="0" w:color="auto"/>
                <w:left w:val="none" w:sz="0" w:space="0" w:color="auto"/>
                <w:bottom w:val="none" w:sz="0" w:space="0" w:color="auto"/>
                <w:right w:val="none" w:sz="0" w:space="0" w:color="auto"/>
              </w:divBdr>
              <w:divsChild>
                <w:div w:id="2028869585">
                  <w:marLeft w:val="0"/>
                  <w:marRight w:val="0"/>
                  <w:marTop w:val="0"/>
                  <w:marBottom w:val="0"/>
                  <w:divBdr>
                    <w:top w:val="none" w:sz="0" w:space="0" w:color="auto"/>
                    <w:left w:val="none" w:sz="0" w:space="0" w:color="auto"/>
                    <w:bottom w:val="none" w:sz="0" w:space="0" w:color="auto"/>
                    <w:right w:val="none" w:sz="0" w:space="0" w:color="auto"/>
                  </w:divBdr>
                  <w:divsChild>
                    <w:div w:id="1338732778">
                      <w:marLeft w:val="0"/>
                      <w:marRight w:val="0"/>
                      <w:marTop w:val="0"/>
                      <w:marBottom w:val="0"/>
                      <w:divBdr>
                        <w:top w:val="none" w:sz="0" w:space="0" w:color="auto"/>
                        <w:left w:val="none" w:sz="0" w:space="0" w:color="auto"/>
                        <w:bottom w:val="none" w:sz="0" w:space="0" w:color="auto"/>
                        <w:right w:val="none" w:sz="0" w:space="0" w:color="auto"/>
                      </w:divBdr>
                      <w:divsChild>
                        <w:div w:id="361590218">
                          <w:marLeft w:val="0"/>
                          <w:marRight w:val="0"/>
                          <w:marTop w:val="0"/>
                          <w:marBottom w:val="0"/>
                          <w:divBdr>
                            <w:top w:val="none" w:sz="0" w:space="0" w:color="auto"/>
                            <w:left w:val="none" w:sz="0" w:space="0" w:color="auto"/>
                            <w:bottom w:val="none" w:sz="0" w:space="0" w:color="auto"/>
                            <w:right w:val="none" w:sz="0" w:space="0" w:color="auto"/>
                          </w:divBdr>
                          <w:divsChild>
                            <w:div w:id="227348992">
                              <w:marLeft w:val="0"/>
                              <w:marRight w:val="0"/>
                              <w:marTop w:val="0"/>
                              <w:marBottom w:val="0"/>
                              <w:divBdr>
                                <w:top w:val="none" w:sz="0" w:space="0" w:color="auto"/>
                                <w:left w:val="none" w:sz="0" w:space="0" w:color="auto"/>
                                <w:bottom w:val="none" w:sz="0" w:space="0" w:color="auto"/>
                                <w:right w:val="none" w:sz="0" w:space="0" w:color="auto"/>
                              </w:divBdr>
                              <w:divsChild>
                                <w:div w:id="14931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789384">
      <w:bodyDiv w:val="1"/>
      <w:marLeft w:val="0"/>
      <w:marRight w:val="0"/>
      <w:marTop w:val="0"/>
      <w:marBottom w:val="0"/>
      <w:divBdr>
        <w:top w:val="none" w:sz="0" w:space="0" w:color="auto"/>
        <w:left w:val="none" w:sz="0" w:space="0" w:color="auto"/>
        <w:bottom w:val="none" w:sz="0" w:space="0" w:color="auto"/>
        <w:right w:val="none" w:sz="0" w:space="0" w:color="auto"/>
      </w:divBdr>
    </w:div>
    <w:div w:id="1907258408">
      <w:bodyDiv w:val="1"/>
      <w:marLeft w:val="0"/>
      <w:marRight w:val="0"/>
      <w:marTop w:val="0"/>
      <w:marBottom w:val="0"/>
      <w:divBdr>
        <w:top w:val="none" w:sz="0" w:space="0" w:color="auto"/>
        <w:left w:val="none" w:sz="0" w:space="0" w:color="auto"/>
        <w:bottom w:val="none" w:sz="0" w:space="0" w:color="auto"/>
        <w:right w:val="none" w:sz="0" w:space="0" w:color="auto"/>
      </w:divBdr>
      <w:divsChild>
        <w:div w:id="1743717849">
          <w:marLeft w:val="0"/>
          <w:marRight w:val="0"/>
          <w:marTop w:val="0"/>
          <w:marBottom w:val="0"/>
          <w:divBdr>
            <w:top w:val="none" w:sz="0" w:space="0" w:color="auto"/>
            <w:left w:val="none" w:sz="0" w:space="0" w:color="auto"/>
            <w:bottom w:val="none" w:sz="0" w:space="0" w:color="auto"/>
            <w:right w:val="none" w:sz="0" w:space="0" w:color="auto"/>
          </w:divBdr>
          <w:divsChild>
            <w:div w:id="1396778126">
              <w:marLeft w:val="0"/>
              <w:marRight w:val="0"/>
              <w:marTop w:val="0"/>
              <w:marBottom w:val="0"/>
              <w:divBdr>
                <w:top w:val="none" w:sz="0" w:space="0" w:color="auto"/>
                <w:left w:val="none" w:sz="0" w:space="0" w:color="auto"/>
                <w:bottom w:val="none" w:sz="0" w:space="0" w:color="auto"/>
                <w:right w:val="none" w:sz="0" w:space="0" w:color="auto"/>
              </w:divBdr>
              <w:divsChild>
                <w:div w:id="1019746238">
                  <w:marLeft w:val="0"/>
                  <w:marRight w:val="0"/>
                  <w:marTop w:val="0"/>
                  <w:marBottom w:val="0"/>
                  <w:divBdr>
                    <w:top w:val="none" w:sz="0" w:space="0" w:color="auto"/>
                    <w:left w:val="none" w:sz="0" w:space="0" w:color="auto"/>
                    <w:bottom w:val="none" w:sz="0" w:space="0" w:color="auto"/>
                    <w:right w:val="none" w:sz="0" w:space="0" w:color="auto"/>
                  </w:divBdr>
                  <w:divsChild>
                    <w:div w:id="1386837645">
                      <w:marLeft w:val="0"/>
                      <w:marRight w:val="0"/>
                      <w:marTop w:val="0"/>
                      <w:marBottom w:val="0"/>
                      <w:divBdr>
                        <w:top w:val="none" w:sz="0" w:space="0" w:color="auto"/>
                        <w:left w:val="none" w:sz="0" w:space="0" w:color="auto"/>
                        <w:bottom w:val="none" w:sz="0" w:space="0" w:color="auto"/>
                        <w:right w:val="none" w:sz="0" w:space="0" w:color="auto"/>
                      </w:divBdr>
                      <w:divsChild>
                        <w:div w:id="347028646">
                          <w:marLeft w:val="0"/>
                          <w:marRight w:val="0"/>
                          <w:marTop w:val="0"/>
                          <w:marBottom w:val="0"/>
                          <w:divBdr>
                            <w:top w:val="none" w:sz="0" w:space="0" w:color="auto"/>
                            <w:left w:val="none" w:sz="0" w:space="0" w:color="auto"/>
                            <w:bottom w:val="none" w:sz="0" w:space="0" w:color="auto"/>
                            <w:right w:val="none" w:sz="0" w:space="0" w:color="auto"/>
                          </w:divBdr>
                          <w:divsChild>
                            <w:div w:id="10297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19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7967-augstskolu-likums" TargetMode="External"/><Relationship Id="rId13" Type="http://schemas.openxmlformats.org/officeDocument/2006/relationships/hyperlink" Target="http://eur-lex.europa.eu/eli/dir/2005/36/oj/?locale=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50759-izglitibas-likum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0759-izglitibas-likum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ikumi.lv/ta/id/50759-izglitibas-likum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kumi.lv/ta/id/50759-izglitibas-likums" TargetMode="External"/><Relationship Id="rId14" Type="http://schemas.openxmlformats.org/officeDocument/2006/relationships/hyperlink" Target="mailto:inga.akmentina@iz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4A671-89A6-4D87-A69D-1FD4BDA47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7825</Words>
  <Characters>4461</Characters>
  <Application>Microsoft Office Word</Application>
  <DocSecurity>0</DocSecurity>
  <Lines>37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projekta „Grozījumi Ministru kabineta 2005.gada 27.decembra noteikumos Nr.1000 „Noteikumi par doktora zinātniskā grāda piešķiršanas (promocijas) tiesību deleģēšanu augstskolām”” sākotnējās ietekmes novērtējuma ziņojums (anotāci</vt:lpstr>
      <vt:lpstr>Ministru kabineta noteikumu projekta „Grozījumi Ministru kabineta 2005.gada 27.decembra noteikumos Nr.1000 „Noteikumi par doktora zinātniskā grāda piešķiršanas (promocijas) tiesību deleģēšanu augstskolām”” sākotnējās ietekmes novērtējuma ziņojums (anotāci</vt:lpstr>
    </vt:vector>
  </TitlesOfParts>
  <Company>IZM</Company>
  <LinksUpToDate>false</LinksUpToDate>
  <CharactersWithSpaces>12262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2005.gada 27.decembra noteikumos Nr.1000 „Noteikumi par doktora zinātniskā grāda piešķiršanas (promocijas) tiesību deleģēšanu augstskolām”” sākotnējās ietekmes novērtējuma ziņojums (anotācija)</dc:title>
  <dc:subject>Noteikumu projekta anotācija</dc:subject>
  <dc:creator>Kaspars Kalsnavs</dc:creator>
  <dc:description>tel.:67047893; e-pasts: kaspars.kalsnavs@izm.gov.lv</dc:description>
  <cp:lastModifiedBy>Inga Akmentiņa</cp:lastModifiedBy>
  <cp:revision>6</cp:revision>
  <cp:lastPrinted>2020-07-13T12:21:00Z</cp:lastPrinted>
  <dcterms:created xsi:type="dcterms:W3CDTF">2020-07-15T05:57:00Z</dcterms:created>
  <dcterms:modified xsi:type="dcterms:W3CDTF">2020-07-15T06:18:00Z</dcterms:modified>
</cp:coreProperties>
</file>